
<file path=[Content_Types].xml><?xml version="1.0" encoding="utf-8"?>
<Types xmlns="http://schemas.openxmlformats.org/package/2006/content-types">
  <Default Extension="xml" ContentType="application/xml"/>
  <Default Extension="jpeg" ContentType="image/jpeg"/>
  <Default Extension="JPG" ContentType="image/.jpg"/>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8F1346">
      <w:pPr>
        <w:numPr>
          <w:ilvl w:val="0"/>
          <w:numId w:val="1"/>
        </w:numPr>
        <w:spacing w:line="360" w:lineRule="auto"/>
        <w:jc w:val="left"/>
        <w:outlineLvl w:val="0"/>
        <w:rPr>
          <w:rFonts w:hint="default" w:ascii="Times New Roman" w:hAnsi="Times New Roman" w:eastAsia="黑体" w:cs="Times New Roman"/>
          <w:b w:val="0"/>
          <w:bCs w:val="0"/>
          <w:sz w:val="30"/>
          <w:szCs w:val="30"/>
        </w:rPr>
      </w:pPr>
      <w:r>
        <w:rPr>
          <w:rFonts w:hint="default" w:ascii="Times New Roman" w:hAnsi="Times New Roman" w:eastAsia="黑体" w:cs="Times New Roman"/>
          <w:b w:val="0"/>
          <w:bCs w:val="0"/>
          <w:sz w:val="30"/>
          <w:szCs w:val="30"/>
        </w:rPr>
        <w:t>建设项目基本情况</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6"/>
        <w:gridCol w:w="2290"/>
        <w:gridCol w:w="1884"/>
        <w:gridCol w:w="3365"/>
      </w:tblGrid>
      <w:tr w14:paraId="480FE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pct"/>
            <w:vAlign w:val="center"/>
          </w:tcPr>
          <w:p w14:paraId="3B4C8357">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建设项目名称</w:t>
            </w:r>
          </w:p>
        </w:tc>
        <w:tc>
          <w:tcPr>
            <w:tcW w:w="4059" w:type="pct"/>
            <w:gridSpan w:val="3"/>
            <w:vAlign w:val="center"/>
          </w:tcPr>
          <w:p w14:paraId="5DB25D6A">
            <w:pPr>
              <w:spacing w:line="360" w:lineRule="auto"/>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XX测控装备</w:t>
            </w:r>
            <w:r>
              <w:rPr>
                <w:rFonts w:hint="default" w:ascii="Times New Roman" w:hAnsi="Times New Roman" w:eastAsia="宋体" w:cs="Times New Roman"/>
                <w:sz w:val="24"/>
                <w:lang w:val="en-US" w:eastAsia="zh-CN"/>
              </w:rPr>
              <w:t>项目</w:t>
            </w:r>
          </w:p>
        </w:tc>
      </w:tr>
      <w:tr w14:paraId="0F751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pct"/>
            <w:shd w:val="clear" w:color="auto" w:fill="auto"/>
            <w:vAlign w:val="center"/>
          </w:tcPr>
          <w:p w14:paraId="2027C9A4">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项目代码</w:t>
            </w:r>
          </w:p>
        </w:tc>
        <w:tc>
          <w:tcPr>
            <w:tcW w:w="4059" w:type="pct"/>
            <w:gridSpan w:val="3"/>
            <w:shd w:val="clear" w:color="auto" w:fill="auto"/>
            <w:vAlign w:val="center"/>
          </w:tcPr>
          <w:p w14:paraId="1FB9BBEF">
            <w:pPr>
              <w:spacing w:line="360" w:lineRule="auto"/>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2505-341763-04-05-407727</w:t>
            </w:r>
          </w:p>
        </w:tc>
      </w:tr>
      <w:tr w14:paraId="35CE3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pct"/>
            <w:shd w:val="clear" w:color="auto" w:fill="auto"/>
            <w:vAlign w:val="center"/>
          </w:tcPr>
          <w:p w14:paraId="5A3CDA12">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建设单位</w:t>
            </w:r>
          </w:p>
          <w:p w14:paraId="04FC0D48">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联系人</w:t>
            </w:r>
          </w:p>
        </w:tc>
        <w:tc>
          <w:tcPr>
            <w:tcW w:w="1233" w:type="pct"/>
            <w:shd w:val="clear" w:color="auto" w:fill="auto"/>
            <w:vAlign w:val="center"/>
          </w:tcPr>
          <w:p w14:paraId="63C7A690">
            <w:pPr>
              <w:spacing w:line="360" w:lineRule="auto"/>
              <w:jc w:val="center"/>
              <w:rPr>
                <w:rFonts w:hint="default" w:ascii="Times New Roman" w:hAnsi="Times New Roman" w:eastAsia="宋体" w:cs="Times New Roman"/>
                <w:sz w:val="24"/>
                <w:lang w:eastAsia="zh-CN"/>
              </w:rPr>
            </w:pPr>
            <w:r>
              <w:rPr>
                <w:rFonts w:hint="default" w:ascii="Times New Roman" w:hAnsi="Times New Roman" w:eastAsia="宋体" w:cs="Times New Roman"/>
                <w:sz w:val="24"/>
                <w:lang w:eastAsia="zh-CN"/>
              </w:rPr>
              <w:t>焦伟国</w:t>
            </w:r>
          </w:p>
        </w:tc>
        <w:tc>
          <w:tcPr>
            <w:tcW w:w="1014" w:type="pct"/>
            <w:shd w:val="clear" w:color="auto" w:fill="auto"/>
            <w:vAlign w:val="center"/>
          </w:tcPr>
          <w:p w14:paraId="2197D3A6">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联系方式</w:t>
            </w:r>
          </w:p>
        </w:tc>
        <w:tc>
          <w:tcPr>
            <w:tcW w:w="1812" w:type="pct"/>
            <w:shd w:val="clear" w:color="auto" w:fill="auto"/>
            <w:vAlign w:val="center"/>
          </w:tcPr>
          <w:p w14:paraId="32B072F5">
            <w:pPr>
              <w:spacing w:line="360" w:lineRule="auto"/>
              <w:jc w:val="center"/>
              <w:rPr>
                <w:rFonts w:hint="default" w:ascii="Times New Roman" w:hAnsi="Times New Roman" w:eastAsia="宋体" w:cs="Times New Roman"/>
                <w:sz w:val="24"/>
                <w:lang w:val="en-US" w:eastAsia="zh-CN"/>
              </w:rPr>
            </w:pPr>
            <w:bookmarkStart w:id="10" w:name="_GoBack"/>
            <w:bookmarkEnd w:id="10"/>
          </w:p>
        </w:tc>
      </w:tr>
      <w:tr w14:paraId="684AE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pct"/>
            <w:shd w:val="clear" w:color="auto" w:fill="auto"/>
            <w:vAlign w:val="center"/>
          </w:tcPr>
          <w:p w14:paraId="1FDCD096">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建设地点</w:t>
            </w:r>
          </w:p>
        </w:tc>
        <w:tc>
          <w:tcPr>
            <w:tcW w:w="4059" w:type="pct"/>
            <w:gridSpan w:val="3"/>
            <w:shd w:val="clear" w:color="auto" w:fill="auto"/>
            <w:vAlign w:val="center"/>
          </w:tcPr>
          <w:p w14:paraId="2BCF1D0A">
            <w:pPr>
              <w:spacing w:line="360" w:lineRule="auto"/>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安徽省池州市江南产业集中区皖能电子信息产业园5幢4层</w:t>
            </w:r>
          </w:p>
        </w:tc>
      </w:tr>
      <w:tr w14:paraId="13AE5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pct"/>
            <w:shd w:val="clear" w:color="auto" w:fill="auto"/>
            <w:vAlign w:val="center"/>
          </w:tcPr>
          <w:p w14:paraId="5D954432">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地理坐标</w:t>
            </w:r>
          </w:p>
        </w:tc>
        <w:tc>
          <w:tcPr>
            <w:tcW w:w="4059" w:type="pct"/>
            <w:gridSpan w:val="3"/>
            <w:shd w:val="clear" w:color="auto" w:fill="auto"/>
            <w:vAlign w:val="center"/>
          </w:tcPr>
          <w:p w14:paraId="16F2392F">
            <w:pPr>
              <w:spacing w:line="360" w:lineRule="auto"/>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w:t>
            </w:r>
            <w:r>
              <w:rPr>
                <w:rFonts w:hint="default" w:ascii="Times New Roman" w:hAnsi="Times New Roman" w:eastAsia="宋体" w:cs="Times New Roman"/>
                <w:sz w:val="24"/>
                <w:lang w:val="en-US" w:eastAsia="zh-CN"/>
              </w:rPr>
              <w:t>东经117</w:t>
            </w:r>
            <w:r>
              <w:rPr>
                <w:rFonts w:hint="default" w:ascii="Times New Roman" w:hAnsi="Times New Roman" w:cs="Times New Roman"/>
                <w:color w:val="000000"/>
              </w:rPr>
              <w:t>°</w:t>
            </w:r>
            <w:r>
              <w:rPr>
                <w:rFonts w:hint="default" w:ascii="Times New Roman" w:hAnsi="Times New Roman" w:eastAsia="宋体" w:cs="Times New Roman"/>
                <w:sz w:val="24"/>
                <w:lang w:val="en-US" w:eastAsia="zh-CN"/>
              </w:rPr>
              <w:t>39</w:t>
            </w:r>
            <w:r>
              <w:rPr>
                <w:rFonts w:hint="default" w:ascii="Times New Roman" w:hAnsi="Times New Roman" w:cs="Times New Roman"/>
                <w:color w:val="000000"/>
              </w:rPr>
              <w:t>′</w:t>
            </w:r>
            <w:r>
              <w:rPr>
                <w:rFonts w:hint="default" w:ascii="Times New Roman" w:hAnsi="Times New Roman" w:eastAsia="宋体" w:cs="Times New Roman"/>
                <w:sz w:val="24"/>
                <w:lang w:val="en-US" w:eastAsia="zh-CN"/>
              </w:rPr>
              <w:t>6.18</w:t>
            </w:r>
            <w:r>
              <w:rPr>
                <w:rFonts w:hint="default" w:ascii="Times New Roman" w:hAnsi="Times New Roman" w:cs="Times New Roman"/>
                <w:color w:val="000000"/>
              </w:rPr>
              <w:t>″</w:t>
            </w:r>
            <w:r>
              <w:rPr>
                <w:rFonts w:hint="default" w:ascii="Times New Roman" w:hAnsi="Times New Roman" w:eastAsia="宋体" w:cs="Times New Roman"/>
                <w:sz w:val="24"/>
              </w:rPr>
              <w:t>，</w:t>
            </w:r>
            <w:r>
              <w:rPr>
                <w:rFonts w:hint="default" w:ascii="Times New Roman" w:hAnsi="Times New Roman" w:eastAsia="宋体" w:cs="Times New Roman"/>
                <w:sz w:val="24"/>
                <w:lang w:val="en-US" w:eastAsia="zh-CN"/>
              </w:rPr>
              <w:t>北</w:t>
            </w:r>
            <w:r>
              <w:rPr>
                <w:rFonts w:hint="default" w:ascii="Times New Roman" w:hAnsi="Times New Roman" w:eastAsia="宋体" w:cs="Times New Roman"/>
                <w:sz w:val="24"/>
              </w:rPr>
              <w:t>纬</w:t>
            </w:r>
            <w:r>
              <w:rPr>
                <w:rFonts w:hint="default" w:ascii="Times New Roman" w:hAnsi="Times New Roman" w:eastAsia="宋体" w:cs="Times New Roman"/>
                <w:sz w:val="24"/>
                <w:lang w:val="en-US" w:eastAsia="zh-CN"/>
              </w:rPr>
              <w:t>30</w:t>
            </w:r>
            <w:r>
              <w:rPr>
                <w:rFonts w:hint="default" w:ascii="Times New Roman" w:hAnsi="Times New Roman" w:cs="Times New Roman"/>
                <w:color w:val="000000"/>
              </w:rPr>
              <w:t>°</w:t>
            </w:r>
            <w:r>
              <w:rPr>
                <w:rFonts w:hint="default" w:ascii="Times New Roman" w:hAnsi="Times New Roman" w:eastAsia="宋体" w:cs="Times New Roman"/>
                <w:sz w:val="24"/>
                <w:lang w:val="en-US" w:eastAsia="zh-CN"/>
              </w:rPr>
              <w:t>45</w:t>
            </w:r>
            <w:r>
              <w:rPr>
                <w:rFonts w:hint="default" w:ascii="Times New Roman" w:hAnsi="Times New Roman" w:cs="Times New Roman"/>
                <w:color w:val="000000"/>
              </w:rPr>
              <w:t>′</w:t>
            </w:r>
            <w:r>
              <w:rPr>
                <w:rFonts w:hint="default" w:ascii="Times New Roman" w:hAnsi="Times New Roman" w:eastAsia="宋体" w:cs="Times New Roman"/>
                <w:sz w:val="24"/>
                <w:lang w:val="en-US" w:eastAsia="zh-CN"/>
              </w:rPr>
              <w:t>28.407</w:t>
            </w:r>
            <w:r>
              <w:rPr>
                <w:rFonts w:hint="default" w:ascii="Times New Roman" w:hAnsi="Times New Roman" w:cs="Times New Roman"/>
                <w:color w:val="000000"/>
              </w:rPr>
              <w:t>″</w:t>
            </w:r>
            <w:r>
              <w:rPr>
                <w:rFonts w:hint="eastAsia" w:ascii="Times New Roman" w:hAnsi="Times New Roman" w:eastAsia="宋体" w:cs="Times New Roman"/>
                <w:sz w:val="24"/>
                <w:lang w:eastAsia="zh-CN"/>
              </w:rPr>
              <w:t>）</w:t>
            </w:r>
          </w:p>
        </w:tc>
      </w:tr>
      <w:tr w14:paraId="3611D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pct"/>
            <w:shd w:val="clear" w:color="auto" w:fill="auto"/>
            <w:vAlign w:val="center"/>
          </w:tcPr>
          <w:p w14:paraId="0259D81A">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国民经济</w:t>
            </w:r>
          </w:p>
          <w:p w14:paraId="501A7D8D">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行业分类</w:t>
            </w:r>
          </w:p>
        </w:tc>
        <w:tc>
          <w:tcPr>
            <w:tcW w:w="1233" w:type="pct"/>
            <w:shd w:val="clear" w:color="auto" w:fill="auto"/>
            <w:vAlign w:val="center"/>
          </w:tcPr>
          <w:p w14:paraId="0197AD0C">
            <w:pPr>
              <w:spacing w:line="360" w:lineRule="auto"/>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C3914工业控制计算机及系统制造</w:t>
            </w:r>
          </w:p>
        </w:tc>
        <w:tc>
          <w:tcPr>
            <w:tcW w:w="1014" w:type="pct"/>
            <w:shd w:val="clear" w:color="auto" w:fill="auto"/>
            <w:vAlign w:val="center"/>
          </w:tcPr>
          <w:p w14:paraId="39201904">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建设项目</w:t>
            </w:r>
          </w:p>
          <w:p w14:paraId="6FDF2DB7">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行业类型</w:t>
            </w:r>
          </w:p>
        </w:tc>
        <w:tc>
          <w:tcPr>
            <w:tcW w:w="1812" w:type="pct"/>
            <w:shd w:val="clear" w:color="auto" w:fill="auto"/>
            <w:vAlign w:val="center"/>
          </w:tcPr>
          <w:p w14:paraId="1388247B">
            <w:pPr>
              <w:spacing w:line="360" w:lineRule="auto"/>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三十六，计算机、通信和其他电子设备制造业（39）</w:t>
            </w:r>
            <w:r>
              <w:rPr>
                <w:rFonts w:hint="eastAsia" w:ascii="Times New Roman" w:hAnsi="Times New Roman" w:eastAsia="宋体" w:cs="Times New Roman"/>
                <w:sz w:val="24"/>
                <w:lang w:val="en-US" w:eastAsia="zh-CN"/>
              </w:rPr>
              <w:t>78计算机</w:t>
            </w:r>
            <w:r>
              <w:rPr>
                <w:rFonts w:hint="default" w:ascii="Times New Roman" w:hAnsi="Times New Roman" w:eastAsia="宋体" w:cs="Times New Roman"/>
                <w:sz w:val="24"/>
                <w:lang w:val="en-US" w:eastAsia="zh-CN"/>
              </w:rPr>
              <w:t>制造（39</w:t>
            </w:r>
            <w:r>
              <w:rPr>
                <w:rFonts w:hint="eastAsia" w:ascii="Times New Roman" w:hAnsi="Times New Roman" w:eastAsia="宋体" w:cs="Times New Roman"/>
                <w:sz w:val="24"/>
                <w:lang w:val="en-US" w:eastAsia="zh-CN"/>
              </w:rPr>
              <w:t>1</w:t>
            </w:r>
            <w:r>
              <w:rPr>
                <w:rFonts w:hint="default" w:ascii="Times New Roman" w:hAnsi="Times New Roman" w:eastAsia="宋体" w:cs="Times New Roman"/>
                <w:sz w:val="24"/>
                <w:lang w:val="en-US" w:eastAsia="zh-CN"/>
              </w:rPr>
              <w:t>）</w:t>
            </w:r>
          </w:p>
        </w:tc>
      </w:tr>
      <w:tr w14:paraId="29CA1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pct"/>
            <w:shd w:val="clear" w:color="auto" w:fill="auto"/>
            <w:vAlign w:val="center"/>
          </w:tcPr>
          <w:p w14:paraId="55AE142E">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建设性质</w:t>
            </w:r>
          </w:p>
        </w:tc>
        <w:tc>
          <w:tcPr>
            <w:tcW w:w="1233" w:type="pct"/>
            <w:shd w:val="clear" w:color="auto" w:fill="auto"/>
            <w:vAlign w:val="center"/>
          </w:tcPr>
          <w:p w14:paraId="6DC34CA9">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sym w:font="Wingdings" w:char="00FE"/>
            </w:r>
            <w:r>
              <w:rPr>
                <w:rFonts w:hint="default" w:ascii="Times New Roman" w:hAnsi="Times New Roman" w:eastAsia="宋体" w:cs="Times New Roman"/>
                <w:sz w:val="24"/>
                <w:szCs w:val="24"/>
              </w:rPr>
              <w:t>新建（迁建）</w:t>
            </w:r>
          </w:p>
          <w:p w14:paraId="3997C72B">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sym w:font="Wingdings" w:char="00A8"/>
            </w:r>
            <w:r>
              <w:rPr>
                <w:rFonts w:hint="default" w:ascii="Times New Roman" w:hAnsi="Times New Roman" w:eastAsia="宋体" w:cs="Times New Roman"/>
                <w:sz w:val="24"/>
                <w:szCs w:val="24"/>
              </w:rPr>
              <w:t>改建</w:t>
            </w:r>
          </w:p>
          <w:p w14:paraId="6B21E8AC">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sym w:font="Wingdings" w:char="00A8"/>
            </w:r>
            <w:r>
              <w:rPr>
                <w:rFonts w:hint="default" w:ascii="Times New Roman" w:hAnsi="Times New Roman" w:eastAsia="宋体" w:cs="Times New Roman"/>
                <w:sz w:val="24"/>
                <w:szCs w:val="24"/>
              </w:rPr>
              <w:t>扩建</w:t>
            </w:r>
          </w:p>
          <w:p w14:paraId="0DA743E6">
            <w:pPr>
              <w:spacing w:line="360" w:lineRule="auto"/>
              <w:jc w:val="left"/>
              <w:rPr>
                <w:rFonts w:hint="default" w:ascii="Times New Roman" w:hAnsi="Times New Roman" w:eastAsia="宋体" w:cs="Times New Roman"/>
                <w:sz w:val="24"/>
              </w:rPr>
            </w:pPr>
            <w:r>
              <w:rPr>
                <w:rFonts w:hint="default" w:ascii="Times New Roman" w:hAnsi="Times New Roman" w:eastAsia="宋体" w:cs="Times New Roman"/>
                <w:sz w:val="24"/>
                <w:szCs w:val="24"/>
              </w:rPr>
              <w:sym w:font="Wingdings" w:char="00A8"/>
            </w:r>
            <w:r>
              <w:rPr>
                <w:rFonts w:hint="default" w:ascii="Times New Roman" w:hAnsi="Times New Roman" w:eastAsia="宋体" w:cs="Times New Roman"/>
                <w:sz w:val="24"/>
                <w:szCs w:val="24"/>
              </w:rPr>
              <w:t>技术改造</w:t>
            </w:r>
          </w:p>
        </w:tc>
        <w:tc>
          <w:tcPr>
            <w:tcW w:w="1014" w:type="pct"/>
            <w:shd w:val="clear" w:color="auto" w:fill="auto"/>
            <w:vAlign w:val="center"/>
          </w:tcPr>
          <w:p w14:paraId="549AD798">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建设项目</w:t>
            </w:r>
          </w:p>
          <w:p w14:paraId="64C46315">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申报情形</w:t>
            </w:r>
          </w:p>
        </w:tc>
        <w:tc>
          <w:tcPr>
            <w:tcW w:w="1812" w:type="pct"/>
            <w:shd w:val="clear" w:color="auto" w:fill="auto"/>
            <w:vAlign w:val="center"/>
          </w:tcPr>
          <w:p w14:paraId="4957082F">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sym w:font="Wingdings" w:char="00FE"/>
            </w:r>
            <w:r>
              <w:rPr>
                <w:rFonts w:hint="default" w:ascii="Times New Roman" w:hAnsi="Times New Roman" w:eastAsia="宋体" w:cs="Times New Roman"/>
                <w:sz w:val="24"/>
                <w:szCs w:val="24"/>
              </w:rPr>
              <w:t>首次申报项目</w:t>
            </w:r>
          </w:p>
          <w:p w14:paraId="0F0BAD0A">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sym w:font="Wingdings" w:char="00A8"/>
            </w:r>
            <w:r>
              <w:rPr>
                <w:rFonts w:hint="default" w:ascii="Times New Roman" w:hAnsi="Times New Roman" w:eastAsia="宋体" w:cs="Times New Roman"/>
                <w:sz w:val="24"/>
                <w:szCs w:val="24"/>
              </w:rPr>
              <w:t>不予批准后再次申报项目</w:t>
            </w:r>
          </w:p>
          <w:p w14:paraId="746610DA">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sym w:font="Wingdings" w:char="00A8"/>
            </w:r>
            <w:r>
              <w:rPr>
                <w:rFonts w:hint="default" w:ascii="Times New Roman" w:hAnsi="Times New Roman" w:eastAsia="宋体" w:cs="Times New Roman"/>
                <w:sz w:val="24"/>
                <w:szCs w:val="24"/>
              </w:rPr>
              <w:t>超五年重新审核项目</w:t>
            </w:r>
          </w:p>
          <w:p w14:paraId="58C9A465">
            <w:pPr>
              <w:spacing w:line="360" w:lineRule="auto"/>
              <w:jc w:val="left"/>
              <w:rPr>
                <w:rFonts w:hint="default" w:ascii="Times New Roman" w:hAnsi="Times New Roman" w:eastAsia="宋体" w:cs="Times New Roman"/>
                <w:sz w:val="24"/>
              </w:rPr>
            </w:pPr>
            <w:r>
              <w:rPr>
                <w:rFonts w:hint="default" w:ascii="Times New Roman" w:hAnsi="Times New Roman" w:eastAsia="宋体" w:cs="Times New Roman"/>
                <w:sz w:val="24"/>
                <w:szCs w:val="24"/>
              </w:rPr>
              <w:sym w:font="Wingdings" w:char="00A8"/>
            </w:r>
            <w:r>
              <w:rPr>
                <w:rFonts w:hint="default" w:ascii="Times New Roman" w:hAnsi="Times New Roman" w:eastAsia="宋体" w:cs="Times New Roman"/>
                <w:sz w:val="24"/>
                <w:szCs w:val="24"/>
              </w:rPr>
              <w:t>重大变动重新报批项目</w:t>
            </w:r>
          </w:p>
        </w:tc>
      </w:tr>
      <w:tr w14:paraId="7C2DB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pct"/>
            <w:shd w:val="clear" w:color="auto" w:fill="auto"/>
            <w:vAlign w:val="center"/>
          </w:tcPr>
          <w:p w14:paraId="50E769BF">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项目审批（核准/备案）部门</w:t>
            </w:r>
          </w:p>
        </w:tc>
        <w:tc>
          <w:tcPr>
            <w:tcW w:w="1233" w:type="pct"/>
            <w:shd w:val="clear" w:color="auto" w:fill="auto"/>
            <w:vAlign w:val="center"/>
          </w:tcPr>
          <w:p w14:paraId="06119D8C">
            <w:pPr>
              <w:spacing w:line="360" w:lineRule="auto"/>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皖江江南新兴产业集中区管委会产业发展部</w:t>
            </w:r>
          </w:p>
        </w:tc>
        <w:tc>
          <w:tcPr>
            <w:tcW w:w="1014" w:type="pct"/>
            <w:shd w:val="clear" w:color="auto" w:fill="auto"/>
            <w:vAlign w:val="center"/>
          </w:tcPr>
          <w:p w14:paraId="18176F6D">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项目审批（核准/备案）文号</w:t>
            </w:r>
          </w:p>
        </w:tc>
        <w:tc>
          <w:tcPr>
            <w:tcW w:w="1812" w:type="pct"/>
            <w:shd w:val="clear" w:color="auto" w:fill="auto"/>
            <w:vAlign w:val="center"/>
          </w:tcPr>
          <w:p w14:paraId="44D44B79">
            <w:pPr>
              <w:spacing w:line="360" w:lineRule="auto"/>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江南管产[2025]106号</w:t>
            </w:r>
          </w:p>
        </w:tc>
      </w:tr>
      <w:tr w14:paraId="59BE2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pct"/>
            <w:shd w:val="clear" w:color="auto" w:fill="auto"/>
            <w:vAlign w:val="center"/>
          </w:tcPr>
          <w:p w14:paraId="35A00809">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总投资（万元）</w:t>
            </w:r>
          </w:p>
        </w:tc>
        <w:tc>
          <w:tcPr>
            <w:tcW w:w="1233" w:type="pct"/>
            <w:shd w:val="clear" w:color="auto" w:fill="auto"/>
            <w:vAlign w:val="center"/>
          </w:tcPr>
          <w:p w14:paraId="3865F539">
            <w:pPr>
              <w:spacing w:line="360" w:lineRule="auto"/>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15000</w:t>
            </w:r>
          </w:p>
        </w:tc>
        <w:tc>
          <w:tcPr>
            <w:tcW w:w="1014" w:type="pct"/>
            <w:shd w:val="clear" w:color="auto" w:fill="auto"/>
            <w:vAlign w:val="center"/>
          </w:tcPr>
          <w:p w14:paraId="6BABE9C3">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环保投资</w:t>
            </w:r>
          </w:p>
          <w:p w14:paraId="73A00E75">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（万元）</w:t>
            </w:r>
          </w:p>
        </w:tc>
        <w:tc>
          <w:tcPr>
            <w:tcW w:w="1812" w:type="pct"/>
            <w:shd w:val="clear" w:color="auto" w:fill="auto"/>
            <w:vAlign w:val="center"/>
          </w:tcPr>
          <w:p w14:paraId="02418100">
            <w:pPr>
              <w:spacing w:line="360" w:lineRule="auto"/>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95</w:t>
            </w:r>
          </w:p>
        </w:tc>
      </w:tr>
      <w:tr w14:paraId="629D1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pct"/>
            <w:shd w:val="clear" w:color="auto" w:fill="auto"/>
            <w:vAlign w:val="center"/>
          </w:tcPr>
          <w:p w14:paraId="4F6D0503">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环保投资占比（%）</w:t>
            </w:r>
          </w:p>
        </w:tc>
        <w:tc>
          <w:tcPr>
            <w:tcW w:w="1233" w:type="pct"/>
            <w:shd w:val="clear" w:color="auto" w:fill="auto"/>
            <w:vAlign w:val="center"/>
          </w:tcPr>
          <w:p w14:paraId="4AF26302">
            <w:pPr>
              <w:spacing w:line="360" w:lineRule="auto"/>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0.64</w:t>
            </w:r>
          </w:p>
        </w:tc>
        <w:tc>
          <w:tcPr>
            <w:tcW w:w="1014" w:type="pct"/>
            <w:shd w:val="clear" w:color="auto" w:fill="auto"/>
            <w:vAlign w:val="center"/>
          </w:tcPr>
          <w:p w14:paraId="244E43A8">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施工工期</w:t>
            </w:r>
          </w:p>
        </w:tc>
        <w:tc>
          <w:tcPr>
            <w:tcW w:w="1812" w:type="pct"/>
            <w:shd w:val="clear" w:color="auto" w:fill="auto"/>
            <w:vAlign w:val="center"/>
          </w:tcPr>
          <w:p w14:paraId="25694DEE">
            <w:pPr>
              <w:spacing w:line="360" w:lineRule="auto"/>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3个月</w:t>
            </w:r>
          </w:p>
        </w:tc>
      </w:tr>
      <w:tr w14:paraId="29FDC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pct"/>
            <w:shd w:val="clear" w:color="auto" w:fill="auto"/>
            <w:vAlign w:val="center"/>
          </w:tcPr>
          <w:p w14:paraId="554615F5">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是否开工建设</w:t>
            </w:r>
          </w:p>
        </w:tc>
        <w:tc>
          <w:tcPr>
            <w:tcW w:w="1233" w:type="pct"/>
            <w:shd w:val="clear" w:color="auto" w:fill="auto"/>
            <w:vAlign w:val="center"/>
          </w:tcPr>
          <w:p w14:paraId="79D70573">
            <w:pPr>
              <w:spacing w:line="360" w:lineRule="auto"/>
              <w:jc w:val="both"/>
              <w:rPr>
                <w:rFonts w:hint="default" w:ascii="Times New Roman" w:hAnsi="Times New Roman" w:eastAsia="宋体" w:cs="Times New Roman"/>
                <w:szCs w:val="21"/>
              </w:rPr>
            </w:pPr>
            <w:r>
              <w:rPr>
                <w:rFonts w:hint="default" w:ascii="Times New Roman" w:hAnsi="Times New Roman" w:eastAsia="宋体" w:cs="Times New Roman"/>
                <w:szCs w:val="21"/>
              </w:rPr>
              <w:sym w:font="Wingdings" w:char="00FE"/>
            </w:r>
            <w:r>
              <w:rPr>
                <w:rFonts w:hint="default" w:ascii="Times New Roman" w:hAnsi="Times New Roman" w:eastAsia="宋体" w:cs="Times New Roman"/>
                <w:szCs w:val="21"/>
              </w:rPr>
              <w:t>否</w:t>
            </w:r>
          </w:p>
          <w:p w14:paraId="00DC727F">
            <w:pPr>
              <w:spacing w:line="360" w:lineRule="auto"/>
              <w:jc w:val="both"/>
              <w:rPr>
                <w:rFonts w:hint="default" w:ascii="Times New Roman" w:hAnsi="Times New Roman" w:eastAsia="宋体" w:cs="Times New Roman"/>
                <w:sz w:val="24"/>
                <w:u w:val="single"/>
                <w:lang w:val="en-US" w:eastAsia="zh-CN"/>
              </w:rPr>
            </w:pPr>
            <w:r>
              <w:rPr>
                <w:rFonts w:hint="default" w:ascii="Times New Roman" w:hAnsi="Times New Roman" w:eastAsia="宋体" w:cs="Times New Roman"/>
                <w:szCs w:val="21"/>
              </w:rPr>
              <w:sym w:font="Wingdings" w:char="00A8"/>
            </w:r>
            <w:r>
              <w:rPr>
                <w:rFonts w:hint="default" w:ascii="Times New Roman" w:hAnsi="Times New Roman" w:eastAsia="宋体" w:cs="Times New Roman"/>
                <w:szCs w:val="21"/>
              </w:rPr>
              <w:t>是：</w:t>
            </w:r>
            <w:r>
              <w:rPr>
                <w:rFonts w:hint="default" w:ascii="Times New Roman" w:hAnsi="Times New Roman" w:eastAsia="宋体" w:cs="Times New Roman"/>
                <w:szCs w:val="21"/>
                <w:u w:val="single"/>
                <w:lang w:val="en-US" w:eastAsia="zh-CN"/>
              </w:rPr>
              <w:t xml:space="preserve">           </w:t>
            </w:r>
          </w:p>
        </w:tc>
        <w:tc>
          <w:tcPr>
            <w:tcW w:w="1014" w:type="pct"/>
            <w:shd w:val="clear" w:color="auto" w:fill="auto"/>
            <w:vAlign w:val="center"/>
          </w:tcPr>
          <w:p w14:paraId="0FE19B8E">
            <w:pPr>
              <w:spacing w:line="360" w:lineRule="auto"/>
              <w:jc w:val="center"/>
              <w:rPr>
                <w:rFonts w:hint="default" w:ascii="Times New Roman" w:hAnsi="Times New Roman" w:eastAsia="宋体" w:cs="Times New Roman"/>
                <w:sz w:val="24"/>
              </w:rPr>
            </w:pPr>
            <w:r>
              <w:rPr>
                <w:rFonts w:hint="eastAsia" w:ascii="Times New Roman" w:hAnsi="Times New Roman" w:eastAsia="宋体" w:cs="Times New Roman"/>
                <w:sz w:val="24"/>
                <w:lang w:val="en-US" w:eastAsia="zh-CN"/>
              </w:rPr>
              <w:t>占地</w:t>
            </w:r>
            <w:r>
              <w:rPr>
                <w:rFonts w:hint="default" w:ascii="Times New Roman" w:hAnsi="Times New Roman" w:eastAsia="宋体" w:cs="Times New Roman"/>
                <w:sz w:val="24"/>
              </w:rPr>
              <w:t>面积（m</w:t>
            </w:r>
            <w:r>
              <w:rPr>
                <w:rFonts w:hint="default" w:ascii="Times New Roman" w:hAnsi="Times New Roman" w:eastAsia="宋体" w:cs="Times New Roman"/>
                <w:sz w:val="24"/>
                <w:vertAlign w:val="superscript"/>
              </w:rPr>
              <w:t>2</w:t>
            </w:r>
            <w:r>
              <w:rPr>
                <w:rFonts w:hint="default" w:ascii="Times New Roman" w:hAnsi="Times New Roman" w:eastAsia="宋体" w:cs="Times New Roman"/>
                <w:sz w:val="24"/>
              </w:rPr>
              <w:t>）</w:t>
            </w:r>
          </w:p>
        </w:tc>
        <w:tc>
          <w:tcPr>
            <w:tcW w:w="1812" w:type="pct"/>
            <w:shd w:val="clear" w:color="auto" w:fill="auto"/>
            <w:vAlign w:val="center"/>
          </w:tcPr>
          <w:p w14:paraId="798386AF">
            <w:pPr>
              <w:spacing w:line="360" w:lineRule="auto"/>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2420.48</w:t>
            </w:r>
          </w:p>
        </w:tc>
      </w:tr>
      <w:tr w14:paraId="31E17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pct"/>
            <w:vAlign w:val="center"/>
          </w:tcPr>
          <w:p w14:paraId="0164276E">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专项评价</w:t>
            </w:r>
          </w:p>
          <w:p w14:paraId="1B85E9A4">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设置情况</w:t>
            </w:r>
          </w:p>
        </w:tc>
        <w:tc>
          <w:tcPr>
            <w:tcW w:w="4059" w:type="pct"/>
            <w:gridSpan w:val="3"/>
            <w:vAlign w:val="center"/>
          </w:tcPr>
          <w:p w14:paraId="0149D417">
            <w:pPr>
              <w:spacing w:line="360" w:lineRule="auto"/>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无</w:t>
            </w:r>
          </w:p>
        </w:tc>
      </w:tr>
      <w:tr w14:paraId="5B71E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pct"/>
            <w:vAlign w:val="center"/>
          </w:tcPr>
          <w:p w14:paraId="6CDD04EE">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规划情况</w:t>
            </w:r>
          </w:p>
        </w:tc>
        <w:tc>
          <w:tcPr>
            <w:tcW w:w="4059" w:type="pct"/>
            <w:gridSpan w:val="3"/>
            <w:vAlign w:val="center"/>
          </w:tcPr>
          <w:p w14:paraId="6F0EED79">
            <w:pPr>
              <w:spacing w:line="360" w:lineRule="auto"/>
              <w:jc w:val="both"/>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规划名称：《安徽省江南产业集中区总体规划》</w:t>
            </w:r>
          </w:p>
          <w:p w14:paraId="00B4250A">
            <w:pPr>
              <w:spacing w:line="360" w:lineRule="auto"/>
              <w:jc w:val="both"/>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审批机关：安徽省人民政府</w:t>
            </w:r>
          </w:p>
          <w:p w14:paraId="3ED926E5">
            <w:pPr>
              <w:spacing w:line="360" w:lineRule="auto"/>
              <w:jc w:val="both"/>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审批文件</w:t>
            </w:r>
            <w:r>
              <w:rPr>
                <w:rFonts w:hint="eastAsia" w:ascii="Times New Roman" w:hAnsi="Times New Roman" w:eastAsia="宋体" w:cs="Times New Roman"/>
                <w:sz w:val="24"/>
                <w:lang w:val="en-US" w:eastAsia="zh-CN"/>
              </w:rPr>
              <w:t>名称及文号</w:t>
            </w:r>
            <w:r>
              <w:rPr>
                <w:rFonts w:hint="default" w:ascii="Times New Roman" w:hAnsi="Times New Roman" w:eastAsia="宋体" w:cs="Times New Roman"/>
                <w:sz w:val="24"/>
                <w:lang w:val="en-US" w:eastAsia="zh-CN"/>
              </w:rPr>
              <w:t>：《安徽省人民政府关于安徽省江南产业集中区总体规划的批复》</w:t>
            </w:r>
            <w:r>
              <w:rPr>
                <w:rFonts w:hint="eastAsia" w:ascii="Times New Roman" w:hAnsi="Times New Roman" w:eastAsia="宋体" w:cs="Times New Roman"/>
                <w:sz w:val="24"/>
                <w:lang w:val="en-US" w:eastAsia="zh-CN"/>
              </w:rPr>
              <w:t>（</w:t>
            </w:r>
            <w:r>
              <w:rPr>
                <w:rFonts w:hint="default" w:ascii="Times New Roman" w:hAnsi="Times New Roman" w:eastAsia="宋体" w:cs="Times New Roman"/>
                <w:sz w:val="24"/>
                <w:lang w:val="en-US" w:eastAsia="zh-CN"/>
              </w:rPr>
              <w:t>皖政秘[2016]138号</w:t>
            </w:r>
            <w:r>
              <w:rPr>
                <w:rFonts w:hint="eastAsia" w:ascii="Times New Roman" w:hAnsi="Times New Roman" w:eastAsia="宋体" w:cs="Times New Roman"/>
                <w:sz w:val="24"/>
                <w:lang w:val="en-US" w:eastAsia="zh-CN"/>
              </w:rPr>
              <w:t>）</w:t>
            </w:r>
          </w:p>
        </w:tc>
      </w:tr>
      <w:tr w14:paraId="6B998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pct"/>
            <w:vAlign w:val="center"/>
          </w:tcPr>
          <w:p w14:paraId="07879F2F">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规划环境影响</w:t>
            </w:r>
          </w:p>
          <w:p w14:paraId="5CAEACAA">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评价情况</w:t>
            </w:r>
          </w:p>
        </w:tc>
        <w:tc>
          <w:tcPr>
            <w:tcW w:w="4059" w:type="pct"/>
            <w:gridSpan w:val="3"/>
            <w:vAlign w:val="center"/>
          </w:tcPr>
          <w:p w14:paraId="1392D4C5">
            <w:pPr>
              <w:spacing w:line="360" w:lineRule="auto"/>
              <w:jc w:val="both"/>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规划环境影响评价名称：</w:t>
            </w:r>
            <w:r>
              <w:rPr>
                <w:rFonts w:hint="default" w:ascii="Times New Roman" w:hAnsi="Times New Roman" w:eastAsia="宋体" w:cs="Times New Roman"/>
                <w:sz w:val="24"/>
                <w:lang w:val="en-US" w:eastAsia="zh-CN"/>
              </w:rPr>
              <w:t>《安徽省江南产业集中区产业发展规划（2019-2030）环境影响报告书》</w:t>
            </w:r>
          </w:p>
          <w:p w14:paraId="19B184CF">
            <w:pPr>
              <w:spacing w:line="360" w:lineRule="auto"/>
              <w:jc w:val="both"/>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审批机关：原安徽省环境保护厅</w:t>
            </w:r>
          </w:p>
          <w:p w14:paraId="3F4E330B">
            <w:pPr>
              <w:spacing w:line="360" w:lineRule="auto"/>
              <w:jc w:val="both"/>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审批</w:t>
            </w:r>
            <w:r>
              <w:rPr>
                <w:rFonts w:hint="eastAsia" w:ascii="Times New Roman" w:hAnsi="Times New Roman" w:eastAsia="宋体" w:cs="Times New Roman"/>
                <w:sz w:val="24"/>
                <w:lang w:val="en-US" w:eastAsia="zh-CN"/>
              </w:rPr>
              <w:t>文件名称及文号：</w:t>
            </w:r>
            <w:r>
              <w:rPr>
                <w:rFonts w:hint="default" w:ascii="Times New Roman" w:hAnsi="Times New Roman" w:eastAsia="宋体" w:cs="Times New Roman"/>
                <w:sz w:val="24"/>
                <w:lang w:val="en-US" w:eastAsia="zh-CN"/>
              </w:rPr>
              <w:t>《安徽省环保厅关于安徽省江南产业集中区产业发展规划（2019-2030）环境影响报告书总体规划审查意见的函》（皖环函[2020]107号）</w:t>
            </w:r>
          </w:p>
        </w:tc>
      </w:tr>
      <w:tr w14:paraId="0F780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6" w:hRule="atLeast"/>
        </w:trPr>
        <w:tc>
          <w:tcPr>
            <w:tcW w:w="940" w:type="pct"/>
            <w:vAlign w:val="center"/>
          </w:tcPr>
          <w:p w14:paraId="597704F3">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规划及规划</w:t>
            </w:r>
          </w:p>
          <w:p w14:paraId="57EA2852">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环境影响评价</w:t>
            </w:r>
          </w:p>
          <w:p w14:paraId="5769DB2B">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符合性分析</w:t>
            </w:r>
          </w:p>
        </w:tc>
        <w:tc>
          <w:tcPr>
            <w:tcW w:w="4059" w:type="pct"/>
            <w:gridSpan w:val="3"/>
            <w:shd w:val="clear" w:color="auto" w:fill="auto"/>
            <w:vAlign w:val="center"/>
          </w:tcPr>
          <w:p w14:paraId="7CD84D57">
            <w:pPr>
              <w:keepNext w:val="0"/>
              <w:keepLines w:val="0"/>
              <w:pageBreakBefore w:val="0"/>
              <w:widowControl w:val="0"/>
              <w:numPr>
                <w:ilvl w:val="0"/>
                <w:numId w:val="2"/>
              </w:numPr>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与《安徽省江南产业集中区产业发展规划</w:t>
            </w:r>
            <w:r>
              <w:rPr>
                <w:rFonts w:hint="eastAsia" w:ascii="Times New Roman" w:hAnsi="Times New Roman" w:eastAsia="宋体" w:cs="Times New Roman"/>
                <w:sz w:val="24"/>
                <w:lang w:val="en-US" w:eastAsia="zh-CN"/>
              </w:rPr>
              <w:t>（</w:t>
            </w:r>
            <w:r>
              <w:rPr>
                <w:rFonts w:hint="default" w:ascii="Times New Roman" w:hAnsi="Times New Roman" w:eastAsia="宋体" w:cs="Times New Roman"/>
                <w:sz w:val="24"/>
                <w:lang w:val="en-US" w:eastAsia="zh-CN"/>
              </w:rPr>
              <w:t>2019-2030</w:t>
            </w:r>
            <w:r>
              <w:rPr>
                <w:rFonts w:hint="eastAsia" w:ascii="Times New Roman" w:hAnsi="Times New Roman" w:eastAsia="宋体" w:cs="Times New Roman"/>
                <w:sz w:val="24"/>
                <w:lang w:val="en-US" w:eastAsia="zh-CN"/>
              </w:rPr>
              <w:t>）</w:t>
            </w:r>
            <w:r>
              <w:rPr>
                <w:rFonts w:hint="default" w:ascii="Times New Roman" w:hAnsi="Times New Roman" w:eastAsia="宋体" w:cs="Times New Roman"/>
                <w:sz w:val="24"/>
                <w:lang w:val="en-US" w:eastAsia="zh-CN"/>
              </w:rPr>
              <w:t>》相符性分析</w:t>
            </w:r>
          </w:p>
          <w:p w14:paraId="5591273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rPr>
              <w:t>为进一步总结发展经验，理清技术创新、成果转化及产业化发展思路，明确高新技术产业发展方向，江南产业集中区管委会依据《安徽省人民政府办公厅关于促进全省开发区规范管理的通知》（皖政办秘[2019]30号）等文件的要求，于2019年5月委托合肥工业大学编制</w:t>
            </w:r>
            <w:r>
              <w:rPr>
                <w:rFonts w:hint="eastAsia" w:ascii="Times New Roman" w:hAnsi="Times New Roman" w:eastAsia="宋体" w:cs="Times New Roman"/>
                <w:sz w:val="24"/>
                <w:lang w:val="en-US" w:eastAsia="zh-CN"/>
              </w:rPr>
              <w:t>完成</w:t>
            </w:r>
            <w:r>
              <w:rPr>
                <w:rFonts w:hint="default" w:ascii="Times New Roman" w:hAnsi="Times New Roman" w:eastAsia="宋体" w:cs="Times New Roman"/>
                <w:sz w:val="24"/>
              </w:rPr>
              <w:t>《安徽省江南产业集中区产业发展规划（2019-2030年）》，</w:t>
            </w:r>
            <w:r>
              <w:rPr>
                <w:rFonts w:hint="eastAsia" w:ascii="Times New Roman" w:hAnsi="Times New Roman" w:eastAsia="宋体" w:cs="Times New Roman"/>
                <w:sz w:val="24"/>
                <w:lang w:val="en-US" w:eastAsia="zh-CN"/>
              </w:rPr>
              <w:t>对</w:t>
            </w:r>
            <w:r>
              <w:rPr>
                <w:rFonts w:hint="default" w:ascii="Times New Roman" w:hAnsi="Times New Roman" w:eastAsia="宋体" w:cs="Times New Roman"/>
                <w:sz w:val="24"/>
              </w:rPr>
              <w:t>《安徽省江南产业集中区总体规划》中主导产业进行调整变更，《安徽省江南产业集中区总体规划》中其余内容不进行变动。</w:t>
            </w:r>
          </w:p>
          <w:p w14:paraId="2804DD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sz w:val="24"/>
                <w:lang w:val="en-US" w:eastAsia="zh-CN"/>
              </w:rPr>
            </w:pPr>
            <w:r>
              <w:rPr>
                <w:rFonts w:hint="eastAsia" w:ascii="Times New Roman" w:hAnsi="Times New Roman" w:eastAsia="宋体" w:cs="Times New Roman"/>
                <w:b w:val="0"/>
                <w:bCs w:val="0"/>
                <w:sz w:val="24"/>
                <w:lang w:val="en-US" w:eastAsia="zh-CN"/>
              </w:rPr>
              <w:t>依据</w:t>
            </w:r>
            <w:r>
              <w:rPr>
                <w:rFonts w:hint="default" w:ascii="Times New Roman" w:hAnsi="Times New Roman" w:eastAsia="宋体" w:cs="Times New Roman"/>
                <w:sz w:val="24"/>
                <w:lang w:val="en-US" w:eastAsia="zh-CN"/>
              </w:rPr>
              <w:t>《安徽省江南产业集中区产业发展规划</w:t>
            </w:r>
            <w:r>
              <w:rPr>
                <w:rFonts w:hint="eastAsia" w:ascii="Times New Roman" w:hAnsi="Times New Roman" w:eastAsia="宋体" w:cs="Times New Roman"/>
                <w:sz w:val="24"/>
                <w:lang w:val="en-US" w:eastAsia="zh-CN"/>
              </w:rPr>
              <w:t>（</w:t>
            </w:r>
            <w:r>
              <w:rPr>
                <w:rFonts w:hint="default" w:ascii="Times New Roman" w:hAnsi="Times New Roman" w:eastAsia="宋体" w:cs="Times New Roman"/>
                <w:sz w:val="24"/>
                <w:lang w:val="en-US" w:eastAsia="zh-CN"/>
              </w:rPr>
              <w:t>2019-2030</w:t>
            </w:r>
            <w:r>
              <w:rPr>
                <w:rFonts w:hint="eastAsia" w:ascii="Times New Roman" w:hAnsi="Times New Roman" w:eastAsia="宋体" w:cs="Times New Roman"/>
                <w:sz w:val="24"/>
                <w:lang w:val="en-US" w:eastAsia="zh-CN"/>
              </w:rPr>
              <w:t>）</w:t>
            </w:r>
            <w:r>
              <w:rPr>
                <w:rFonts w:hint="default" w:ascii="Times New Roman" w:hAnsi="Times New Roman" w:eastAsia="宋体" w:cs="Times New Roman"/>
                <w:sz w:val="24"/>
                <w:lang w:val="en-US" w:eastAsia="zh-CN"/>
              </w:rPr>
              <w:t>》</w:t>
            </w:r>
            <w:r>
              <w:rPr>
                <w:rFonts w:hint="eastAsia" w:ascii="Times New Roman" w:hAnsi="Times New Roman" w:eastAsia="宋体" w:cs="Times New Roman"/>
                <w:sz w:val="24"/>
                <w:lang w:val="en-US" w:eastAsia="zh-CN"/>
              </w:rPr>
              <w:t>，</w:t>
            </w:r>
            <w:r>
              <w:rPr>
                <w:rFonts w:hint="default" w:ascii="Times New Roman" w:hAnsi="Times New Roman" w:eastAsia="宋体" w:cs="Times New Roman"/>
                <w:sz w:val="24"/>
                <w:lang w:val="en-US" w:eastAsia="zh-CN"/>
              </w:rPr>
              <w:t>安徽省江南产业集中区</w:t>
            </w:r>
            <w:r>
              <w:rPr>
                <w:rFonts w:hint="eastAsia" w:ascii="Times New Roman" w:hAnsi="Times New Roman" w:eastAsia="宋体" w:cs="Times New Roman"/>
                <w:sz w:val="24"/>
                <w:lang w:val="en-US" w:eastAsia="zh-CN"/>
              </w:rPr>
              <w:t>的规划范围和主导产业具体如下：</w:t>
            </w:r>
          </w:p>
          <w:p w14:paraId="6432C5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b/>
                <w:bCs/>
                <w:sz w:val="24"/>
                <w:lang w:val="en-US" w:eastAsia="zh-CN"/>
              </w:rPr>
              <w:t>总体规划范围</w:t>
            </w:r>
            <w:r>
              <w:rPr>
                <w:rFonts w:hint="eastAsia" w:ascii="Times New Roman" w:hAnsi="Times New Roman" w:eastAsia="宋体" w:cs="Times New Roman"/>
                <w:b/>
                <w:bCs/>
                <w:sz w:val="24"/>
                <w:lang w:val="en-US" w:eastAsia="zh-CN"/>
              </w:rPr>
              <w:t>：</w:t>
            </w:r>
            <w:r>
              <w:rPr>
                <w:rFonts w:hint="default" w:ascii="Times New Roman" w:hAnsi="Times New Roman" w:eastAsia="宋体" w:cs="Times New Roman"/>
                <w:sz w:val="24"/>
                <w:lang w:val="en-US" w:eastAsia="zh-CN"/>
              </w:rPr>
              <w:t>北至长江，南到铜九铁路，西起九华河，东至青通河，包括梅龙街道以及马衙街道、墩上街道部分地区，总体规划面积199.43平方公里</w:t>
            </w:r>
            <w:r>
              <w:rPr>
                <w:rFonts w:hint="eastAsia" w:ascii="Times New Roman" w:hAnsi="Times New Roman" w:eastAsia="宋体" w:cs="Times New Roman"/>
                <w:sz w:val="24"/>
                <w:lang w:val="en-US" w:eastAsia="zh-CN"/>
              </w:rPr>
              <w:t>（</w:t>
            </w:r>
            <w:r>
              <w:rPr>
                <w:rFonts w:hint="default" w:ascii="Times New Roman" w:hAnsi="Times New Roman" w:eastAsia="宋体" w:cs="Times New Roman"/>
                <w:sz w:val="24"/>
                <w:lang w:val="en-US" w:eastAsia="zh-CN"/>
              </w:rPr>
              <w:t>到2030年，建设用地规模控制在56.50平方公里以内</w:t>
            </w:r>
            <w:r>
              <w:rPr>
                <w:rFonts w:hint="eastAsia" w:ascii="Times New Roman" w:hAnsi="Times New Roman" w:eastAsia="宋体" w:cs="Times New Roman"/>
                <w:sz w:val="24"/>
                <w:lang w:val="en-US" w:eastAsia="zh-CN"/>
              </w:rPr>
              <w:t>）</w:t>
            </w:r>
            <w:r>
              <w:rPr>
                <w:rFonts w:hint="default" w:ascii="Times New Roman" w:hAnsi="Times New Roman" w:eastAsia="宋体" w:cs="Times New Roman"/>
                <w:sz w:val="24"/>
                <w:lang w:val="en-US" w:eastAsia="zh-CN"/>
              </w:rPr>
              <w:t>，由产业集中区</w:t>
            </w:r>
            <w:r>
              <w:rPr>
                <w:rFonts w:hint="eastAsia" w:ascii="Times New Roman" w:hAnsi="Times New Roman" w:eastAsia="宋体" w:cs="Times New Roman"/>
                <w:sz w:val="24"/>
                <w:lang w:val="en-US" w:eastAsia="zh-CN"/>
              </w:rPr>
              <w:t>（</w:t>
            </w:r>
            <w:r>
              <w:rPr>
                <w:rFonts w:hint="default" w:ascii="Times New Roman" w:hAnsi="Times New Roman" w:eastAsia="宋体" w:cs="Times New Roman"/>
                <w:sz w:val="24"/>
                <w:lang w:val="en-US" w:eastAsia="zh-CN"/>
              </w:rPr>
              <w:t>建设用地规模为 36.50平方公里</w:t>
            </w:r>
            <w:r>
              <w:rPr>
                <w:rFonts w:hint="eastAsia" w:ascii="Times New Roman" w:hAnsi="Times New Roman" w:eastAsia="宋体" w:cs="Times New Roman"/>
                <w:sz w:val="24"/>
                <w:lang w:val="en-US" w:eastAsia="zh-CN"/>
              </w:rPr>
              <w:t>）</w:t>
            </w:r>
            <w:r>
              <w:rPr>
                <w:rFonts w:hint="default" w:ascii="Times New Roman" w:hAnsi="Times New Roman" w:eastAsia="宋体" w:cs="Times New Roman"/>
                <w:sz w:val="24"/>
                <w:lang w:val="en-US" w:eastAsia="zh-CN"/>
              </w:rPr>
              <w:t>和城市协调发展区</w:t>
            </w:r>
            <w:r>
              <w:rPr>
                <w:rFonts w:hint="eastAsia" w:ascii="Times New Roman" w:hAnsi="Times New Roman" w:eastAsia="宋体" w:cs="Times New Roman"/>
                <w:sz w:val="24"/>
                <w:lang w:val="en-US" w:eastAsia="zh-CN"/>
              </w:rPr>
              <w:t>（</w:t>
            </w:r>
            <w:r>
              <w:rPr>
                <w:rFonts w:hint="default" w:ascii="Times New Roman" w:hAnsi="Times New Roman" w:eastAsia="宋体" w:cs="Times New Roman"/>
                <w:sz w:val="24"/>
                <w:lang w:val="en-US" w:eastAsia="zh-CN"/>
              </w:rPr>
              <w:t>建设用地规模为20.00平方公里</w:t>
            </w:r>
            <w:r>
              <w:rPr>
                <w:rFonts w:hint="eastAsia" w:ascii="Times New Roman" w:hAnsi="Times New Roman" w:eastAsia="宋体" w:cs="Times New Roman"/>
                <w:sz w:val="24"/>
                <w:lang w:val="en-US" w:eastAsia="zh-CN"/>
              </w:rPr>
              <w:t>）</w:t>
            </w:r>
            <w:r>
              <w:rPr>
                <w:rFonts w:hint="default" w:ascii="Times New Roman" w:hAnsi="Times New Roman" w:eastAsia="宋体" w:cs="Times New Roman"/>
                <w:sz w:val="24"/>
                <w:lang w:val="en-US" w:eastAsia="zh-CN"/>
              </w:rPr>
              <w:t>两部分组成。</w:t>
            </w:r>
          </w:p>
          <w:p w14:paraId="4945428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b/>
                <w:bCs/>
                <w:sz w:val="24"/>
                <w:lang w:val="en-US" w:eastAsia="zh-CN"/>
              </w:rPr>
              <w:t>主导产业发展规划</w:t>
            </w:r>
            <w:r>
              <w:rPr>
                <w:rFonts w:hint="eastAsia" w:ascii="Times New Roman" w:hAnsi="Times New Roman" w:eastAsia="宋体" w:cs="Times New Roman"/>
                <w:b/>
                <w:bCs/>
                <w:sz w:val="24"/>
                <w:lang w:val="en-US" w:eastAsia="zh-CN"/>
              </w:rPr>
              <w:t>：</w:t>
            </w:r>
            <w:r>
              <w:rPr>
                <w:rFonts w:hint="default" w:ascii="Times New Roman" w:hAnsi="Times New Roman" w:eastAsia="宋体" w:cs="Times New Roman"/>
                <w:sz w:val="24"/>
                <w:lang w:val="en-US" w:eastAsia="zh-CN"/>
              </w:rPr>
              <w:t>大力发展机械电子、新型材料、大健康产业作为产业强区战略壮大区域经济的突破口。</w:t>
            </w:r>
          </w:p>
          <w:p w14:paraId="1360E0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本项目</w:t>
            </w:r>
            <w:r>
              <w:rPr>
                <w:rFonts w:hint="eastAsia" w:ascii="Times New Roman" w:hAnsi="Times New Roman" w:eastAsia="宋体" w:cs="Times New Roman"/>
                <w:sz w:val="24"/>
                <w:lang w:val="en-US" w:eastAsia="zh-CN"/>
              </w:rPr>
              <w:t>为</w:t>
            </w:r>
            <w:r>
              <w:rPr>
                <w:rFonts w:hint="default" w:ascii="Times New Roman" w:hAnsi="Times New Roman" w:eastAsia="宋体" w:cs="Times New Roman"/>
                <w:sz w:val="24"/>
                <w:lang w:val="en-US" w:eastAsia="zh-CN"/>
              </w:rPr>
              <w:t>C3914工业控制计算机及系统制造，属于园区三大主导产业中的机械电子产业。根据《安徽省江南产业集中区总体规划》（201</w:t>
            </w:r>
            <w:r>
              <w:rPr>
                <w:rFonts w:hint="eastAsia" w:ascii="Times New Roman" w:hAnsi="Times New Roman" w:eastAsia="宋体" w:cs="Times New Roman"/>
                <w:sz w:val="24"/>
                <w:lang w:val="en-US" w:eastAsia="zh-CN"/>
              </w:rPr>
              <w:t>9</w:t>
            </w:r>
            <w:r>
              <w:rPr>
                <w:rFonts w:hint="default" w:ascii="Times New Roman" w:hAnsi="Times New Roman" w:eastAsia="宋体" w:cs="Times New Roman"/>
                <w:sz w:val="24"/>
                <w:lang w:val="en-US" w:eastAsia="zh-CN"/>
              </w:rPr>
              <w:t>-2030年）中规划用地布局图可知，项目用地属于工业用地（详见附图</w:t>
            </w:r>
            <w:r>
              <w:rPr>
                <w:rFonts w:hint="eastAsia" w:ascii="Times New Roman" w:hAnsi="Times New Roman" w:eastAsia="宋体" w:cs="Times New Roman"/>
                <w:sz w:val="24"/>
                <w:lang w:val="en-US" w:eastAsia="zh-CN"/>
              </w:rPr>
              <w:t>9</w:t>
            </w:r>
            <w:r>
              <w:rPr>
                <w:rFonts w:hint="default" w:ascii="Times New Roman" w:hAnsi="Times New Roman" w:eastAsia="宋体" w:cs="Times New Roman"/>
                <w:sz w:val="24"/>
                <w:lang w:val="en-US" w:eastAsia="zh-CN"/>
              </w:rPr>
              <w:t>）</w:t>
            </w:r>
            <w:r>
              <w:rPr>
                <w:rFonts w:hint="eastAsia" w:ascii="Times New Roman" w:hAnsi="Times New Roman" w:eastAsia="宋体" w:cs="Times New Roman"/>
                <w:sz w:val="24"/>
                <w:lang w:val="en-US" w:eastAsia="zh-CN"/>
              </w:rPr>
              <w:t>。</w:t>
            </w:r>
            <w:r>
              <w:rPr>
                <w:rFonts w:hint="default" w:ascii="Times New Roman" w:hAnsi="Times New Roman" w:eastAsia="宋体" w:cs="Times New Roman"/>
                <w:sz w:val="24"/>
                <w:lang w:val="en-US" w:eastAsia="zh-CN"/>
              </w:rPr>
              <w:t>因此，本项目建设符合《安徽省江南产业集中区产业发展规划（2019-2030年）》要求。</w:t>
            </w:r>
          </w:p>
          <w:p w14:paraId="011FF679">
            <w:pPr>
              <w:keepNext w:val="0"/>
              <w:keepLines w:val="0"/>
              <w:pageBreakBefore w:val="0"/>
              <w:widowControl w:val="0"/>
              <w:numPr>
                <w:ilvl w:val="0"/>
                <w:numId w:val="2"/>
              </w:numPr>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与</w:t>
            </w:r>
            <w:r>
              <w:rPr>
                <w:rFonts w:hint="default" w:ascii="Times New Roman" w:hAnsi="Times New Roman" w:eastAsia="宋体" w:cs="Times New Roman"/>
                <w:sz w:val="24"/>
                <w:lang w:val="en-US" w:eastAsia="zh-CN"/>
              </w:rPr>
              <w:t>规划环境影响评价及其审查意见符合性分析</w:t>
            </w:r>
          </w:p>
          <w:p w14:paraId="6453C830">
            <w:pPr>
              <w:pStyle w:val="28"/>
              <w:keepNext w:val="0"/>
              <w:keepLines w:val="0"/>
              <w:pageBreakBefore w:val="0"/>
              <w:widowControl w:val="0"/>
              <w:shd w:val="clear"/>
              <w:kinsoku/>
              <w:wordWrap/>
              <w:overflowPunct/>
              <w:topLinePunct w:val="0"/>
              <w:bidi w:val="0"/>
              <w:snapToGrid/>
              <w:spacing w:line="360" w:lineRule="auto"/>
              <w:ind w:left="0" w:leftChars="0" w:firstLine="0" w:firstLineChars="0"/>
              <w:jc w:val="center"/>
              <w:rPr>
                <w:rFonts w:hint="default" w:ascii="Times New Roman" w:hAnsi="Times New Roman" w:eastAsia="黑体" w:cs="Times New Roman"/>
                <w:b w:val="0"/>
                <w:bCs/>
                <w:sz w:val="21"/>
                <w:szCs w:val="21"/>
              </w:rPr>
            </w:pPr>
            <w:r>
              <w:rPr>
                <w:rFonts w:hint="default" w:ascii="Times New Roman" w:hAnsi="Times New Roman" w:eastAsia="黑体" w:cs="Times New Roman"/>
                <w:b w:val="0"/>
                <w:bCs/>
                <w:sz w:val="21"/>
                <w:szCs w:val="21"/>
              </w:rPr>
              <w:t>表</w:t>
            </w:r>
            <w:r>
              <w:rPr>
                <w:rFonts w:hint="eastAsia" w:ascii="Times New Roman" w:hAnsi="Times New Roman" w:eastAsia="黑体" w:cs="Times New Roman"/>
                <w:b w:val="0"/>
                <w:bCs/>
                <w:sz w:val="21"/>
                <w:szCs w:val="21"/>
                <w:lang w:val="en-US" w:eastAsia="zh-CN"/>
              </w:rPr>
              <w:t>1-1</w:t>
            </w:r>
            <w:r>
              <w:rPr>
                <w:rFonts w:hint="default" w:ascii="Times New Roman" w:hAnsi="Times New Roman" w:eastAsia="黑体" w:cs="Times New Roman"/>
                <w:b w:val="0"/>
                <w:bCs/>
                <w:sz w:val="21"/>
                <w:szCs w:val="21"/>
              </w:rPr>
              <w:t xml:space="preserve"> 与安徽省江南产业集中区产业发展规划环境影响报告书及规划审查意见符合性分析</w:t>
            </w:r>
          </w:p>
          <w:tbl>
            <w:tblPr>
              <w:tblStyle w:val="25"/>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3817"/>
              <w:gridCol w:w="1794"/>
              <w:gridCol w:w="686"/>
            </w:tblGrid>
            <w:tr w14:paraId="2D347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88" w:type="pct"/>
                  <w:vAlign w:val="center"/>
                </w:tcPr>
                <w:p w14:paraId="2D94A162">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分析内容</w:t>
                  </w:r>
                </w:p>
              </w:tc>
              <w:tc>
                <w:tcPr>
                  <w:tcW w:w="2613" w:type="pct"/>
                  <w:vAlign w:val="center"/>
                </w:tcPr>
                <w:p w14:paraId="040B94E6">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规划内容</w:t>
                  </w:r>
                </w:p>
              </w:tc>
              <w:tc>
                <w:tcPr>
                  <w:tcW w:w="1228" w:type="pct"/>
                  <w:vAlign w:val="center"/>
                </w:tcPr>
                <w:p w14:paraId="54A729A3">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本项目</w:t>
                  </w:r>
                </w:p>
              </w:tc>
              <w:tc>
                <w:tcPr>
                  <w:tcW w:w="469" w:type="pct"/>
                  <w:vAlign w:val="center"/>
                </w:tcPr>
                <w:p w14:paraId="26503532">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符合性</w:t>
                  </w:r>
                </w:p>
              </w:tc>
            </w:tr>
            <w:tr w14:paraId="3EBE6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88" w:type="pct"/>
                  <w:vMerge w:val="restart"/>
                  <w:vAlign w:val="center"/>
                </w:tcPr>
                <w:p w14:paraId="39322627">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《安徽省江南产业集中区产业发展规划（2019-2030）环境影响报告书》</w:t>
                  </w:r>
                </w:p>
              </w:tc>
              <w:tc>
                <w:tcPr>
                  <w:tcW w:w="2613" w:type="pct"/>
                  <w:vAlign w:val="center"/>
                </w:tcPr>
                <w:p w14:paraId="16AEE59B">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1、规划四至范围为东至泰山路，南至九华湖，西至昆仑山路，北至滨江大道，规划用地规模为36.50平方公里，规划主导产业为机械电子、新型材料和大健康三大主导产业。</w:t>
                  </w:r>
                </w:p>
              </w:tc>
              <w:tc>
                <w:tcPr>
                  <w:tcW w:w="1228" w:type="pct"/>
                  <w:vAlign w:val="center"/>
                </w:tcPr>
                <w:p w14:paraId="2D63EA25">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本项目为C3914工业控制计算机及系统制造，属于园区三大主导产业中的机械电子产业。</w:t>
                  </w:r>
                </w:p>
              </w:tc>
              <w:tc>
                <w:tcPr>
                  <w:tcW w:w="469" w:type="pct"/>
                  <w:vAlign w:val="center"/>
                </w:tcPr>
                <w:p w14:paraId="7BD729FC">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符合</w:t>
                  </w:r>
                </w:p>
              </w:tc>
            </w:tr>
            <w:tr w14:paraId="2602F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88" w:type="pct"/>
                  <w:vMerge w:val="continue"/>
                  <w:vAlign w:val="center"/>
                </w:tcPr>
                <w:p w14:paraId="0685AD65">
                  <w:pPr>
                    <w:shd w:val="clear"/>
                    <w:spacing w:line="360" w:lineRule="exact"/>
                    <w:jc w:val="center"/>
                    <w:rPr>
                      <w:rFonts w:hint="default" w:ascii="Times New Roman" w:hAnsi="Times New Roman" w:eastAsia="宋体" w:cs="Times New Roman"/>
                      <w:b w:val="0"/>
                      <w:bCs w:val="0"/>
                      <w:szCs w:val="21"/>
                      <w:lang w:val="en-US" w:eastAsia="zh-CN"/>
                    </w:rPr>
                  </w:pPr>
                </w:p>
              </w:tc>
              <w:tc>
                <w:tcPr>
                  <w:tcW w:w="2613" w:type="pct"/>
                  <w:vAlign w:val="center"/>
                </w:tcPr>
                <w:p w14:paraId="3BB02093">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2、强化工业源治理措施。加强现有企业生产废气治理设施的监管工作，确保设施正常运行；严格区内传统制造企业生产废气的治理要求，倒逼企业创新转型。规划实施期间，对于新引进有供热需求的企业，需优先使用集中供热或清洁能源，尽可能减少区域内二氧化硫和氮氧化物的排放量。进一步控制排放挥发性有机污染物等特征污染物项目的引进，并加快对现有排放挥发性有机污染物等特征污染物企业的升级改造工作，提高原料的清洁性并加强污染控制措施，对区内排放不达标的企业实施限期整改。</w:t>
                  </w:r>
                </w:p>
              </w:tc>
              <w:tc>
                <w:tcPr>
                  <w:tcW w:w="1228" w:type="pct"/>
                  <w:vAlign w:val="center"/>
                </w:tcPr>
                <w:p w14:paraId="3A3BF809">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本项目废气经收集后通过“滤筒除尘器+二级活性炭吸附”装置处理，最后经1根23m高排气筒排放。</w:t>
                  </w:r>
                </w:p>
              </w:tc>
              <w:tc>
                <w:tcPr>
                  <w:tcW w:w="469" w:type="pct"/>
                  <w:vAlign w:val="center"/>
                </w:tcPr>
                <w:p w14:paraId="5FCF125E">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符合</w:t>
                  </w:r>
                </w:p>
              </w:tc>
            </w:tr>
            <w:tr w14:paraId="78CFF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88" w:type="pct"/>
                  <w:vMerge w:val="continue"/>
                  <w:vAlign w:val="center"/>
                </w:tcPr>
                <w:p w14:paraId="550A5C91">
                  <w:pPr>
                    <w:shd w:val="clear"/>
                    <w:spacing w:line="360" w:lineRule="exact"/>
                    <w:jc w:val="center"/>
                    <w:rPr>
                      <w:rFonts w:hint="default" w:ascii="Times New Roman" w:hAnsi="Times New Roman" w:eastAsia="宋体" w:cs="Times New Roman"/>
                      <w:b w:val="0"/>
                      <w:bCs w:val="0"/>
                      <w:szCs w:val="21"/>
                      <w:lang w:val="en-US" w:eastAsia="zh-CN"/>
                    </w:rPr>
                  </w:pPr>
                </w:p>
              </w:tc>
              <w:tc>
                <w:tcPr>
                  <w:tcW w:w="2613" w:type="pct"/>
                  <w:vAlign w:val="center"/>
                </w:tcPr>
                <w:p w14:paraId="757301D4">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严格落实水污染防治行动计划、关于全面打造水清岸绿产业优美丽长江（安徽）经济带的实施意见以及集中区上轮规划环评及审查意见中有关要求，各企业应按清污分流、雨污分流原则建立完善的排水系统，加强企业废水污染源整治，确保达标纳管，在现有监管的基础上，进一步加强对生产企业监管力度，从废水预处理、建立完善的废水收集和排放体系方面，确保企业生产废水治理设施正常运转、达标纳管。企业废水预处理针对自身废水特点，遵循分质处理的原则，采用经济可行的处理方案，确保接管废水达到污水处理厂接管限值。</w:t>
                  </w:r>
                </w:p>
              </w:tc>
              <w:tc>
                <w:tcPr>
                  <w:tcW w:w="1228" w:type="pct"/>
                  <w:vAlign w:val="center"/>
                </w:tcPr>
                <w:p w14:paraId="53E2DC81">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厂区采取雨污分流制，项目无生产废水排放，生活污水经园区化粪池预处理后排入江南产业集中区第一污水处理厂，处理达标后经九华河排入长江。满足水污染防治行动计划、关于全面打造水清岸绿产业优美丽长江（安徽）经济带的实施意见以及集中区上轮规划环评及审查意见中有关要求。</w:t>
                  </w:r>
                </w:p>
              </w:tc>
              <w:tc>
                <w:tcPr>
                  <w:tcW w:w="469" w:type="pct"/>
                  <w:vAlign w:val="center"/>
                </w:tcPr>
                <w:p w14:paraId="7500DD1C">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符合</w:t>
                  </w:r>
                </w:p>
              </w:tc>
            </w:tr>
            <w:tr w14:paraId="35B86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88" w:type="pct"/>
                  <w:vMerge w:val="continue"/>
                  <w:vAlign w:val="center"/>
                </w:tcPr>
                <w:p w14:paraId="70D0510E">
                  <w:pPr>
                    <w:shd w:val="clear"/>
                    <w:spacing w:line="360" w:lineRule="exact"/>
                    <w:jc w:val="center"/>
                    <w:rPr>
                      <w:rFonts w:hint="default" w:ascii="Times New Roman" w:hAnsi="Times New Roman" w:eastAsia="宋体" w:cs="Times New Roman"/>
                      <w:b w:val="0"/>
                      <w:bCs w:val="0"/>
                      <w:szCs w:val="21"/>
                      <w:lang w:val="en-US" w:eastAsia="zh-CN"/>
                    </w:rPr>
                  </w:pPr>
                </w:p>
              </w:tc>
              <w:tc>
                <w:tcPr>
                  <w:tcW w:w="2613" w:type="pct"/>
                  <w:vAlign w:val="center"/>
                </w:tcPr>
                <w:p w14:paraId="7917C8E9">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4、</w:t>
                  </w:r>
                  <w:r>
                    <w:rPr>
                      <w:rFonts w:hint="default" w:ascii="Times New Roman" w:hAnsi="Times New Roman" w:eastAsia="宋体" w:cs="Times New Roman"/>
                      <w:b w:val="0"/>
                      <w:bCs w:val="0"/>
                      <w:szCs w:val="21"/>
                      <w:lang w:val="en-US" w:eastAsia="zh-CN"/>
                    </w:rPr>
                    <w:t>建议企业在做好地下水防渗措施的基础上，监管人员做好企业和规划区的风险防范工作，加强安全教育和监管巡查力度，做好地下水跟踪监测，定期取地下水样进行监测，发现问题及时处理，避免建设项目对地下水环境造成恶化</w:t>
                  </w:r>
                  <w:r>
                    <w:rPr>
                      <w:rFonts w:hint="eastAsia" w:ascii="Times New Roman" w:hAnsi="Times New Roman" w:eastAsia="宋体" w:cs="Times New Roman"/>
                      <w:b w:val="0"/>
                      <w:bCs w:val="0"/>
                      <w:szCs w:val="21"/>
                      <w:lang w:val="en-US" w:eastAsia="zh-CN"/>
                    </w:rPr>
                    <w:t>。</w:t>
                  </w:r>
                </w:p>
              </w:tc>
              <w:tc>
                <w:tcPr>
                  <w:tcW w:w="1228" w:type="pct"/>
                  <w:vAlign w:val="center"/>
                </w:tcPr>
                <w:p w14:paraId="6DC513BE">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本项目厂房在4层，正常情况下无土壤及地下水环境污染途径，不会对土壤及地下水环境产生不利影响，本环评要求项目危废贮存点、辅料存放区做好防腐措施即可。</w:t>
                  </w:r>
                </w:p>
              </w:tc>
              <w:tc>
                <w:tcPr>
                  <w:tcW w:w="469" w:type="pct"/>
                  <w:vAlign w:val="center"/>
                </w:tcPr>
                <w:p w14:paraId="68348D0F">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符合</w:t>
                  </w:r>
                </w:p>
              </w:tc>
            </w:tr>
            <w:tr w14:paraId="3BA2F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88" w:type="pct"/>
                  <w:vMerge w:val="continue"/>
                  <w:vAlign w:val="center"/>
                </w:tcPr>
                <w:p w14:paraId="2D67BFB3">
                  <w:pPr>
                    <w:shd w:val="clear"/>
                    <w:spacing w:line="360" w:lineRule="exact"/>
                    <w:jc w:val="center"/>
                    <w:rPr>
                      <w:rFonts w:hint="default" w:ascii="Times New Roman" w:hAnsi="Times New Roman" w:eastAsia="宋体" w:cs="Times New Roman"/>
                      <w:b w:val="0"/>
                      <w:bCs w:val="0"/>
                      <w:szCs w:val="21"/>
                      <w:lang w:val="en-US" w:eastAsia="zh-CN"/>
                    </w:rPr>
                  </w:pPr>
                </w:p>
              </w:tc>
              <w:tc>
                <w:tcPr>
                  <w:tcW w:w="2613" w:type="pct"/>
                  <w:vAlign w:val="center"/>
                </w:tcPr>
                <w:p w14:paraId="41F5E804">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5、包括加强环境管理、降低建设期间的施工噪声，对各企业高噪声设备采取降噪处理；加强区内的交通组织与管理，减轻交通噪声的影响；重点保护居民区、学校等敏感目标的声环境质量。在建设中落实“三同时”的要求，确保噪声达标排放。</w:t>
                  </w:r>
                </w:p>
              </w:tc>
              <w:tc>
                <w:tcPr>
                  <w:tcW w:w="1228" w:type="pct"/>
                  <w:vAlign w:val="center"/>
                </w:tcPr>
                <w:p w14:paraId="25B03BEF">
                  <w:pPr>
                    <w:shd w:val="clear"/>
                    <w:spacing w:line="360" w:lineRule="exact"/>
                    <w:jc w:val="center"/>
                    <w:rPr>
                      <w:rFonts w:hint="default" w:ascii="Times New Roman" w:hAnsi="Times New Roman" w:eastAsia="宋体" w:cs="Times New Roman"/>
                      <w:b w:val="0"/>
                      <w:bCs w:val="0"/>
                      <w:szCs w:val="21"/>
                      <w:lang w:val="en-US" w:eastAsia="zh-CN"/>
                    </w:rPr>
                  </w:pPr>
                  <w:r>
                    <w:rPr>
                      <w:rFonts w:hint="default" w:ascii="Times New Roman" w:hAnsi="Times New Roman" w:eastAsia="宋体" w:cs="Times New Roman"/>
                      <w:b w:val="0"/>
                      <w:bCs w:val="0"/>
                      <w:szCs w:val="21"/>
                      <w:lang w:val="en-US" w:eastAsia="zh-CN"/>
                    </w:rPr>
                    <w:t>项目采取选用低噪声设备、合理布局、厂房隔声、设备减振等措施，厂界噪声预测值均满足《工业企业厂界环境噪声排放标准》（GB12348-2008）</w:t>
                  </w:r>
                  <w:r>
                    <w:rPr>
                      <w:rFonts w:hint="eastAsia" w:ascii="Times New Roman" w:hAnsi="Times New Roman" w:eastAsia="宋体" w:cs="Times New Roman"/>
                      <w:b w:val="0"/>
                      <w:bCs w:val="0"/>
                      <w:szCs w:val="21"/>
                      <w:lang w:val="en-US" w:eastAsia="zh-CN"/>
                    </w:rPr>
                    <w:t>3类</w:t>
                  </w:r>
                  <w:r>
                    <w:rPr>
                      <w:rFonts w:hint="default" w:ascii="Times New Roman" w:hAnsi="Times New Roman" w:eastAsia="宋体" w:cs="Times New Roman"/>
                      <w:b w:val="0"/>
                      <w:bCs w:val="0"/>
                      <w:szCs w:val="21"/>
                      <w:lang w:val="en-US" w:eastAsia="zh-CN"/>
                    </w:rPr>
                    <w:t>标准限值</w:t>
                  </w:r>
                  <w:r>
                    <w:rPr>
                      <w:rFonts w:hint="eastAsia" w:ascii="Times New Roman" w:hAnsi="Times New Roman" w:eastAsia="宋体" w:cs="Times New Roman"/>
                      <w:b w:val="0"/>
                      <w:bCs w:val="0"/>
                      <w:szCs w:val="21"/>
                      <w:lang w:val="en-US" w:eastAsia="zh-CN"/>
                    </w:rPr>
                    <w:t>。</w:t>
                  </w:r>
                </w:p>
              </w:tc>
              <w:tc>
                <w:tcPr>
                  <w:tcW w:w="469" w:type="pct"/>
                  <w:vAlign w:val="center"/>
                </w:tcPr>
                <w:p w14:paraId="6170D398">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符合</w:t>
                  </w:r>
                </w:p>
              </w:tc>
            </w:tr>
            <w:tr w14:paraId="6D3A9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88" w:type="pct"/>
                  <w:vMerge w:val="continue"/>
                  <w:vAlign w:val="center"/>
                </w:tcPr>
                <w:p w14:paraId="3A5971DB">
                  <w:pPr>
                    <w:shd w:val="clear"/>
                    <w:spacing w:line="360" w:lineRule="exact"/>
                    <w:jc w:val="center"/>
                    <w:rPr>
                      <w:rFonts w:hint="default" w:ascii="Times New Roman" w:hAnsi="Times New Roman" w:eastAsia="宋体" w:cs="Times New Roman"/>
                      <w:b w:val="0"/>
                      <w:bCs w:val="0"/>
                      <w:szCs w:val="21"/>
                      <w:lang w:val="en-US" w:eastAsia="zh-CN"/>
                    </w:rPr>
                  </w:pPr>
                </w:p>
              </w:tc>
              <w:tc>
                <w:tcPr>
                  <w:tcW w:w="2613" w:type="pct"/>
                  <w:vAlign w:val="center"/>
                </w:tcPr>
                <w:p w14:paraId="2530F5B7">
                  <w:pPr>
                    <w:shd w:val="clear"/>
                    <w:spacing w:line="360" w:lineRule="exact"/>
                    <w:jc w:val="both"/>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（1）机械电子产业：</w:t>
                  </w:r>
                </w:p>
                <w:p w14:paraId="4D71B3BB">
                  <w:pPr>
                    <w:shd w:val="clear"/>
                    <w:spacing w:line="360" w:lineRule="exact"/>
                    <w:jc w:val="both"/>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①禁止引入表面处理中心以外的电镀生产工艺（其他必须配套电镀工序的企业，应严格控制其镀种和在电镀中心以外布局，其选址需经过充分环境影响论证）；②禁止引入国家产业指导目录中非鼓励类铅酸电池项目。</w:t>
                  </w:r>
                </w:p>
                <w:p w14:paraId="286A20DF">
                  <w:pPr>
                    <w:shd w:val="clear"/>
                    <w:spacing w:line="360" w:lineRule="exact"/>
                    <w:jc w:val="both"/>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（2）新型材料产业：</w:t>
                  </w:r>
                </w:p>
                <w:p w14:paraId="1374990D">
                  <w:pPr>
                    <w:shd w:val="clear"/>
                    <w:spacing w:line="360" w:lineRule="exact"/>
                    <w:jc w:val="both"/>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①禁止引入能耗物耗高、环境污染大、产出效益低的国家或省规定禁止的其他落后工艺；</w:t>
                  </w:r>
                </w:p>
                <w:p w14:paraId="4F0546AE">
                  <w:pPr>
                    <w:shd w:val="clear"/>
                    <w:spacing w:line="360" w:lineRule="exact"/>
                    <w:jc w:val="both"/>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②禁止引入表面处理中心以外的电镀生产工艺（其他必须配套电镀工序的企业，应严格控制其镀种和在电镀中心以外布局，其选址需经过充分环境影响论证）；</w:t>
                  </w:r>
                </w:p>
                <w:p w14:paraId="6657BD5E">
                  <w:pPr>
                    <w:shd w:val="clear"/>
                    <w:spacing w:line="360" w:lineRule="exact"/>
                    <w:jc w:val="both"/>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③禁止引入多晶硅、单晶硅制造等前道生产工序；</w:t>
                  </w:r>
                </w:p>
                <w:p w14:paraId="25B207E6">
                  <w:pPr>
                    <w:shd w:val="clear"/>
                    <w:spacing w:line="360" w:lineRule="exact"/>
                    <w:jc w:val="both"/>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④禁止引入酸、碱、肥料、农药以及化学合成制药等污染严重的化工项目，为集中区内项目上下游配套、污染较轻的，以及单纯混合和分装的复配项目需经项目环评阶段充分论证后方可准入；</w:t>
                  </w:r>
                </w:p>
                <w:p w14:paraId="273BFD8F">
                  <w:pPr>
                    <w:shd w:val="clear"/>
                    <w:spacing w:line="360" w:lineRule="exact"/>
                    <w:jc w:val="both"/>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⑤从严控制规模效益差、能源资源消耗大、环境影响严重的项目进入，包括钢铁、有色金属原矿冶炼、石化、焦化、水泥、原浆造纸、制革、平板玻璃和非金属矿原矿加工等项目。</w:t>
                  </w:r>
                </w:p>
                <w:p w14:paraId="7D1B65F6">
                  <w:pPr>
                    <w:shd w:val="clear"/>
                    <w:spacing w:line="360" w:lineRule="exact"/>
                    <w:jc w:val="both"/>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（3）大健康产业</w:t>
                  </w:r>
                </w:p>
                <w:p w14:paraId="73C56A6D">
                  <w:pPr>
                    <w:shd w:val="clear"/>
                    <w:spacing w:line="360" w:lineRule="exact"/>
                    <w:jc w:val="both"/>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①禁止引入《产业结构调整指导目录（2019年本）》等产业政策中限制类和淘汰类设备和工艺；</w:t>
                  </w:r>
                </w:p>
                <w:p w14:paraId="0FDF26F2">
                  <w:pPr>
                    <w:shd w:val="clear"/>
                    <w:spacing w:line="360" w:lineRule="exact"/>
                    <w:jc w:val="both"/>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②禁止引入涉及化学合成工序的制药类项目。</w:t>
                  </w:r>
                </w:p>
              </w:tc>
              <w:tc>
                <w:tcPr>
                  <w:tcW w:w="1228" w:type="pct"/>
                  <w:vAlign w:val="center"/>
                </w:tcPr>
                <w:p w14:paraId="303A1F96">
                  <w:pPr>
                    <w:shd w:val="clear"/>
                    <w:spacing w:line="360" w:lineRule="exact"/>
                    <w:jc w:val="center"/>
                    <w:rPr>
                      <w:rFonts w:hint="default" w:ascii="Times New Roman" w:hAnsi="Times New Roman" w:eastAsia="宋体" w:cs="Times New Roman"/>
                      <w:b w:val="0"/>
                      <w:bCs w:val="0"/>
                      <w:szCs w:val="21"/>
                      <w:lang w:val="en-US" w:eastAsia="zh-CN"/>
                    </w:rPr>
                  </w:pPr>
                  <w:r>
                    <w:rPr>
                      <w:rFonts w:hint="default" w:ascii="Times New Roman" w:hAnsi="Times New Roman" w:eastAsia="宋体" w:cs="Times New Roman"/>
                      <w:b w:val="0"/>
                      <w:bCs w:val="0"/>
                      <w:szCs w:val="21"/>
                      <w:lang w:val="en-US" w:eastAsia="zh-CN"/>
                    </w:rPr>
                    <w:t>本项目属于C3914工业控制计算机及系统制造，属于主导产业中的机械电子产业，不在园区项目负面清单内</w:t>
                  </w:r>
                  <w:r>
                    <w:rPr>
                      <w:rFonts w:hint="eastAsia" w:ascii="Times New Roman" w:hAnsi="Times New Roman" w:eastAsia="宋体" w:cs="Times New Roman"/>
                      <w:b w:val="0"/>
                      <w:bCs w:val="0"/>
                      <w:szCs w:val="21"/>
                      <w:lang w:val="en-US" w:eastAsia="zh-CN"/>
                    </w:rPr>
                    <w:t>。</w:t>
                  </w:r>
                </w:p>
              </w:tc>
              <w:tc>
                <w:tcPr>
                  <w:tcW w:w="469" w:type="pct"/>
                  <w:vAlign w:val="center"/>
                </w:tcPr>
                <w:p w14:paraId="4BAF56BE">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符合</w:t>
                  </w:r>
                </w:p>
              </w:tc>
            </w:tr>
            <w:tr w14:paraId="42CCA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88" w:type="pct"/>
                  <w:vMerge w:val="restart"/>
                  <w:vAlign w:val="center"/>
                </w:tcPr>
                <w:p w14:paraId="7AAB33EB">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《安徽省江南产业集中区产业发展规划（2019-2030）环境影响报告书》审查意见要求</w:t>
                  </w:r>
                </w:p>
              </w:tc>
              <w:tc>
                <w:tcPr>
                  <w:tcW w:w="2613" w:type="pct"/>
                  <w:vAlign w:val="center"/>
                </w:tcPr>
                <w:p w14:paraId="28787485">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一）鉴于集中区开发建设用地周边存在铜陵淡水豚国家级自然保护区、安徽贵池十八索省级自然保护区等重点环境敏感目标，集中区应严格落实《报告书》提出的污水集中处理、中水回用等工程措施，确保集中区污水不排入安徽贵池十八索省级自然保护区范围，污水经九华河入长江后，不降低铜陵淡水豚国家自然保护区现有水环境质量。要做好与九华山机场相关规划的衔接，建筑物高度应符合机场净空要求，并根据机场噪声对起步区的影响，合理规划在机场周边的用地布局。</w:t>
                  </w:r>
                </w:p>
              </w:tc>
              <w:tc>
                <w:tcPr>
                  <w:tcW w:w="1228" w:type="pct"/>
                  <w:vAlign w:val="center"/>
                </w:tcPr>
                <w:p w14:paraId="1098B7C6">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铜陵淡水豚国家级自然保护区、安徽贵池十八索省级自然保护区等重点环境敏感目标不在本项目评价范围内。</w:t>
                  </w:r>
                </w:p>
              </w:tc>
              <w:tc>
                <w:tcPr>
                  <w:tcW w:w="469" w:type="pct"/>
                  <w:vAlign w:val="center"/>
                </w:tcPr>
                <w:p w14:paraId="27FB637E">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符合</w:t>
                  </w:r>
                </w:p>
              </w:tc>
            </w:tr>
            <w:tr w14:paraId="058BC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88" w:type="pct"/>
                  <w:vMerge w:val="continue"/>
                  <w:vAlign w:val="center"/>
                </w:tcPr>
                <w:p w14:paraId="17BFC59F">
                  <w:pPr>
                    <w:shd w:val="clear"/>
                    <w:spacing w:line="360" w:lineRule="exact"/>
                    <w:jc w:val="center"/>
                    <w:rPr>
                      <w:rFonts w:hint="eastAsia" w:ascii="Times New Roman" w:hAnsi="Times New Roman" w:eastAsia="宋体" w:cs="Times New Roman"/>
                      <w:b w:val="0"/>
                      <w:bCs w:val="0"/>
                      <w:szCs w:val="21"/>
                      <w:lang w:val="en-US" w:eastAsia="zh-CN"/>
                    </w:rPr>
                  </w:pPr>
                </w:p>
              </w:tc>
              <w:tc>
                <w:tcPr>
                  <w:tcW w:w="2613" w:type="pct"/>
                  <w:vAlign w:val="center"/>
                </w:tcPr>
                <w:p w14:paraId="53BA4991">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二）进一步优化集中区的空间布局。根据集中区各产业特点，充分考虑自然保护区和居住区域生态环境要求，进一步优化调整空间布局，减轻和避免各功能区之间、项目之间在环境要求方面的相互影响。在与自然保护区和居住区相邻的工业区项目选择及布点时，充分考虑与自然保护区和居住区之间的关系和环境保护问题，确保自然保护区和居民生态环境质量不降低。</w:t>
                  </w:r>
                </w:p>
              </w:tc>
              <w:tc>
                <w:tcPr>
                  <w:tcW w:w="1228" w:type="pct"/>
                  <w:vMerge w:val="restart"/>
                  <w:vAlign w:val="center"/>
                </w:tcPr>
                <w:p w14:paraId="5F54CC36">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本项目符合园区产业规划，且污染物均经过相应处理设施处理后可达标排放。</w:t>
                  </w:r>
                </w:p>
              </w:tc>
              <w:tc>
                <w:tcPr>
                  <w:tcW w:w="469" w:type="pct"/>
                  <w:vMerge w:val="restart"/>
                  <w:vAlign w:val="center"/>
                </w:tcPr>
                <w:p w14:paraId="55FD3AE8">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符合</w:t>
                  </w:r>
                </w:p>
              </w:tc>
            </w:tr>
            <w:tr w14:paraId="4A1E3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88" w:type="pct"/>
                  <w:vMerge w:val="continue"/>
                  <w:vAlign w:val="center"/>
                </w:tcPr>
                <w:p w14:paraId="685A1F33">
                  <w:pPr>
                    <w:shd w:val="clear"/>
                    <w:spacing w:line="360" w:lineRule="exact"/>
                    <w:jc w:val="center"/>
                    <w:rPr>
                      <w:rFonts w:hint="eastAsia" w:ascii="Times New Roman" w:hAnsi="Times New Roman" w:eastAsia="宋体" w:cs="Times New Roman"/>
                      <w:b w:val="0"/>
                      <w:bCs w:val="0"/>
                      <w:szCs w:val="21"/>
                      <w:lang w:val="en-US" w:eastAsia="zh-CN"/>
                    </w:rPr>
                  </w:pPr>
                </w:p>
              </w:tc>
              <w:tc>
                <w:tcPr>
                  <w:tcW w:w="2613" w:type="pct"/>
                  <w:vAlign w:val="center"/>
                </w:tcPr>
                <w:p w14:paraId="30E07722">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（三）要坚决落实关于“共抓大保护，不搞大开发”的要求，在规划确定的集中区产业定位总体框架下，充分考虑与区域产业布局的互补，进一步优化发展重点，最大限度控制集中区污染物排放量和排放强度。</w:t>
                  </w:r>
                </w:p>
              </w:tc>
              <w:tc>
                <w:tcPr>
                  <w:tcW w:w="1228" w:type="pct"/>
                  <w:vMerge w:val="continue"/>
                  <w:vAlign w:val="center"/>
                </w:tcPr>
                <w:p w14:paraId="0F5F41D0">
                  <w:pPr>
                    <w:shd w:val="clear"/>
                    <w:spacing w:line="360" w:lineRule="exact"/>
                    <w:jc w:val="center"/>
                    <w:rPr>
                      <w:rFonts w:hint="eastAsia" w:ascii="Times New Roman" w:hAnsi="Times New Roman" w:eastAsia="宋体" w:cs="Times New Roman"/>
                      <w:b w:val="0"/>
                      <w:bCs w:val="0"/>
                      <w:szCs w:val="21"/>
                      <w:lang w:val="en-US" w:eastAsia="zh-CN"/>
                    </w:rPr>
                  </w:pPr>
                </w:p>
              </w:tc>
              <w:tc>
                <w:tcPr>
                  <w:tcW w:w="469" w:type="pct"/>
                  <w:vMerge w:val="continue"/>
                  <w:vAlign w:val="center"/>
                </w:tcPr>
                <w:p w14:paraId="0D0AAAC8">
                  <w:pPr>
                    <w:shd w:val="clear"/>
                    <w:spacing w:line="360" w:lineRule="exact"/>
                    <w:jc w:val="center"/>
                    <w:rPr>
                      <w:rFonts w:hint="eastAsia" w:ascii="Times New Roman" w:hAnsi="Times New Roman" w:eastAsia="宋体" w:cs="Times New Roman"/>
                      <w:b w:val="0"/>
                      <w:bCs w:val="0"/>
                      <w:szCs w:val="21"/>
                      <w:lang w:val="en-US" w:eastAsia="zh-CN"/>
                    </w:rPr>
                  </w:pPr>
                </w:p>
              </w:tc>
            </w:tr>
            <w:tr w14:paraId="0AE1C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88" w:type="pct"/>
                  <w:vMerge w:val="continue"/>
                  <w:vAlign w:val="center"/>
                </w:tcPr>
                <w:p w14:paraId="149D3DDF">
                  <w:pPr>
                    <w:shd w:val="clear"/>
                    <w:spacing w:line="360" w:lineRule="exact"/>
                    <w:jc w:val="center"/>
                    <w:rPr>
                      <w:rFonts w:hint="eastAsia" w:ascii="Times New Roman" w:hAnsi="Times New Roman" w:eastAsia="宋体" w:cs="Times New Roman"/>
                      <w:b w:val="0"/>
                      <w:bCs w:val="0"/>
                      <w:szCs w:val="21"/>
                      <w:lang w:val="en-US" w:eastAsia="zh-CN"/>
                    </w:rPr>
                  </w:pPr>
                </w:p>
              </w:tc>
              <w:tc>
                <w:tcPr>
                  <w:tcW w:w="2613" w:type="pct"/>
                  <w:vAlign w:val="center"/>
                </w:tcPr>
                <w:p w14:paraId="78BE192F">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四）入园项目应严格执行水环境保护相关标准和要求，坚持环保优先原则，强化水资源管理，保留集中区内现有天然水体。提高水重复利用率，制定并实施集中区节水规划，积极推进水资源综合利用和企业用水量控制，切实提高水资源利用率。集中区开发应同步建设完善污水收水管网，确保集中区内污水全收集、全处理，充分考虑中水回用等节水措施，确保集中区建设不降低区域地表水环境质量和水体功能。</w:t>
                  </w:r>
                </w:p>
              </w:tc>
              <w:tc>
                <w:tcPr>
                  <w:tcW w:w="1228" w:type="pct"/>
                  <w:vAlign w:val="center"/>
                </w:tcPr>
                <w:p w14:paraId="63A0B4C7">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highlight w:val="none"/>
                      <w:lang w:val="en-US" w:eastAsia="zh-CN"/>
                    </w:rPr>
                    <w:t>本项目生活污水经园区化粪池处理后，</w:t>
                  </w:r>
                  <w:r>
                    <w:rPr>
                      <w:rFonts w:hint="eastAsia" w:ascii="Times New Roman" w:hAnsi="Times New Roman" w:eastAsia="宋体" w:cs="Times New Roman"/>
                      <w:b w:val="0"/>
                      <w:bCs w:val="0"/>
                      <w:szCs w:val="21"/>
                      <w:lang w:val="en-US" w:eastAsia="zh-CN"/>
                    </w:rPr>
                    <w:t>达到《电子工业水污染物排放标准》（GB39731-2020）表1相关限值及江南产业集中区第一污水处理厂接管限值，经市政污水管网进入皖江江南新兴产业集中区第一污水处理厂处理，处理达标后经九华河排入长江。</w:t>
                  </w:r>
                </w:p>
              </w:tc>
              <w:tc>
                <w:tcPr>
                  <w:tcW w:w="469" w:type="pct"/>
                  <w:vAlign w:val="center"/>
                </w:tcPr>
                <w:p w14:paraId="67DE8748">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符合</w:t>
                  </w:r>
                </w:p>
              </w:tc>
            </w:tr>
            <w:tr w14:paraId="314CC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88" w:type="pct"/>
                  <w:vMerge w:val="continue"/>
                  <w:vAlign w:val="center"/>
                </w:tcPr>
                <w:p w14:paraId="4BCE2F78">
                  <w:pPr>
                    <w:shd w:val="clear"/>
                    <w:spacing w:line="360" w:lineRule="exact"/>
                    <w:jc w:val="center"/>
                    <w:rPr>
                      <w:rFonts w:hint="eastAsia" w:ascii="Times New Roman" w:hAnsi="Times New Roman" w:eastAsia="宋体" w:cs="Times New Roman"/>
                      <w:b w:val="0"/>
                      <w:bCs w:val="0"/>
                      <w:szCs w:val="21"/>
                      <w:lang w:val="en-US" w:eastAsia="zh-CN"/>
                    </w:rPr>
                  </w:pPr>
                </w:p>
              </w:tc>
              <w:tc>
                <w:tcPr>
                  <w:tcW w:w="2613" w:type="pct"/>
                  <w:vAlign w:val="center"/>
                </w:tcPr>
                <w:p w14:paraId="08F64E7B">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五）加快集中区燃气、集中供气等清洁能源规划实施进度，全面落实《安徽省大气污染防治行动计划实施方案》各项要求。按规定落实各类固体废物的收集和处理处置，特别是危险废物的收集、暂存、转运、处置。</w:t>
                  </w:r>
                </w:p>
              </w:tc>
              <w:tc>
                <w:tcPr>
                  <w:tcW w:w="1228" w:type="pct"/>
                  <w:vAlign w:val="center"/>
                </w:tcPr>
                <w:p w14:paraId="13ECA71C">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项目产生的各类固体废物均能实现收集和处理，产生的危险废物委托有资质单位处理。</w:t>
                  </w:r>
                </w:p>
              </w:tc>
              <w:tc>
                <w:tcPr>
                  <w:tcW w:w="469" w:type="pct"/>
                  <w:vAlign w:val="center"/>
                </w:tcPr>
                <w:p w14:paraId="08163994">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符合</w:t>
                  </w:r>
                </w:p>
              </w:tc>
            </w:tr>
            <w:tr w14:paraId="7A64B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88" w:type="pct"/>
                  <w:vMerge w:val="continue"/>
                  <w:vAlign w:val="center"/>
                </w:tcPr>
                <w:p w14:paraId="79B92CCF">
                  <w:pPr>
                    <w:shd w:val="clear"/>
                    <w:spacing w:line="360" w:lineRule="exact"/>
                    <w:jc w:val="center"/>
                    <w:rPr>
                      <w:rFonts w:hint="eastAsia" w:ascii="Times New Roman" w:hAnsi="Times New Roman" w:eastAsia="宋体" w:cs="Times New Roman"/>
                      <w:b w:val="0"/>
                      <w:bCs w:val="0"/>
                      <w:szCs w:val="21"/>
                      <w:lang w:val="en-US" w:eastAsia="zh-CN"/>
                    </w:rPr>
                  </w:pPr>
                </w:p>
              </w:tc>
              <w:tc>
                <w:tcPr>
                  <w:tcW w:w="2613" w:type="pct"/>
                  <w:vAlign w:val="center"/>
                </w:tcPr>
                <w:p w14:paraId="6860A6A6">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（六）建立健全集中区环境监控体系，坚持预防为主、防控结合，制定并落实集中区综合环境风险防范、预警和应急体系，及时更新升级各类突发环境事件应急预案，做好应急软硬件建设和储备。</w:t>
                  </w:r>
                </w:p>
              </w:tc>
              <w:tc>
                <w:tcPr>
                  <w:tcW w:w="1228" w:type="pct"/>
                  <w:vAlign w:val="center"/>
                </w:tcPr>
                <w:p w14:paraId="641B24E9">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本次评价要求本项目建成后立即制定环境风险应急预案，做到预防为主，防控结合。</w:t>
                  </w:r>
                </w:p>
              </w:tc>
              <w:tc>
                <w:tcPr>
                  <w:tcW w:w="469" w:type="pct"/>
                  <w:vAlign w:val="center"/>
                </w:tcPr>
                <w:p w14:paraId="5DF9F6A6">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符合</w:t>
                  </w:r>
                </w:p>
              </w:tc>
            </w:tr>
            <w:tr w14:paraId="093FB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88" w:type="pct"/>
                  <w:vMerge w:val="continue"/>
                  <w:vAlign w:val="center"/>
                </w:tcPr>
                <w:p w14:paraId="2371D4D0">
                  <w:pPr>
                    <w:shd w:val="clear"/>
                    <w:spacing w:line="360" w:lineRule="exact"/>
                    <w:jc w:val="center"/>
                    <w:rPr>
                      <w:rFonts w:hint="eastAsia" w:ascii="Times New Roman" w:hAnsi="Times New Roman" w:eastAsia="宋体" w:cs="Times New Roman"/>
                      <w:b w:val="0"/>
                      <w:bCs w:val="0"/>
                      <w:szCs w:val="21"/>
                      <w:lang w:val="en-US" w:eastAsia="zh-CN"/>
                    </w:rPr>
                  </w:pPr>
                </w:p>
              </w:tc>
              <w:tc>
                <w:tcPr>
                  <w:tcW w:w="2613" w:type="pct"/>
                  <w:vAlign w:val="center"/>
                </w:tcPr>
                <w:p w14:paraId="035A1472">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七）加强环境保护制度建设和管理。入区项目应严格执行环境影响评价制度和环保“三同时”制度；新增污染物排放总量，应严格按照污染物排放总量控制的要求执行。在规划实施过程中，每隔五年进行一次环境影响跟踪评价，规划修编应重新编制环境影响报告书。</w:t>
                  </w:r>
                </w:p>
              </w:tc>
              <w:tc>
                <w:tcPr>
                  <w:tcW w:w="1228" w:type="pct"/>
                  <w:vAlign w:val="center"/>
                </w:tcPr>
                <w:p w14:paraId="02EE4BB3">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本次评价要求项目严格按照“三同时”制度，新增污染物总量来源明确。</w:t>
                  </w:r>
                </w:p>
              </w:tc>
              <w:tc>
                <w:tcPr>
                  <w:tcW w:w="469" w:type="pct"/>
                  <w:vAlign w:val="center"/>
                </w:tcPr>
                <w:p w14:paraId="667DC0F8">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符合</w:t>
                  </w:r>
                </w:p>
              </w:tc>
            </w:tr>
          </w:tbl>
          <w:p w14:paraId="2D37EF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综上所述，本项目符合《安徽省江南产业集中区产业发展规划</w:t>
            </w:r>
            <w:r>
              <w:rPr>
                <w:rFonts w:hint="eastAsia" w:ascii="Times New Roman" w:hAnsi="Times New Roman" w:eastAsia="宋体" w:cs="Times New Roman"/>
                <w:sz w:val="24"/>
                <w:lang w:val="en-US" w:eastAsia="zh-CN"/>
              </w:rPr>
              <w:t>（</w:t>
            </w:r>
            <w:r>
              <w:rPr>
                <w:rFonts w:hint="default" w:ascii="Times New Roman" w:hAnsi="Times New Roman" w:eastAsia="宋体" w:cs="Times New Roman"/>
                <w:sz w:val="24"/>
                <w:lang w:val="en-US" w:eastAsia="zh-CN"/>
              </w:rPr>
              <w:t>2019-2030</w:t>
            </w:r>
            <w:r>
              <w:rPr>
                <w:rFonts w:hint="eastAsia" w:ascii="Times New Roman" w:hAnsi="Times New Roman" w:eastAsia="宋体" w:cs="Times New Roman"/>
                <w:sz w:val="24"/>
                <w:lang w:val="en-US" w:eastAsia="zh-CN"/>
              </w:rPr>
              <w:t>）</w:t>
            </w:r>
            <w:r>
              <w:rPr>
                <w:rFonts w:hint="default" w:ascii="Times New Roman" w:hAnsi="Times New Roman" w:eastAsia="宋体" w:cs="Times New Roman"/>
                <w:sz w:val="24"/>
                <w:lang w:val="en-US" w:eastAsia="zh-CN"/>
              </w:rPr>
              <w:t>环境影响报告书》及其审查意见要求</w:t>
            </w:r>
            <w:r>
              <w:rPr>
                <w:rFonts w:hint="eastAsia" w:ascii="Times New Roman" w:hAnsi="Times New Roman" w:eastAsia="宋体" w:cs="Times New Roman"/>
                <w:sz w:val="24"/>
                <w:lang w:val="en-US" w:eastAsia="zh-CN"/>
              </w:rPr>
              <w:t>。</w:t>
            </w:r>
          </w:p>
        </w:tc>
      </w:tr>
      <w:tr w14:paraId="0E3A8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pct"/>
            <w:vAlign w:val="center"/>
          </w:tcPr>
          <w:p w14:paraId="275FE80A">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其他符合性分析</w:t>
            </w:r>
          </w:p>
        </w:tc>
        <w:tc>
          <w:tcPr>
            <w:tcW w:w="4059" w:type="pct"/>
            <w:gridSpan w:val="3"/>
            <w:vAlign w:val="center"/>
          </w:tcPr>
          <w:p w14:paraId="66D24005">
            <w:pPr>
              <w:pStyle w:val="21"/>
              <w:keepNext w:val="0"/>
              <w:keepLines w:val="0"/>
              <w:pageBreakBefore w:val="0"/>
              <w:widowControl w:val="0"/>
              <w:numPr>
                <w:ilvl w:val="0"/>
                <w:numId w:val="0"/>
              </w:numPr>
              <w:kinsoku/>
              <w:wordWrap/>
              <w:overflowPunct/>
              <w:topLinePunct w:val="0"/>
              <w:bidi w:val="0"/>
              <w:snapToGrid/>
              <w:spacing w:after="0" w:line="360" w:lineRule="auto"/>
              <w:rPr>
                <w:rFonts w:hint="default" w:ascii="Times New Roman" w:hAnsi="Times New Roman" w:eastAsia="宋体" w:cs="Times New Roman"/>
                <w:b/>
                <w:bCs/>
                <w:sz w:val="24"/>
              </w:rPr>
            </w:pPr>
            <w:r>
              <w:rPr>
                <w:rFonts w:hint="default" w:ascii="Times New Roman" w:hAnsi="Times New Roman" w:eastAsia="宋体" w:cs="Times New Roman"/>
                <w:b/>
                <w:sz w:val="24"/>
              </w:rPr>
              <w:t>1、</w:t>
            </w:r>
            <w:r>
              <w:rPr>
                <w:rFonts w:hint="default" w:ascii="Times New Roman" w:hAnsi="Times New Roman" w:eastAsia="宋体" w:cs="Times New Roman"/>
                <w:b/>
                <w:bCs/>
                <w:sz w:val="24"/>
              </w:rPr>
              <w:t>产业政策符合性分析</w:t>
            </w:r>
          </w:p>
          <w:p w14:paraId="385B3D22">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default" w:ascii="Times New Roman" w:hAnsi="Times New Roman" w:eastAsia="宋体" w:cs="Times New Roman"/>
                <w:sz w:val="24"/>
              </w:rPr>
            </w:pPr>
            <w:r>
              <w:rPr>
                <w:rFonts w:hint="eastAsia" w:ascii="Times New Roman" w:hAnsi="Times New Roman" w:eastAsia="宋体" w:cs="Times New Roman"/>
                <w:sz w:val="24"/>
                <w:lang w:val="en-US" w:eastAsia="zh-CN"/>
              </w:rPr>
              <w:t>对照</w:t>
            </w:r>
            <w:r>
              <w:rPr>
                <w:rFonts w:hint="default" w:ascii="Times New Roman" w:hAnsi="Times New Roman" w:eastAsia="宋体" w:cs="Times New Roman"/>
                <w:sz w:val="24"/>
              </w:rPr>
              <w:t>《国民经济行业分类</w:t>
            </w:r>
            <w:r>
              <w:rPr>
                <w:rFonts w:hint="default" w:ascii="Times New Roman" w:hAnsi="Times New Roman" w:eastAsia="宋体" w:cs="Times New Roman"/>
                <w:color w:val="000000" w:themeColor="text1"/>
                <w:sz w:val="24"/>
                <w14:textFill>
                  <w14:solidFill>
                    <w14:schemeClr w14:val="tx1"/>
                  </w14:solidFill>
                </w14:textFill>
              </w:rPr>
              <w:t>（GB/T4754-2017）》</w:t>
            </w:r>
            <w:r>
              <w:rPr>
                <w:rFonts w:hint="eastAsia" w:ascii="Times New Roman" w:hAnsi="Times New Roman" w:eastAsia="宋体"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2019年修订版</w:t>
            </w:r>
            <w:r>
              <w:rPr>
                <w:rFonts w:hint="eastAsia" w:ascii="Times New Roman" w:hAnsi="Times New Roman" w:eastAsia="宋体"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14:textFill>
                  <w14:solidFill>
                    <w14:schemeClr w14:val="tx1"/>
                  </w14:solidFill>
                </w14:textFill>
              </w:rPr>
              <w:t>本项目</w:t>
            </w:r>
            <w:r>
              <w:rPr>
                <w:rFonts w:hint="eastAsia" w:ascii="Times New Roman" w:hAnsi="Times New Roman" w:eastAsia="宋体" w:cs="Times New Roman"/>
                <w:color w:val="000000" w:themeColor="text1"/>
                <w:sz w:val="24"/>
                <w:lang w:val="en-US" w:eastAsia="zh-CN"/>
                <w14:textFill>
                  <w14:solidFill>
                    <w14:schemeClr w14:val="tx1"/>
                  </w14:solidFill>
                </w14:textFill>
              </w:rPr>
              <w:t>属于</w:t>
            </w:r>
            <w:r>
              <w:rPr>
                <w:rFonts w:hint="default" w:ascii="Times New Roman" w:hAnsi="Times New Roman" w:eastAsia="宋体" w:cs="Times New Roman"/>
                <w:color w:val="000000" w:themeColor="text1"/>
                <w:sz w:val="24"/>
                <w:lang w:val="en-US" w:eastAsia="zh-CN"/>
                <w14:textFill>
                  <w14:solidFill>
                    <w14:schemeClr w14:val="tx1"/>
                  </w14:solidFill>
                </w14:textFill>
              </w:rPr>
              <w:t>C3914工业控制计算机及系统制造</w:t>
            </w:r>
            <w:r>
              <w:rPr>
                <w:rFonts w:hint="eastAsia" w:ascii="Times New Roman" w:hAnsi="Times New Roman" w:eastAsia="宋体"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14:textFill>
                  <w14:solidFill>
                    <w14:schemeClr w14:val="tx1"/>
                  </w14:solidFill>
                </w14:textFill>
              </w:rPr>
              <w:t>根据</w:t>
            </w:r>
            <w:r>
              <w:rPr>
                <w:rFonts w:hint="eastAsia" w:ascii="Times New Roman" w:hAnsi="Times New Roman" w:eastAsia="宋体"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14:textFill>
                  <w14:solidFill>
                    <w14:schemeClr w14:val="tx1"/>
                  </w14:solidFill>
                </w14:textFill>
              </w:rPr>
              <w:t>产业结构调整指导目录</w:t>
            </w:r>
            <w:r>
              <w:rPr>
                <w:rFonts w:hint="eastAsia" w:ascii="Times New Roman" w:hAnsi="Times New Roman" w:eastAsia="宋体"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14:textFill>
                  <w14:solidFill>
                    <w14:schemeClr w14:val="tx1"/>
                  </w14:solidFill>
                </w14:textFill>
              </w:rPr>
              <w:t>（20</w:t>
            </w:r>
            <w:r>
              <w:rPr>
                <w:rFonts w:hint="eastAsia" w:ascii="Times New Roman" w:hAnsi="Times New Roman" w:eastAsia="宋体" w:cs="Times New Roman"/>
                <w:color w:val="000000" w:themeColor="text1"/>
                <w:sz w:val="24"/>
                <w:lang w:val="en-US" w:eastAsia="zh-CN"/>
                <w14:textFill>
                  <w14:solidFill>
                    <w14:schemeClr w14:val="tx1"/>
                  </w14:solidFill>
                </w14:textFill>
              </w:rPr>
              <w:t>24</w:t>
            </w:r>
            <w:r>
              <w:rPr>
                <w:rFonts w:hint="default" w:ascii="Times New Roman" w:hAnsi="Times New Roman" w:eastAsia="宋体" w:cs="Times New Roman"/>
                <w:color w:val="000000" w:themeColor="text1"/>
                <w:sz w:val="24"/>
                <w14:textFill>
                  <w14:solidFill>
                    <w14:schemeClr w14:val="tx1"/>
                  </w14:solidFill>
                </w14:textFill>
              </w:rPr>
              <w:t>年本），</w:t>
            </w:r>
            <w:r>
              <w:rPr>
                <w:rFonts w:hint="eastAsia" w:ascii="Times New Roman" w:hAnsi="Times New Roman" w:eastAsia="宋体" w:cs="Times New Roman"/>
                <w:color w:val="000000" w:themeColor="text1"/>
                <w:sz w:val="24"/>
                <w:lang w:val="en-US" w:eastAsia="zh-CN"/>
                <w14:textFill>
                  <w14:solidFill>
                    <w14:schemeClr w14:val="tx1"/>
                  </w14:solidFill>
                </w14:textFill>
              </w:rPr>
              <w:t>本项目属于鼓励类：</w:t>
            </w:r>
            <w:r>
              <w:rPr>
                <w:rFonts w:hint="eastAsia" w:ascii="Times New Roman" w:hAnsi="Times New Roman" w:eastAsia="宋体" w:cs="Times New Roman"/>
                <w:color w:val="000000" w:themeColor="text1"/>
                <w:sz w:val="24"/>
                <w:lang w:eastAsia="zh-CN"/>
                <w14:textFill>
                  <w14:solidFill>
                    <w14:schemeClr w14:val="tx1"/>
                  </w14:solidFill>
                </w14:textFill>
              </w:rPr>
              <w:t>“</w:t>
            </w:r>
            <w:r>
              <w:rPr>
                <w:rFonts w:hint="eastAsia" w:ascii="Times New Roman" w:hAnsi="Times New Roman" w:eastAsia="宋体" w:cs="Times New Roman"/>
                <w:color w:val="000000" w:themeColor="text1"/>
                <w:sz w:val="24"/>
                <w:lang w:val="en-US" w:eastAsia="zh-CN"/>
                <w14:textFill>
                  <w14:solidFill>
                    <w14:schemeClr w14:val="tx1"/>
                  </w14:solidFill>
                </w14:textFill>
              </w:rPr>
              <w:t>二十八</w:t>
            </w:r>
            <w:r>
              <w:rPr>
                <w:rFonts w:hint="default" w:ascii="Times New Roman" w:hAnsi="Times New Roman" w:eastAsia="宋体" w:cs="Times New Roman"/>
                <w:color w:val="000000" w:themeColor="text1"/>
                <w:sz w:val="24"/>
                <w14:textFill>
                  <w14:solidFill>
                    <w14:schemeClr w14:val="tx1"/>
                  </w14:solidFill>
                </w14:textFill>
              </w:rPr>
              <w:t>、</w:t>
            </w:r>
            <w:r>
              <w:rPr>
                <w:rFonts w:hint="eastAsia" w:ascii="Times New Roman" w:hAnsi="Times New Roman" w:eastAsia="宋体" w:cs="Times New Roman"/>
                <w:color w:val="000000" w:themeColor="text1"/>
                <w:sz w:val="24"/>
                <w:lang w:val="en-US" w:eastAsia="zh-CN"/>
                <w14:textFill>
                  <w14:solidFill>
                    <w14:schemeClr w14:val="tx1"/>
                  </w14:solidFill>
                </w14:textFill>
              </w:rPr>
              <w:t>信息产业</w:t>
            </w:r>
            <w:r>
              <w:rPr>
                <w:rFonts w:hint="eastAsia" w:ascii="Times New Roman" w:hAnsi="Times New Roman" w:eastAsia="宋体"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14:textFill>
                  <w14:solidFill>
                    <w14:schemeClr w14:val="tx1"/>
                  </w14:solidFill>
                </w14:textFill>
              </w:rPr>
              <w:t>中</w:t>
            </w:r>
            <w:r>
              <w:rPr>
                <w:rFonts w:hint="eastAsia" w:ascii="Times New Roman" w:hAnsi="Times New Roman" w:eastAsia="宋体" w:cs="Times New Roman"/>
                <w:color w:val="000000" w:themeColor="text1"/>
                <w:sz w:val="24"/>
                <w:lang w:eastAsia="zh-CN"/>
                <w14:textFill>
                  <w14:solidFill>
                    <w14:schemeClr w14:val="tx1"/>
                  </w14:solidFill>
                </w14:textFill>
              </w:rPr>
              <w:t>“</w:t>
            </w:r>
            <w:r>
              <w:rPr>
                <w:rFonts w:hint="eastAsia" w:ascii="Times New Roman" w:hAnsi="Times New Roman" w:eastAsia="宋体" w:cs="Times New Roman"/>
                <w:color w:val="000000" w:themeColor="text1"/>
                <w:sz w:val="24"/>
                <w:lang w:val="en-US" w:eastAsia="zh-CN"/>
                <w14:textFill>
                  <w14:solidFill>
                    <w14:schemeClr w14:val="tx1"/>
                  </w14:solidFill>
                </w14:textFill>
              </w:rPr>
              <w:t>2、计算机及相关设备：</w:t>
            </w:r>
            <w:r>
              <w:rPr>
                <w:rFonts w:hint="eastAsia" w:ascii="Times New Roman" w:hAnsi="Times New Roman" w:eastAsia="宋体" w:cs="Times New Roman"/>
                <w:color w:val="000000" w:themeColor="text1"/>
                <w:sz w:val="24"/>
                <w14:textFill>
                  <w14:solidFill>
                    <w14:schemeClr w14:val="tx1"/>
                  </w14:solidFill>
                </w14:textFill>
              </w:rPr>
              <w:t>高性能计算机</w:t>
            </w:r>
            <w:r>
              <w:rPr>
                <w:rFonts w:hint="eastAsia" w:ascii="Times New Roman" w:hAnsi="Times New Roman" w:eastAsia="宋体" w:cs="Times New Roman"/>
                <w:color w:val="000000" w:themeColor="text1"/>
                <w:sz w:val="24"/>
                <w:lang w:eastAsia="zh-CN"/>
                <w14:textFill>
                  <w14:solidFill>
                    <w14:schemeClr w14:val="tx1"/>
                  </w14:solidFill>
                </w14:textFill>
              </w:rPr>
              <w:t>”</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且</w:t>
            </w:r>
            <w:r>
              <w:rPr>
                <w:rFonts w:hint="default" w:ascii="Times New Roman" w:hAnsi="Times New Roman" w:eastAsia="宋体" w:cs="Times New Roman"/>
                <w:sz w:val="24"/>
              </w:rPr>
              <w:t>本项目已在皖江江南新兴产业集中区管委会产业发展部备案，项目代码为</w:t>
            </w:r>
            <w:r>
              <w:rPr>
                <w:rFonts w:hint="eastAsia" w:ascii="Times New Roman" w:hAnsi="Times New Roman" w:eastAsia="宋体" w:cs="Times New Roman"/>
                <w:sz w:val="24"/>
                <w:lang w:val="en-US" w:eastAsia="zh-CN"/>
              </w:rPr>
              <w:t>2505-341763-04-05-407727</w:t>
            </w:r>
            <w:r>
              <w:rPr>
                <w:rFonts w:hint="eastAsia" w:ascii="Times New Roman" w:hAnsi="Times New Roman" w:eastAsia="宋体" w:cs="Times New Roman"/>
                <w:sz w:val="24"/>
                <w:lang w:eastAsia="zh-CN"/>
              </w:rPr>
              <w:t>。</w:t>
            </w:r>
            <w:r>
              <w:rPr>
                <w:rFonts w:hint="default" w:ascii="Times New Roman" w:hAnsi="Times New Roman" w:eastAsia="宋体" w:cs="Times New Roman"/>
                <w:sz w:val="24"/>
              </w:rPr>
              <w:t>因此，本项目符合相关产业政策</w:t>
            </w:r>
            <w:r>
              <w:rPr>
                <w:rFonts w:hint="eastAsia" w:ascii="Times New Roman" w:hAnsi="Times New Roman" w:eastAsia="宋体" w:cs="Times New Roman"/>
                <w:sz w:val="24"/>
                <w:lang w:val="en-US" w:eastAsia="zh-CN"/>
              </w:rPr>
              <w:t>要求</w:t>
            </w:r>
            <w:r>
              <w:rPr>
                <w:rFonts w:hint="default" w:ascii="Times New Roman" w:hAnsi="Times New Roman" w:eastAsia="宋体" w:cs="Times New Roman"/>
                <w:sz w:val="24"/>
              </w:rPr>
              <w:t>。</w:t>
            </w:r>
          </w:p>
          <w:p w14:paraId="1528E5E3">
            <w:pPr>
              <w:keepNext w:val="0"/>
              <w:keepLines w:val="0"/>
              <w:pageBreakBefore w:val="0"/>
              <w:widowControl w:val="0"/>
              <w:shd w:val="clear"/>
              <w:kinsoku/>
              <w:wordWrap/>
              <w:overflowPunct/>
              <w:topLinePunct w:val="0"/>
              <w:bidi w:val="0"/>
              <w:adjustRightInd w:val="0"/>
              <w:snapToGrid/>
              <w:spacing w:line="360" w:lineRule="auto"/>
              <w:rPr>
                <w:rFonts w:hint="default" w:ascii="Times New Roman" w:hAnsi="Times New Roman" w:eastAsia="宋体" w:cs="Times New Roman"/>
                <w:b/>
                <w:bCs/>
                <w:sz w:val="24"/>
              </w:rPr>
            </w:pPr>
            <w:r>
              <w:rPr>
                <w:rFonts w:hint="eastAsia" w:ascii="Times New Roman" w:hAnsi="Times New Roman" w:eastAsia="宋体" w:cs="Times New Roman"/>
                <w:b/>
                <w:bCs/>
                <w:sz w:val="24"/>
                <w:lang w:val="en-US" w:eastAsia="zh-CN"/>
              </w:rPr>
              <w:t>2</w:t>
            </w:r>
            <w:r>
              <w:rPr>
                <w:rFonts w:hint="default" w:ascii="Times New Roman" w:hAnsi="Times New Roman" w:eastAsia="宋体" w:cs="Times New Roman"/>
                <w:b/>
                <w:bCs/>
                <w:sz w:val="24"/>
              </w:rPr>
              <w:t>、</w:t>
            </w:r>
            <w:r>
              <w:rPr>
                <w:rFonts w:hint="eastAsia" w:ascii="Times New Roman" w:hAnsi="Times New Roman" w:eastAsia="宋体" w:cs="Times New Roman"/>
                <w:b/>
                <w:bCs/>
                <w:sz w:val="24"/>
                <w:lang w:val="en-US" w:eastAsia="zh-CN"/>
              </w:rPr>
              <w:t>选址</w:t>
            </w:r>
            <w:r>
              <w:rPr>
                <w:rFonts w:hint="default" w:ascii="Times New Roman" w:hAnsi="Times New Roman" w:eastAsia="宋体" w:cs="Times New Roman"/>
                <w:b/>
                <w:bCs/>
                <w:sz w:val="24"/>
              </w:rPr>
              <w:t>符合性分析</w:t>
            </w:r>
          </w:p>
          <w:p w14:paraId="758659F5">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①选址合理性分析</w:t>
            </w:r>
          </w:p>
          <w:p w14:paraId="6D699D6A">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本项目位于安徽省池州市江南产业集中区皖能电子信息产业园5幢4层</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目前</w:t>
            </w:r>
            <w:r>
              <w:rPr>
                <w:rFonts w:hint="eastAsia" w:ascii="Times New Roman" w:hAnsi="Times New Roman" w:eastAsia="宋体" w:cs="Times New Roman"/>
                <w:sz w:val="24"/>
              </w:rPr>
              <w:t>皖能电子信息产业园5幢</w:t>
            </w:r>
            <w:r>
              <w:rPr>
                <w:rFonts w:hint="eastAsia" w:ascii="Times New Roman" w:hAnsi="Times New Roman" w:eastAsia="宋体" w:cs="Times New Roman"/>
                <w:sz w:val="24"/>
                <w:lang w:val="en-US" w:eastAsia="zh-CN"/>
              </w:rPr>
              <w:t>1、2</w:t>
            </w:r>
            <w:r>
              <w:rPr>
                <w:rFonts w:hint="eastAsia" w:ascii="Times New Roman" w:hAnsi="Times New Roman" w:eastAsia="宋体" w:cs="Times New Roman"/>
                <w:sz w:val="24"/>
              </w:rPr>
              <w:t>层</w:t>
            </w:r>
            <w:r>
              <w:rPr>
                <w:rFonts w:hint="eastAsia" w:ascii="Times New Roman" w:hAnsi="Times New Roman" w:eastAsia="宋体" w:cs="Times New Roman"/>
                <w:sz w:val="24"/>
                <w:lang w:val="en-US" w:eastAsia="zh-CN"/>
              </w:rPr>
              <w:t>闲置，3层为安徽鸿煋微电子有限公司。</w:t>
            </w:r>
            <w:r>
              <w:rPr>
                <w:rFonts w:hint="eastAsia" w:ascii="Times New Roman" w:hAnsi="Times New Roman" w:eastAsia="宋体" w:cs="Times New Roman"/>
                <w:sz w:val="24"/>
              </w:rPr>
              <w:t>项目北侧为空地，东侧为凤鸣大道，南侧</w:t>
            </w:r>
            <w:r>
              <w:rPr>
                <w:rFonts w:hint="eastAsia" w:ascii="Times New Roman" w:hAnsi="Times New Roman" w:eastAsia="宋体" w:cs="Times New Roman"/>
                <w:sz w:val="24"/>
                <w:lang w:val="en-US" w:eastAsia="zh-CN"/>
              </w:rPr>
              <w:t>为安徽信豪光电科技有限公司</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rPr>
              <w:t>西侧为皖能电子信息产业园</w:t>
            </w:r>
            <w:r>
              <w:rPr>
                <w:rFonts w:hint="eastAsia" w:ascii="Times New Roman" w:hAnsi="Times New Roman" w:eastAsia="宋体" w:cs="Times New Roman"/>
                <w:sz w:val="24"/>
                <w:lang w:val="en-US" w:eastAsia="zh-CN"/>
              </w:rPr>
              <w:t>4#</w:t>
            </w:r>
            <w:r>
              <w:rPr>
                <w:rFonts w:hint="eastAsia" w:ascii="Times New Roman" w:hAnsi="Times New Roman" w:eastAsia="宋体" w:cs="Times New Roman"/>
                <w:sz w:val="24"/>
              </w:rPr>
              <w:t>厂房</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目前闲置</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rPr>
              <w:t>。项目周边概况图详见附图</w:t>
            </w:r>
            <w:r>
              <w:rPr>
                <w:rFonts w:hint="eastAsia" w:ascii="Times New Roman" w:hAnsi="Times New Roman" w:eastAsia="宋体" w:cs="Times New Roman"/>
                <w:sz w:val="24"/>
                <w:lang w:val="en-US" w:eastAsia="zh-CN"/>
              </w:rPr>
              <w:t>3</w:t>
            </w:r>
            <w:r>
              <w:rPr>
                <w:rFonts w:hint="eastAsia" w:ascii="Times New Roman" w:hAnsi="Times New Roman" w:eastAsia="宋体" w:cs="Times New Roman"/>
                <w:sz w:val="24"/>
              </w:rPr>
              <w:t>。项目周边无对项目构成不利的制约因素，因此，本项目选址合理。</w:t>
            </w:r>
          </w:p>
          <w:p w14:paraId="5760D9B9">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②用地符合性分析</w:t>
            </w:r>
          </w:p>
          <w:p w14:paraId="3D260157">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本项目</w:t>
            </w:r>
            <w:r>
              <w:rPr>
                <w:rFonts w:hint="eastAsia" w:ascii="Times New Roman" w:hAnsi="Times New Roman" w:eastAsia="宋体" w:cs="Times New Roman"/>
                <w:sz w:val="24"/>
                <w:lang w:val="en-US" w:eastAsia="zh-CN"/>
              </w:rPr>
              <w:t>位于</w:t>
            </w:r>
            <w:r>
              <w:rPr>
                <w:rFonts w:hint="eastAsia" w:ascii="Times New Roman" w:hAnsi="Times New Roman" w:eastAsia="宋体" w:cs="Times New Roman"/>
                <w:sz w:val="24"/>
              </w:rPr>
              <w:t>安徽省池州市江南产业集中区皖能电子信息产业园5幢4层，项目用地属于工业用地，符合总体规划的要求。本项目用地不占用生态保护红线，不占用永久基本农田。本项目不属于《自然资源要素支撑产业高质量发展指导目录（2024年本）》（自然资发〔2024〕273号）中禁止和限制类用地项目。</w:t>
            </w:r>
          </w:p>
          <w:p w14:paraId="4F40269D">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③建设条件可行性分析</w:t>
            </w:r>
          </w:p>
          <w:p w14:paraId="64185760">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项目建设区域附近的市政供水、排水、供电管网等基础设施齐全满足建设所需的外部条件。从建设条件可行性分析本项目选址合理。</w:t>
            </w:r>
          </w:p>
          <w:p w14:paraId="49007D57">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④周边环境相容性分析</w:t>
            </w:r>
          </w:p>
          <w:p w14:paraId="4BAC1E79">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本项目位于安徽省池州市江南产业集中区皖能电子信息产业园5幢4层。项目北侧为空地，东侧为凤鸣大道，南侧、西侧为江南产业集中区皖能电子信息产业园厂房。该地块地形平坦开阔，交通便利，无不良地质情况。本项目评价区域内无需特殊保护的濒危动植物，评价区域无国家级、省级和市级重点文物保护单位。本项目属于</w:t>
            </w:r>
            <w:r>
              <w:rPr>
                <w:rFonts w:hint="default" w:ascii="Times New Roman" w:hAnsi="Times New Roman" w:eastAsia="宋体" w:cs="Times New Roman"/>
                <w:sz w:val="24"/>
                <w:lang w:val="en-US" w:eastAsia="zh-CN"/>
              </w:rPr>
              <w:t>C3914工业控制计算机及系统制造</w:t>
            </w:r>
            <w:r>
              <w:rPr>
                <w:rFonts w:hint="eastAsia" w:ascii="Times New Roman" w:hAnsi="Times New Roman" w:eastAsia="宋体" w:cs="Times New Roman"/>
                <w:sz w:val="24"/>
              </w:rPr>
              <w:t>，项目投入运行后对周围环境的影响在可接受范围内，不会改变当地的环境功能。因此，本项目的建设与周围环境具有相容性。</w:t>
            </w:r>
          </w:p>
          <w:p w14:paraId="712E71A5">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eastAsia" w:ascii="Times New Roman" w:hAnsi="Times New Roman" w:eastAsia="宋体" w:cs="Times New Roman"/>
                <w:sz w:val="24"/>
                <w:lang w:eastAsia="zh-CN"/>
              </w:rPr>
            </w:pPr>
            <w:r>
              <w:rPr>
                <w:rFonts w:hint="eastAsia" w:ascii="Times New Roman" w:hAnsi="Times New Roman" w:eastAsia="宋体" w:cs="Times New Roman"/>
                <w:sz w:val="24"/>
              </w:rPr>
              <w:t>综上所述，项目选址合理可行</w:t>
            </w:r>
            <w:r>
              <w:rPr>
                <w:rFonts w:hint="eastAsia" w:ascii="Times New Roman" w:hAnsi="Times New Roman" w:eastAsia="宋体" w:cs="Times New Roman"/>
                <w:sz w:val="24"/>
                <w:lang w:eastAsia="zh-CN"/>
              </w:rPr>
              <w:t>。</w:t>
            </w:r>
          </w:p>
          <w:p w14:paraId="3D51E744">
            <w:pPr>
              <w:keepNext w:val="0"/>
              <w:keepLines w:val="0"/>
              <w:pageBreakBefore w:val="0"/>
              <w:widowControl w:val="0"/>
              <w:shd w:val="clear"/>
              <w:kinsoku/>
              <w:wordWrap/>
              <w:overflowPunct/>
              <w:topLinePunct w:val="0"/>
              <w:bidi w:val="0"/>
              <w:adjustRightInd w:val="0"/>
              <w:snapToGrid/>
              <w:spacing w:line="360" w:lineRule="auto"/>
              <w:rPr>
                <w:rFonts w:hint="default" w:ascii="Times New Roman" w:hAnsi="Times New Roman" w:eastAsia="宋体" w:cs="Times New Roman"/>
                <w:b/>
                <w:bCs/>
                <w:sz w:val="24"/>
              </w:rPr>
            </w:pPr>
            <w:r>
              <w:rPr>
                <w:rFonts w:hint="eastAsia" w:ascii="Times New Roman" w:hAnsi="Times New Roman" w:eastAsia="宋体" w:cs="Times New Roman"/>
                <w:b/>
                <w:bCs/>
                <w:sz w:val="24"/>
                <w:lang w:val="en-US" w:eastAsia="zh-CN"/>
              </w:rPr>
              <w:t>3</w:t>
            </w:r>
            <w:r>
              <w:rPr>
                <w:rFonts w:hint="default" w:ascii="Times New Roman" w:hAnsi="Times New Roman" w:eastAsia="宋体" w:cs="Times New Roman"/>
                <w:b/>
                <w:bCs/>
                <w:sz w:val="24"/>
              </w:rPr>
              <w:t>、“三线一单”符合性分析</w:t>
            </w:r>
          </w:p>
          <w:p w14:paraId="1EC5D33A">
            <w:pPr>
              <w:pStyle w:val="21"/>
              <w:keepNext w:val="0"/>
              <w:keepLines w:val="0"/>
              <w:pageBreakBefore w:val="0"/>
              <w:widowControl w:val="0"/>
              <w:shd w:val="clear"/>
              <w:kinsoku/>
              <w:wordWrap/>
              <w:overflowPunct/>
              <w:topLinePunct w:val="0"/>
              <w:bidi w:val="0"/>
              <w:snapToGrid/>
              <w:spacing w:after="0" w:line="360" w:lineRule="auto"/>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本次评价结合池州市“三线一单”成果，开展“三线一单”相符性分析，相关内容详见下表：</w:t>
            </w:r>
          </w:p>
          <w:p w14:paraId="130222BE">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（1）与生态红线相符性分析</w:t>
            </w:r>
          </w:p>
          <w:p w14:paraId="53814B39">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default" w:ascii="Times New Roman" w:hAnsi="Times New Roman" w:eastAsia="宋体" w:cs="Times New Roman"/>
                <w:color w:val="auto"/>
                <w:sz w:val="24"/>
              </w:rPr>
            </w:pPr>
            <w:r>
              <w:rPr>
                <w:rFonts w:hint="eastAsia" w:ascii="Times New Roman" w:hAnsi="Times New Roman" w:eastAsia="宋体" w:cs="Times New Roman"/>
                <w:sz w:val="24"/>
                <w:lang w:val="en-US" w:eastAsia="zh-CN"/>
              </w:rPr>
              <w:t>本项目位于</w:t>
            </w:r>
            <w:r>
              <w:rPr>
                <w:rFonts w:hint="default" w:ascii="Times New Roman" w:hAnsi="Times New Roman" w:eastAsia="宋体" w:cs="Times New Roman"/>
                <w:sz w:val="24"/>
                <w:lang w:val="en-US" w:eastAsia="zh-CN"/>
              </w:rPr>
              <w:t>安徽省池州市江南产业集中区皖能电子信息产业园5幢4层</w:t>
            </w:r>
            <w:r>
              <w:rPr>
                <w:rFonts w:hint="eastAsia" w:ascii="Times New Roman" w:hAnsi="Times New Roman" w:eastAsia="宋体" w:cs="Times New Roman"/>
                <w:sz w:val="24"/>
                <w:lang w:val="en-US" w:eastAsia="zh-CN"/>
              </w:rPr>
              <w:t>，</w:t>
            </w:r>
            <w:r>
              <w:rPr>
                <w:rFonts w:hint="eastAsia" w:ascii="Times New Roman" w:hAnsi="Times New Roman" w:eastAsia="宋体" w:cs="Times New Roman"/>
                <w:color w:val="auto"/>
                <w:sz w:val="24"/>
                <w:highlight w:val="none"/>
                <w:lang w:val="en-US" w:eastAsia="zh-CN"/>
              </w:rPr>
              <w:t>根据对比《长江经济带战略环境评价池州市“三线一单”编制文本》中“</w:t>
            </w:r>
            <w:r>
              <w:rPr>
                <w:rFonts w:hint="eastAsia" w:ascii="Times New Roman" w:hAnsi="Times New Roman" w:eastAsia="宋体" w:cs="Times New Roman"/>
                <w:sz w:val="24"/>
                <w:lang w:val="en-US" w:eastAsia="zh-CN"/>
              </w:rPr>
              <w:t>池州</w:t>
            </w:r>
            <w:r>
              <w:rPr>
                <w:rFonts w:hint="default" w:ascii="Times New Roman" w:hAnsi="Times New Roman" w:eastAsia="宋体" w:cs="Times New Roman"/>
                <w:sz w:val="24"/>
              </w:rPr>
              <w:t>市生态保护红线图</w:t>
            </w:r>
            <w:r>
              <w:rPr>
                <w:rFonts w:hint="eastAsia" w:ascii="Times New Roman" w:hAnsi="Times New Roman" w:eastAsia="宋体" w:cs="Times New Roman"/>
                <w:color w:val="auto"/>
                <w:sz w:val="24"/>
                <w:highlight w:val="none"/>
                <w:lang w:val="en-US" w:eastAsia="zh-CN"/>
              </w:rPr>
              <w:t>”可知</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详</w:t>
            </w:r>
            <w:r>
              <w:rPr>
                <w:rFonts w:hint="default" w:ascii="Times New Roman" w:hAnsi="Times New Roman" w:eastAsia="宋体" w:cs="Times New Roman"/>
                <w:sz w:val="24"/>
                <w:highlight w:val="none"/>
              </w:rPr>
              <w:t>见附图</w:t>
            </w:r>
            <w:r>
              <w:rPr>
                <w:rFonts w:hint="eastAsia" w:ascii="Times New Roman" w:hAnsi="Times New Roman" w:eastAsia="宋体" w:cs="Times New Roman"/>
                <w:sz w:val="24"/>
                <w:highlight w:val="none"/>
                <w:lang w:val="en-US" w:eastAsia="zh-CN"/>
              </w:rPr>
              <w:t>5</w:t>
            </w:r>
            <w:r>
              <w:rPr>
                <w:rFonts w:hint="eastAsia" w:ascii="Times New Roman" w:hAnsi="Times New Roman" w:eastAsia="宋体" w:cs="Times New Roman"/>
                <w:sz w:val="24"/>
                <w:lang w:eastAsia="zh-CN"/>
              </w:rPr>
              <w:t>）</w:t>
            </w:r>
            <w:r>
              <w:rPr>
                <w:rFonts w:hint="default" w:ascii="Times New Roman" w:hAnsi="Times New Roman" w:eastAsia="宋体" w:cs="Times New Roman"/>
                <w:sz w:val="24"/>
              </w:rPr>
              <w:t>，</w:t>
            </w:r>
            <w:r>
              <w:rPr>
                <w:rFonts w:hint="eastAsia" w:ascii="Times New Roman" w:hAnsi="Times New Roman" w:eastAsia="宋体" w:cs="Times New Roman"/>
                <w:sz w:val="24"/>
                <w:lang w:val="en-US" w:eastAsia="zh-CN"/>
              </w:rPr>
              <w:t>本项目</w:t>
            </w:r>
            <w:r>
              <w:rPr>
                <w:rFonts w:hint="default" w:ascii="Times New Roman" w:hAnsi="Times New Roman" w:eastAsia="宋体" w:cs="Times New Roman"/>
                <w:sz w:val="24"/>
              </w:rPr>
              <w:t>不在池州市生态红线范围内，也不在当地饮用水源、风景区、自然保护区等生态保护区内，符合</w:t>
            </w:r>
            <w:r>
              <w:rPr>
                <w:rFonts w:hint="eastAsia" w:ascii="Times New Roman" w:hAnsi="Times New Roman" w:eastAsia="宋体" w:cs="Times New Roman"/>
                <w:sz w:val="24"/>
                <w:lang w:val="en-US" w:eastAsia="zh-CN"/>
              </w:rPr>
              <w:t>池州市</w:t>
            </w:r>
            <w:r>
              <w:rPr>
                <w:rFonts w:hint="default" w:ascii="Times New Roman" w:hAnsi="Times New Roman" w:eastAsia="宋体" w:cs="Times New Roman"/>
                <w:sz w:val="24"/>
              </w:rPr>
              <w:t>生态保护红线要求</w:t>
            </w:r>
            <w:r>
              <w:rPr>
                <w:rFonts w:hint="eastAsia" w:ascii="Times New Roman" w:hAnsi="Times New Roman" w:eastAsia="宋体" w:cs="Times New Roman"/>
                <w:sz w:val="24"/>
                <w:lang w:eastAsia="zh-CN"/>
              </w:rPr>
              <w:t>。</w:t>
            </w:r>
          </w:p>
          <w:p w14:paraId="15AA04BD">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eastAsia"/>
                <w:lang w:eastAsia="zh-CN"/>
              </w:rPr>
            </w:pPr>
            <w:r>
              <w:rPr>
                <w:rFonts w:hint="default" w:ascii="Times New Roman" w:hAnsi="Times New Roman" w:eastAsia="宋体" w:cs="Times New Roman"/>
                <w:color w:val="auto"/>
                <w:sz w:val="24"/>
              </w:rPr>
              <w:t>（2）</w:t>
            </w:r>
            <w:r>
              <w:rPr>
                <w:rFonts w:hint="eastAsia" w:ascii="Times New Roman" w:hAnsi="Times New Roman" w:eastAsia="宋体" w:cs="Times New Roman"/>
                <w:color w:val="auto"/>
                <w:sz w:val="24"/>
                <w:lang w:val="en-US" w:eastAsia="zh-CN"/>
              </w:rPr>
              <w:t>与</w:t>
            </w:r>
            <w:r>
              <w:rPr>
                <w:rFonts w:hint="default" w:ascii="Times New Roman" w:hAnsi="Times New Roman" w:eastAsia="宋体" w:cs="Times New Roman"/>
                <w:color w:val="auto"/>
                <w:sz w:val="24"/>
              </w:rPr>
              <w:t>环境质量底线</w:t>
            </w:r>
            <w:r>
              <w:rPr>
                <w:rFonts w:hint="eastAsia" w:ascii="Times New Roman" w:hAnsi="Times New Roman" w:eastAsia="宋体" w:cs="Times New Roman"/>
                <w:color w:val="auto"/>
                <w:sz w:val="24"/>
                <w:lang w:val="en-US" w:eastAsia="zh-CN"/>
              </w:rPr>
              <w:t>要求相符性分析</w:t>
            </w:r>
          </w:p>
          <w:p w14:paraId="010704E2">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①</w:t>
            </w:r>
            <w:r>
              <w:rPr>
                <w:rFonts w:hint="default" w:ascii="Times New Roman" w:hAnsi="Times New Roman" w:eastAsia="宋体" w:cs="Times New Roman"/>
                <w:color w:val="auto"/>
                <w:sz w:val="24"/>
                <w:lang w:val="en-US" w:eastAsia="zh-CN"/>
              </w:rPr>
              <w:t>水</w:t>
            </w:r>
            <w:r>
              <w:rPr>
                <w:rFonts w:hint="default" w:ascii="Times New Roman" w:hAnsi="Times New Roman" w:eastAsia="宋体" w:cs="Times New Roman"/>
                <w:color w:val="auto"/>
                <w:sz w:val="24"/>
              </w:rPr>
              <w:t>环境质量底线</w:t>
            </w:r>
          </w:p>
          <w:p w14:paraId="05C0522F">
            <w:pPr>
              <w:keepNext w:val="0"/>
              <w:keepLines w:val="0"/>
              <w:pageBreakBefore w:val="0"/>
              <w:widowControl w:val="0"/>
              <w:shd w:val="clear"/>
              <w:kinsoku/>
              <w:wordWrap/>
              <w:overflowPunct/>
              <w:topLinePunct w:val="0"/>
              <w:bidi w:val="0"/>
              <w:adjustRightInd w:val="0"/>
              <w:snapToGrid/>
              <w:spacing w:line="360" w:lineRule="auto"/>
              <w:ind w:firstLine="480" w:firstLineChars="200"/>
              <w:jc w:val="both"/>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根据对比《长江经济带战略环境评价池州市“三线一单”编制文本》中“池州市水环境分区管控图”可知，本项目所在区域为水环境工业污染重点管控区</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详</w:t>
            </w:r>
            <w:r>
              <w:rPr>
                <w:rFonts w:hint="default" w:ascii="Times New Roman" w:hAnsi="Times New Roman" w:eastAsia="宋体" w:cs="Times New Roman"/>
                <w:sz w:val="24"/>
                <w:highlight w:val="none"/>
              </w:rPr>
              <w:t>见附图</w:t>
            </w:r>
            <w:r>
              <w:rPr>
                <w:rFonts w:hint="eastAsia" w:ascii="Times New Roman" w:hAnsi="Times New Roman" w:eastAsia="宋体" w:cs="Times New Roman"/>
                <w:sz w:val="24"/>
                <w:highlight w:val="none"/>
                <w:lang w:val="en-US" w:eastAsia="zh-CN"/>
              </w:rPr>
              <w:t>6</w:t>
            </w:r>
            <w:r>
              <w:rPr>
                <w:rFonts w:hint="eastAsia" w:ascii="Times New Roman" w:hAnsi="Times New Roman" w:eastAsia="宋体" w:cs="Times New Roman"/>
                <w:sz w:val="24"/>
                <w:lang w:eastAsia="zh-CN"/>
              </w:rPr>
              <w:t>）</w:t>
            </w:r>
            <w:r>
              <w:rPr>
                <w:rFonts w:hint="eastAsia" w:ascii="Times New Roman" w:hAnsi="Times New Roman" w:eastAsia="宋体" w:cs="Times New Roman"/>
                <w:color w:val="auto"/>
                <w:sz w:val="24"/>
                <w:highlight w:val="none"/>
                <w:lang w:val="en-US" w:eastAsia="zh-CN"/>
              </w:rPr>
              <w:t>。</w:t>
            </w:r>
          </w:p>
          <w:p w14:paraId="33C18250">
            <w:pPr>
              <w:keepNext w:val="0"/>
              <w:keepLines w:val="0"/>
              <w:pageBreakBefore w:val="0"/>
              <w:widowControl w:val="0"/>
              <w:shd w:val="clear"/>
              <w:kinsoku/>
              <w:wordWrap/>
              <w:overflowPunct/>
              <w:topLinePunct w:val="0"/>
              <w:bidi w:val="0"/>
              <w:adjustRightInd w:val="0"/>
              <w:snapToGrid/>
              <w:spacing w:line="360" w:lineRule="auto"/>
              <w:ind w:firstLine="480" w:firstLineChars="200"/>
              <w:jc w:val="both"/>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水环境工业污染重点管控区要求：依据《中华人民共和国水污染防治法》《水污染防治行动计划》《安徽省水污染防治工作方案》及池州市水污染防治工作方案对重点管控区实施管控；依据《长江经济带工业园区水污染整治专项行动工作方案》、池州市相关开发区规划、规划环评及审查意见相关要求对开发区实施管控；落实《安徽省“十四五”生态环境保护规划》《安徽省“十四五”节能减排实施方案》《池州市“十四五”生态环境保护规划》《池州市“十四五”水生态环境保护专项规划》《池州市“十四五”节能减排方案》《池州市水污染防治工作方案》等要求；新建、改建和扩建项目水污染物实施“等量替代”。</w:t>
            </w:r>
          </w:p>
          <w:p w14:paraId="533C24CB">
            <w:pPr>
              <w:keepNext w:val="0"/>
              <w:keepLines w:val="0"/>
              <w:pageBreakBefore w:val="0"/>
              <w:widowControl w:val="0"/>
              <w:shd w:val="clear"/>
              <w:kinsoku/>
              <w:wordWrap/>
              <w:overflowPunct/>
              <w:topLinePunct w:val="0"/>
              <w:bidi w:val="0"/>
              <w:adjustRightInd w:val="0"/>
              <w:snapToGrid/>
              <w:spacing w:line="360" w:lineRule="auto"/>
              <w:ind w:firstLine="480" w:firstLineChars="200"/>
              <w:jc w:val="both"/>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val="en-US" w:eastAsia="zh-CN"/>
              </w:rPr>
              <w:t>根据《2024年池州市生态环境状况公报》中的监测结论，项目区域地表水体</w:t>
            </w:r>
            <w:r>
              <w:rPr>
                <w:rFonts w:hint="default" w:ascii="Times New Roman" w:hAnsi="Times New Roman" w:eastAsia="宋体" w:cs="Times New Roman"/>
                <w:color w:val="auto"/>
                <w:sz w:val="24"/>
                <w:highlight w:val="none"/>
                <w:lang w:val="en-US" w:eastAsia="zh-CN"/>
              </w:rPr>
              <w:t>九华河、长江（池州段）水环境质量较好，可以达到《地表水环境质量标准》（GB3838-2002）中的Ⅲ类标准要求</w:t>
            </w:r>
            <w:r>
              <w:rPr>
                <w:rFonts w:hint="eastAsia" w:ascii="Times New Roman" w:hAnsi="Times New Roman" w:eastAsia="宋体" w:cs="Times New Roman"/>
                <w:color w:val="auto"/>
                <w:sz w:val="24"/>
                <w:highlight w:val="none"/>
                <w:lang w:val="en-US" w:eastAsia="zh-CN"/>
              </w:rPr>
              <w:t>。本项目废水仅有生活污水，通过市政管网进入江南产业集中区第一污水处理厂处理，对地表水环境影响很小，项目建设后不会触及水环境质量底线</w:t>
            </w:r>
            <w:r>
              <w:rPr>
                <w:rFonts w:hint="eastAsia" w:ascii="Times New Roman" w:hAnsi="Times New Roman" w:eastAsia="宋体" w:cs="Times New Roman"/>
                <w:color w:val="auto"/>
                <w:sz w:val="24"/>
                <w:highlight w:val="none"/>
                <w:lang w:eastAsia="zh-CN"/>
              </w:rPr>
              <w:t>。综上，项目建设满足水环境质量底线。</w:t>
            </w:r>
          </w:p>
          <w:p w14:paraId="0378783A">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②</w:t>
            </w:r>
            <w:r>
              <w:rPr>
                <w:rFonts w:hint="eastAsia" w:ascii="Times New Roman" w:hAnsi="Times New Roman" w:eastAsia="宋体" w:cs="Times New Roman"/>
                <w:color w:val="auto"/>
                <w:sz w:val="24"/>
                <w:lang w:val="en-US" w:eastAsia="zh-CN"/>
              </w:rPr>
              <w:t>大气</w:t>
            </w:r>
            <w:r>
              <w:rPr>
                <w:rFonts w:hint="default" w:ascii="Times New Roman" w:hAnsi="Times New Roman" w:eastAsia="宋体" w:cs="Times New Roman"/>
                <w:color w:val="auto"/>
                <w:sz w:val="24"/>
              </w:rPr>
              <w:t>环境质量底线</w:t>
            </w:r>
          </w:p>
          <w:p w14:paraId="1122B207">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t>根据《长江经济带战略环境评价池州市“三线一单”编制文本》中“池州市大气环境分区管控图”可知，本项目所在区域为大气环境重点管控区中的受体敏感重点管控区</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详</w:t>
            </w:r>
            <w:r>
              <w:rPr>
                <w:rFonts w:hint="default" w:ascii="Times New Roman" w:hAnsi="Times New Roman" w:eastAsia="宋体" w:cs="Times New Roman"/>
                <w:sz w:val="24"/>
                <w:highlight w:val="none"/>
              </w:rPr>
              <w:t>见附图</w:t>
            </w:r>
            <w:r>
              <w:rPr>
                <w:rFonts w:hint="eastAsia" w:ascii="Times New Roman" w:hAnsi="Times New Roman" w:eastAsia="宋体" w:cs="Times New Roman"/>
                <w:sz w:val="24"/>
                <w:highlight w:val="none"/>
                <w:lang w:val="en-US" w:eastAsia="zh-CN"/>
              </w:rPr>
              <w:t>7</w:t>
            </w:r>
            <w:r>
              <w:rPr>
                <w:rFonts w:hint="eastAsia" w:ascii="Times New Roman" w:hAnsi="Times New Roman" w:eastAsia="宋体" w:cs="Times New Roman"/>
                <w:sz w:val="24"/>
                <w:lang w:eastAsia="zh-CN"/>
              </w:rPr>
              <w:t>）</w:t>
            </w:r>
            <w:r>
              <w:rPr>
                <w:rFonts w:hint="eastAsia" w:ascii="Times New Roman" w:hAnsi="Times New Roman" w:eastAsia="宋体" w:cs="Times New Roman"/>
                <w:color w:val="auto"/>
                <w:sz w:val="24"/>
                <w:highlight w:val="none"/>
                <w:lang w:eastAsia="zh-CN"/>
              </w:rPr>
              <w:t>。</w:t>
            </w:r>
          </w:p>
          <w:p w14:paraId="5E0F734F">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t>大气环境重点管控区要求：落实《安徽省大气污染防治条例》《安徽省碳达峰实施方案的通知》《安徽省工业领域碳达峰实施方案》《安徽省城乡建设领域碳达峰实施方案》《关于进一步加强新上“两高”项目管理的通知》《安徽省挥发性有机物污染整治工作方案》《关于进一步加强建设项目新增大气污染物总量控制指标管理工作的通知》《安徽省“十四五”节能减排实施方案》《深入打好污染防治攻坚战行动方案》《池州市“十四五”节能减排方案》要求；严格目标实施计划，加强环境监管，促进生态环境质量好转；大气主要污染物总量指标实行区域内等量或倍量削减替代，执行特别排放标准的行业实施提标升级改造。</w:t>
            </w:r>
          </w:p>
          <w:p w14:paraId="1CAE9359">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t>根据《2024年池州市生态环境状况公报》中数据，项目所在区域大气环境为达标区。本项目运营期废气均经收集处理后达标排放</w:t>
            </w:r>
            <w:r>
              <w:rPr>
                <w:rFonts w:hint="eastAsia" w:ascii="Times New Roman" w:hAnsi="Times New Roman" w:eastAsia="宋体" w:cs="Times New Roman"/>
                <w:color w:val="auto"/>
                <w:sz w:val="24"/>
                <w:highlight w:val="none"/>
                <w:lang w:val="en-US" w:eastAsia="zh-CN"/>
              </w:rPr>
              <w:t>，项目建设后不会触及大气环境质量底线</w:t>
            </w:r>
            <w:r>
              <w:rPr>
                <w:rFonts w:hint="eastAsia" w:ascii="Times New Roman" w:hAnsi="Times New Roman" w:eastAsia="宋体" w:cs="Times New Roman"/>
                <w:color w:val="auto"/>
                <w:sz w:val="24"/>
                <w:highlight w:val="none"/>
                <w:lang w:eastAsia="zh-CN"/>
              </w:rPr>
              <w:t>。综上，项目建设满足</w:t>
            </w:r>
            <w:r>
              <w:rPr>
                <w:rFonts w:hint="eastAsia" w:ascii="Times New Roman" w:hAnsi="Times New Roman" w:eastAsia="宋体" w:cs="Times New Roman"/>
                <w:color w:val="auto"/>
                <w:sz w:val="24"/>
                <w:highlight w:val="none"/>
                <w:lang w:val="en-US" w:eastAsia="zh-CN"/>
              </w:rPr>
              <w:t>大气</w:t>
            </w:r>
            <w:r>
              <w:rPr>
                <w:rFonts w:hint="eastAsia" w:ascii="Times New Roman" w:hAnsi="Times New Roman" w:eastAsia="宋体" w:cs="Times New Roman"/>
                <w:color w:val="auto"/>
                <w:sz w:val="24"/>
                <w:highlight w:val="none"/>
                <w:lang w:eastAsia="zh-CN"/>
              </w:rPr>
              <w:t>环境质量底线。</w:t>
            </w:r>
          </w:p>
          <w:p w14:paraId="52E2F760">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③</w:t>
            </w:r>
            <w:r>
              <w:rPr>
                <w:rFonts w:hint="eastAsia" w:ascii="Times New Roman" w:hAnsi="Times New Roman" w:eastAsia="宋体" w:cs="Times New Roman"/>
                <w:color w:val="auto"/>
                <w:sz w:val="24"/>
                <w:highlight w:val="none"/>
                <w:lang w:eastAsia="zh-CN"/>
              </w:rPr>
              <w:t>土壤环境质量底线</w:t>
            </w:r>
          </w:p>
          <w:p w14:paraId="52605136">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t>根据《长江经济带战略环境评价池州市“三线一单”文本》，经与“池州市土壤污染风险分区防控图”对照分析可知，本项目所在区域为一般管控区</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详</w:t>
            </w:r>
            <w:r>
              <w:rPr>
                <w:rFonts w:hint="default" w:ascii="Times New Roman" w:hAnsi="Times New Roman" w:eastAsia="宋体" w:cs="Times New Roman"/>
                <w:sz w:val="24"/>
                <w:highlight w:val="none"/>
              </w:rPr>
              <w:t>见附图</w:t>
            </w:r>
            <w:r>
              <w:rPr>
                <w:rFonts w:hint="eastAsia" w:ascii="Times New Roman" w:hAnsi="Times New Roman" w:eastAsia="宋体" w:cs="Times New Roman"/>
                <w:sz w:val="24"/>
                <w:highlight w:val="none"/>
                <w:lang w:val="en-US" w:eastAsia="zh-CN"/>
              </w:rPr>
              <w:t>8</w:t>
            </w:r>
            <w:r>
              <w:rPr>
                <w:rFonts w:hint="eastAsia" w:ascii="Times New Roman" w:hAnsi="Times New Roman" w:eastAsia="宋体" w:cs="Times New Roman"/>
                <w:sz w:val="24"/>
                <w:lang w:eastAsia="zh-CN"/>
              </w:rPr>
              <w:t>）</w:t>
            </w:r>
            <w:r>
              <w:rPr>
                <w:rFonts w:hint="eastAsia" w:ascii="Times New Roman" w:hAnsi="Times New Roman" w:eastAsia="宋体" w:cs="Times New Roman"/>
                <w:color w:val="auto"/>
                <w:sz w:val="24"/>
                <w:highlight w:val="none"/>
                <w:lang w:eastAsia="zh-CN"/>
              </w:rPr>
              <w:t>。</w:t>
            </w:r>
          </w:p>
          <w:p w14:paraId="5431542F">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t>本项目为新建项目，租赁安徽省池州市江南产业集中区皖能电子信息产业园5幢4层进行生产，</w:t>
            </w:r>
            <w:r>
              <w:rPr>
                <w:rFonts w:hint="eastAsia" w:ascii="Times New Roman" w:hAnsi="Times New Roman" w:eastAsia="宋体" w:cs="Times New Roman"/>
                <w:color w:val="auto"/>
                <w:sz w:val="24"/>
                <w:highlight w:val="none"/>
                <w:lang w:val="en-US" w:eastAsia="zh-CN"/>
              </w:rPr>
              <w:t>由于</w:t>
            </w:r>
            <w:r>
              <w:rPr>
                <w:rFonts w:hint="eastAsia" w:ascii="Times New Roman" w:hAnsi="Times New Roman" w:eastAsia="宋体" w:cs="Times New Roman"/>
                <w:color w:val="auto"/>
                <w:sz w:val="24"/>
                <w:highlight w:val="none"/>
                <w:lang w:eastAsia="zh-CN"/>
              </w:rPr>
              <w:t>项目厂房在4层，正常情况下无土壤环境污染途径，不会对土壤环境产生不利影响，</w:t>
            </w:r>
            <w:r>
              <w:rPr>
                <w:rFonts w:hint="eastAsia" w:ascii="Times New Roman" w:hAnsi="Times New Roman" w:eastAsia="宋体" w:cs="Times New Roman"/>
                <w:color w:val="auto"/>
                <w:sz w:val="24"/>
                <w:highlight w:val="none"/>
                <w:lang w:val="en-US" w:eastAsia="zh-CN"/>
              </w:rPr>
              <w:t>本环评要求项目危废贮存点、辅料存放区做好防腐措施即可。综上，项目建设后不会触及土壤环境质量底线</w:t>
            </w:r>
            <w:r>
              <w:rPr>
                <w:rFonts w:hint="eastAsia" w:ascii="Times New Roman" w:hAnsi="Times New Roman" w:eastAsia="宋体" w:cs="Times New Roman"/>
                <w:color w:val="auto"/>
                <w:sz w:val="24"/>
                <w:highlight w:val="none"/>
                <w:lang w:eastAsia="zh-CN"/>
              </w:rPr>
              <w:t>。</w:t>
            </w:r>
          </w:p>
          <w:p w14:paraId="3A5AC404">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eastAsia"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rPr>
              <w:t>（</w:t>
            </w:r>
            <w:r>
              <w:rPr>
                <w:rFonts w:hint="eastAsia" w:ascii="Times New Roman" w:hAnsi="Times New Roman" w:eastAsia="宋体" w:cs="Times New Roman"/>
                <w:color w:val="auto"/>
                <w:sz w:val="24"/>
                <w:lang w:val="en-US" w:eastAsia="zh-CN"/>
              </w:rPr>
              <w:t>3</w:t>
            </w:r>
            <w:r>
              <w:rPr>
                <w:rFonts w:hint="default" w:ascii="Times New Roman" w:hAnsi="Times New Roman" w:eastAsia="宋体" w:cs="Times New Roman"/>
                <w:color w:val="auto"/>
                <w:sz w:val="24"/>
              </w:rPr>
              <w:t>）</w:t>
            </w:r>
            <w:r>
              <w:rPr>
                <w:rFonts w:hint="eastAsia" w:ascii="Times New Roman" w:hAnsi="Times New Roman" w:eastAsia="宋体" w:cs="Times New Roman"/>
                <w:color w:val="auto"/>
                <w:sz w:val="24"/>
                <w:lang w:val="en-US" w:eastAsia="zh-CN"/>
              </w:rPr>
              <w:t>与资源利用上线相符性分析</w:t>
            </w:r>
          </w:p>
          <w:p w14:paraId="76D807AD">
            <w:pPr>
              <w:keepNext w:val="0"/>
              <w:keepLines w:val="0"/>
              <w:pageBreakBefore w:val="0"/>
              <w:widowControl w:val="0"/>
              <w:shd w:val="clear"/>
              <w:kinsoku/>
              <w:wordWrap/>
              <w:overflowPunct/>
              <w:topLinePunct w:val="0"/>
              <w:bidi w:val="0"/>
              <w:adjustRightInd w:val="0"/>
              <w:snapToGrid/>
              <w:spacing w:line="360" w:lineRule="auto"/>
              <w:ind w:firstLine="480" w:firstLineChars="200"/>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val="en-US" w:eastAsia="zh-CN"/>
              </w:rPr>
              <w:t>本项目用水来自市政供水管网，用电来自市政电网。项目营运过程中消耗一定量的电能和水能，资源消耗量相对区域资料利用总量较少，符合资源利用上限的要求。</w:t>
            </w:r>
          </w:p>
          <w:p w14:paraId="747845ED">
            <w:pPr>
              <w:keepNext w:val="0"/>
              <w:keepLines w:val="0"/>
              <w:pageBreakBefore w:val="0"/>
              <w:widowControl w:val="0"/>
              <w:numPr>
                <w:ilvl w:val="0"/>
                <w:numId w:val="0"/>
              </w:numPr>
              <w:shd w:val="clear"/>
              <w:kinsoku/>
              <w:wordWrap/>
              <w:overflowPunct/>
              <w:topLinePunct w:val="0"/>
              <w:bidi w:val="0"/>
              <w:adjustRightInd w:val="0"/>
              <w:snapToGrid/>
              <w:spacing w:line="360" w:lineRule="auto"/>
              <w:ind w:firstLine="480" w:firstLineChars="200"/>
              <w:rPr>
                <w:rFonts w:hint="default"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w:t>
            </w:r>
            <w:r>
              <w:rPr>
                <w:rFonts w:hint="eastAsia" w:ascii="Times New Roman" w:hAnsi="Times New Roman" w:eastAsia="宋体" w:cs="Times New Roman"/>
                <w:color w:val="auto"/>
                <w:sz w:val="24"/>
                <w:lang w:val="en-US" w:eastAsia="zh-CN"/>
              </w:rPr>
              <w:t>4</w:t>
            </w:r>
            <w:r>
              <w:rPr>
                <w:rFonts w:hint="eastAsia" w:ascii="Times New Roman" w:hAnsi="Times New Roman" w:eastAsia="宋体" w:cs="Times New Roman"/>
                <w:color w:val="auto"/>
                <w:sz w:val="24"/>
                <w:lang w:eastAsia="zh-CN"/>
              </w:rPr>
              <w:t>）</w:t>
            </w:r>
            <w:r>
              <w:rPr>
                <w:rFonts w:hint="eastAsia" w:ascii="Times New Roman" w:hAnsi="Times New Roman" w:eastAsia="宋体" w:cs="Times New Roman"/>
                <w:color w:val="auto"/>
                <w:sz w:val="24"/>
                <w:lang w:val="en-US" w:eastAsia="zh-CN"/>
              </w:rPr>
              <w:t>与</w:t>
            </w:r>
            <w:r>
              <w:rPr>
                <w:rFonts w:hint="default" w:ascii="Times New Roman" w:hAnsi="Times New Roman" w:eastAsia="宋体" w:cs="Times New Roman"/>
                <w:color w:val="auto"/>
                <w:sz w:val="24"/>
              </w:rPr>
              <w:t>生态环境准入清单</w:t>
            </w:r>
            <w:r>
              <w:rPr>
                <w:rFonts w:hint="eastAsia" w:ascii="Times New Roman" w:hAnsi="Times New Roman" w:eastAsia="宋体" w:cs="Times New Roman"/>
                <w:color w:val="auto"/>
                <w:sz w:val="24"/>
                <w:lang w:val="en-US" w:eastAsia="zh-CN"/>
              </w:rPr>
              <w:t>相符性分析</w:t>
            </w:r>
          </w:p>
          <w:p w14:paraId="036767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黑体" w:cs="Times New Roman"/>
                <w:b w:val="0"/>
                <w:bCs/>
                <w:sz w:val="21"/>
                <w:szCs w:val="21"/>
              </w:rPr>
            </w:pPr>
            <w:r>
              <w:rPr>
                <w:rFonts w:hint="default" w:ascii="Times New Roman" w:hAnsi="Times New Roman" w:cs="Times New Roman"/>
                <w:color w:val="auto"/>
                <w:sz w:val="24"/>
              </w:rPr>
              <w:t>本项目</w:t>
            </w:r>
            <w:r>
              <w:rPr>
                <w:rFonts w:hint="eastAsia" w:ascii="Times New Roman" w:hAnsi="Times New Roman" w:cs="Times New Roman"/>
                <w:color w:val="auto"/>
                <w:sz w:val="24"/>
                <w:lang w:val="en-US" w:eastAsia="zh-CN"/>
              </w:rPr>
              <w:t>属于</w:t>
            </w:r>
            <w:r>
              <w:rPr>
                <w:rFonts w:hint="default" w:ascii="Times New Roman" w:hAnsi="Times New Roman" w:cs="Times New Roman"/>
                <w:color w:val="auto"/>
                <w:sz w:val="24"/>
              </w:rPr>
              <w:t>C3914工业控制计算机及系统制造，符合皖江江南新兴产业集中区规划要求。根据《长江经济带发展负面清单指南》（试行，2022年版）以及《安徽省长江经济带发展负面清单实施细则（试行，2022年版）》可知，本项目不属于负面清单行业范畴。对照《产业结构调整指导目录（2024年本）》，本项目属于鼓励类项目</w:t>
            </w:r>
            <w:r>
              <w:rPr>
                <w:rFonts w:hint="eastAsia" w:ascii="Times New Roman" w:hAnsi="Times New Roman" w:cs="Times New Roman"/>
                <w:color w:val="auto"/>
                <w:sz w:val="24"/>
                <w:lang w:eastAsia="zh-CN"/>
              </w:rPr>
              <w:t>。</w:t>
            </w:r>
            <w:r>
              <w:rPr>
                <w:rFonts w:hint="eastAsia" w:ascii="Times New Roman" w:hAnsi="Times New Roman" w:cs="Times New Roman"/>
                <w:color w:val="auto"/>
                <w:sz w:val="24"/>
                <w:lang w:val="en-US" w:eastAsia="zh-CN"/>
              </w:rPr>
              <w:t>对照《市场准入负面清单（2025年版）》，本项目属于允许类项目。</w:t>
            </w:r>
            <w:r>
              <w:rPr>
                <w:rFonts w:hint="eastAsia" w:ascii="Times New Roman" w:hAnsi="Times New Roman" w:eastAsia="宋体" w:cs="Times New Roman"/>
                <w:b w:val="0"/>
                <w:bCs w:val="0"/>
                <w:sz w:val="24"/>
                <w:lang w:val="en-US" w:eastAsia="zh-CN"/>
              </w:rPr>
              <w:t>对照《</w:t>
            </w:r>
            <w:r>
              <w:rPr>
                <w:rFonts w:hint="default" w:ascii="Times New Roman" w:hAnsi="Times New Roman" w:eastAsia="宋体" w:cs="Times New Roman"/>
                <w:b w:val="0"/>
                <w:bCs w:val="0"/>
                <w:sz w:val="24"/>
                <w:lang w:val="en-US" w:eastAsia="zh-CN"/>
              </w:rPr>
              <w:t>皖江江南新兴产业集中区环境影响区域评估报告（2022年版）</w:t>
            </w:r>
            <w:r>
              <w:rPr>
                <w:rFonts w:hint="eastAsia" w:ascii="Times New Roman" w:hAnsi="Times New Roman" w:eastAsia="宋体" w:cs="Times New Roman"/>
                <w:b w:val="0"/>
                <w:bCs w:val="0"/>
                <w:sz w:val="24"/>
                <w:lang w:val="en-US" w:eastAsia="zh-CN"/>
              </w:rPr>
              <w:t>》环境准入清单，本项目属于正面清单。</w:t>
            </w:r>
            <w:r>
              <w:rPr>
                <w:rFonts w:hint="default" w:ascii="Times New Roman" w:hAnsi="Times New Roman" w:cs="Times New Roman"/>
                <w:color w:val="auto"/>
                <w:sz w:val="24"/>
              </w:rPr>
              <w:t>因此建设项目符合生态环境准入清单要求</w:t>
            </w:r>
            <w:r>
              <w:rPr>
                <w:rFonts w:hint="eastAsia" w:ascii="Times New Roman" w:hAnsi="Times New Roman" w:cs="Times New Roman"/>
                <w:color w:val="auto"/>
                <w:sz w:val="24"/>
                <w:lang w:eastAsia="zh-CN"/>
              </w:rPr>
              <w:t>。</w:t>
            </w:r>
          </w:p>
          <w:p w14:paraId="25EA6C46">
            <w:pPr>
              <w:pStyle w:val="28"/>
              <w:keepNext w:val="0"/>
              <w:keepLines w:val="0"/>
              <w:pageBreakBefore w:val="0"/>
              <w:widowControl w:val="0"/>
              <w:shd w:val="clear"/>
              <w:kinsoku/>
              <w:wordWrap/>
              <w:overflowPunct/>
              <w:topLinePunct w:val="0"/>
              <w:bidi w:val="0"/>
              <w:snapToGrid/>
              <w:spacing w:line="360" w:lineRule="auto"/>
              <w:ind w:left="0" w:leftChars="0" w:firstLine="0" w:firstLineChars="0"/>
              <w:jc w:val="center"/>
              <w:rPr>
                <w:rFonts w:hint="eastAsia" w:ascii="Times New Roman" w:hAnsi="Times New Roman" w:eastAsia="黑体" w:cs="Times New Roman"/>
                <w:b w:val="0"/>
                <w:bCs/>
                <w:sz w:val="21"/>
                <w:szCs w:val="21"/>
                <w:lang w:val="en-US" w:eastAsia="zh-CN"/>
              </w:rPr>
            </w:pPr>
            <w:r>
              <w:rPr>
                <w:rFonts w:hint="default" w:ascii="Times New Roman" w:hAnsi="Times New Roman" w:eastAsia="黑体" w:cs="Times New Roman"/>
                <w:b w:val="0"/>
                <w:bCs/>
                <w:sz w:val="21"/>
                <w:szCs w:val="21"/>
              </w:rPr>
              <w:t>表</w:t>
            </w:r>
            <w:r>
              <w:rPr>
                <w:rFonts w:hint="eastAsia" w:ascii="Times New Roman" w:hAnsi="Times New Roman" w:eastAsia="黑体" w:cs="Times New Roman"/>
                <w:b w:val="0"/>
                <w:bCs/>
                <w:sz w:val="21"/>
                <w:szCs w:val="21"/>
                <w:lang w:val="en-US" w:eastAsia="zh-CN"/>
              </w:rPr>
              <w:t>1-2</w:t>
            </w:r>
            <w:r>
              <w:rPr>
                <w:rFonts w:hint="default" w:ascii="Times New Roman" w:hAnsi="Times New Roman" w:eastAsia="黑体" w:cs="Times New Roman"/>
                <w:b w:val="0"/>
                <w:bCs/>
                <w:sz w:val="21"/>
                <w:szCs w:val="21"/>
              </w:rPr>
              <w:t xml:space="preserve"> </w:t>
            </w:r>
            <w:r>
              <w:rPr>
                <w:rFonts w:hint="eastAsia" w:ascii="Times New Roman" w:hAnsi="Times New Roman" w:eastAsia="黑体" w:cs="Times New Roman"/>
                <w:b w:val="0"/>
                <w:bCs/>
                <w:sz w:val="21"/>
                <w:szCs w:val="21"/>
                <w:lang w:val="en-US" w:eastAsia="zh-CN"/>
              </w:rPr>
              <w:t>《皖江江南新兴产业集中区环境影响区域评估报告（2022年版）》</w:t>
            </w:r>
          </w:p>
          <w:p w14:paraId="195D058F">
            <w:pPr>
              <w:pStyle w:val="28"/>
              <w:keepNext w:val="0"/>
              <w:keepLines w:val="0"/>
              <w:pageBreakBefore w:val="0"/>
              <w:widowControl w:val="0"/>
              <w:shd w:val="clear"/>
              <w:kinsoku/>
              <w:wordWrap/>
              <w:overflowPunct/>
              <w:topLinePunct w:val="0"/>
              <w:bidi w:val="0"/>
              <w:snapToGrid/>
              <w:spacing w:line="360" w:lineRule="auto"/>
              <w:ind w:left="0" w:leftChars="0" w:firstLine="0" w:firstLineChars="0"/>
              <w:jc w:val="center"/>
              <w:rPr>
                <w:rFonts w:hint="default" w:ascii="Times New Roman" w:hAnsi="Times New Roman" w:eastAsia="黑体" w:cs="Times New Roman"/>
                <w:b w:val="0"/>
                <w:bCs/>
                <w:sz w:val="21"/>
                <w:szCs w:val="21"/>
                <w:lang w:val="en-US" w:eastAsia="zh-CN"/>
              </w:rPr>
            </w:pPr>
            <w:r>
              <w:rPr>
                <w:rFonts w:hint="eastAsia" w:ascii="Times New Roman" w:hAnsi="Times New Roman" w:eastAsia="黑体" w:cs="Times New Roman"/>
                <w:b w:val="0"/>
                <w:bCs/>
                <w:sz w:val="21"/>
                <w:szCs w:val="21"/>
                <w:lang w:val="en-US" w:eastAsia="zh-CN"/>
              </w:rPr>
              <w:t>环境准入清单</w:t>
            </w:r>
          </w:p>
          <w:tbl>
            <w:tblPr>
              <w:tblStyle w:val="25"/>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750"/>
              <w:gridCol w:w="2863"/>
              <w:gridCol w:w="2809"/>
            </w:tblGrid>
            <w:tr w14:paraId="755D6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03" w:type="pct"/>
                  <w:vAlign w:val="center"/>
                </w:tcPr>
                <w:p w14:paraId="4D3E680B">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管控要求类别</w:t>
                  </w:r>
                </w:p>
              </w:tc>
              <w:tc>
                <w:tcPr>
                  <w:tcW w:w="513" w:type="pct"/>
                  <w:vAlign w:val="center"/>
                </w:tcPr>
                <w:p w14:paraId="29933512">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主导产业</w:t>
                  </w:r>
                </w:p>
              </w:tc>
              <w:tc>
                <w:tcPr>
                  <w:tcW w:w="1959" w:type="pct"/>
                  <w:vAlign w:val="center"/>
                </w:tcPr>
                <w:p w14:paraId="041522F5">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行业类别</w:t>
                  </w:r>
                </w:p>
              </w:tc>
              <w:tc>
                <w:tcPr>
                  <w:tcW w:w="1922" w:type="pct"/>
                  <w:vAlign w:val="center"/>
                </w:tcPr>
                <w:p w14:paraId="0063D04C">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备注</w:t>
                  </w:r>
                </w:p>
              </w:tc>
            </w:tr>
            <w:tr w14:paraId="2A7B7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603" w:type="pct"/>
                  <w:vMerge w:val="restart"/>
                  <w:vAlign w:val="center"/>
                </w:tcPr>
                <w:p w14:paraId="5011BB58">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正面</w:t>
                  </w:r>
                </w:p>
                <w:p w14:paraId="7F8E8DE6">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清单</w:t>
                  </w:r>
                </w:p>
              </w:tc>
              <w:tc>
                <w:tcPr>
                  <w:tcW w:w="513" w:type="pct"/>
                  <w:vMerge w:val="restart"/>
                  <w:vAlign w:val="center"/>
                </w:tcPr>
                <w:p w14:paraId="1CED9287">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新型材料</w:t>
                  </w:r>
                </w:p>
              </w:tc>
              <w:tc>
                <w:tcPr>
                  <w:tcW w:w="1959" w:type="pct"/>
                  <w:vMerge w:val="restart"/>
                  <w:vAlign w:val="center"/>
                </w:tcPr>
                <w:p w14:paraId="03B6B99B">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30非金属矿物制品业</w:t>
                  </w:r>
                </w:p>
              </w:tc>
              <w:tc>
                <w:tcPr>
                  <w:tcW w:w="1922" w:type="pct"/>
                  <w:vAlign w:val="center"/>
                </w:tcPr>
                <w:p w14:paraId="7258376E">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3022砼结构构件制造</w:t>
                  </w:r>
                </w:p>
              </w:tc>
            </w:tr>
            <w:tr w14:paraId="1E51C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603" w:type="pct"/>
                  <w:vMerge w:val="continue"/>
                  <w:vAlign w:val="center"/>
                </w:tcPr>
                <w:p w14:paraId="37A875D8">
                  <w:pPr>
                    <w:shd w:val="clear"/>
                    <w:spacing w:line="360" w:lineRule="exact"/>
                    <w:jc w:val="center"/>
                  </w:pPr>
                </w:p>
              </w:tc>
              <w:tc>
                <w:tcPr>
                  <w:tcW w:w="513" w:type="pct"/>
                  <w:vMerge w:val="continue"/>
                  <w:vAlign w:val="center"/>
                </w:tcPr>
                <w:p w14:paraId="27EA97B8">
                  <w:pPr>
                    <w:shd w:val="clear"/>
                    <w:spacing w:line="360" w:lineRule="exact"/>
                    <w:jc w:val="center"/>
                  </w:pPr>
                </w:p>
              </w:tc>
              <w:tc>
                <w:tcPr>
                  <w:tcW w:w="1959" w:type="pct"/>
                  <w:vMerge w:val="continue"/>
                  <w:vAlign w:val="center"/>
                </w:tcPr>
                <w:p w14:paraId="54C711D2">
                  <w:pPr>
                    <w:shd w:val="clear"/>
                    <w:spacing w:line="360" w:lineRule="exact"/>
                    <w:jc w:val="center"/>
                  </w:pPr>
                </w:p>
              </w:tc>
              <w:tc>
                <w:tcPr>
                  <w:tcW w:w="1922" w:type="pct"/>
                  <w:vAlign w:val="center"/>
                </w:tcPr>
                <w:p w14:paraId="37DB9692">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3024轻质建筑材料制造</w:t>
                  </w:r>
                </w:p>
              </w:tc>
            </w:tr>
            <w:tr w14:paraId="12307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603" w:type="pct"/>
                  <w:vMerge w:val="continue"/>
                  <w:vAlign w:val="center"/>
                </w:tcPr>
                <w:p w14:paraId="7FE32213">
                  <w:pPr>
                    <w:shd w:val="clear"/>
                    <w:spacing w:line="360" w:lineRule="exact"/>
                    <w:jc w:val="center"/>
                    <w:rPr>
                      <w:rFonts w:hint="eastAsia" w:ascii="Times New Roman" w:hAnsi="Times New Roman" w:eastAsia="宋体" w:cs="Times New Roman"/>
                      <w:b w:val="0"/>
                      <w:bCs w:val="0"/>
                      <w:szCs w:val="21"/>
                      <w:lang w:val="en-US" w:eastAsia="zh-CN"/>
                    </w:rPr>
                  </w:pPr>
                </w:p>
              </w:tc>
              <w:tc>
                <w:tcPr>
                  <w:tcW w:w="513" w:type="pct"/>
                  <w:vMerge w:val="continue"/>
                  <w:vAlign w:val="center"/>
                </w:tcPr>
                <w:p w14:paraId="27D9A13D">
                  <w:pPr>
                    <w:shd w:val="clear"/>
                    <w:spacing w:line="360" w:lineRule="exact"/>
                    <w:jc w:val="center"/>
                    <w:rPr>
                      <w:rFonts w:hint="eastAsia" w:ascii="Times New Roman" w:hAnsi="Times New Roman" w:eastAsia="宋体" w:cs="Times New Roman"/>
                      <w:b w:val="0"/>
                      <w:bCs w:val="0"/>
                      <w:szCs w:val="21"/>
                      <w:lang w:val="en-US" w:eastAsia="zh-CN"/>
                    </w:rPr>
                  </w:pPr>
                </w:p>
              </w:tc>
              <w:tc>
                <w:tcPr>
                  <w:tcW w:w="1959" w:type="pct"/>
                  <w:vMerge w:val="restart"/>
                  <w:vAlign w:val="center"/>
                </w:tcPr>
                <w:p w14:paraId="38EF81E9">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32有色金属冶炼和压延加工业</w:t>
                  </w:r>
                </w:p>
              </w:tc>
              <w:tc>
                <w:tcPr>
                  <w:tcW w:w="1922" w:type="pct"/>
                  <w:vAlign w:val="center"/>
                </w:tcPr>
                <w:p w14:paraId="3A10C69C">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3216铝冶炼</w:t>
                  </w:r>
                </w:p>
              </w:tc>
            </w:tr>
            <w:tr w14:paraId="5C2EA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603" w:type="pct"/>
                  <w:vMerge w:val="continue"/>
                  <w:vAlign w:val="center"/>
                </w:tcPr>
                <w:p w14:paraId="1BE0FE7B">
                  <w:pPr>
                    <w:shd w:val="clear"/>
                    <w:spacing w:line="360" w:lineRule="exact"/>
                    <w:jc w:val="center"/>
                  </w:pPr>
                </w:p>
              </w:tc>
              <w:tc>
                <w:tcPr>
                  <w:tcW w:w="513" w:type="pct"/>
                  <w:vMerge w:val="continue"/>
                  <w:vAlign w:val="center"/>
                </w:tcPr>
                <w:p w14:paraId="70DF440B">
                  <w:pPr>
                    <w:shd w:val="clear"/>
                    <w:spacing w:line="360" w:lineRule="exact"/>
                    <w:jc w:val="center"/>
                  </w:pPr>
                </w:p>
              </w:tc>
              <w:tc>
                <w:tcPr>
                  <w:tcW w:w="1959" w:type="pct"/>
                  <w:vMerge w:val="continue"/>
                  <w:vAlign w:val="center"/>
                </w:tcPr>
                <w:p w14:paraId="55378E8A">
                  <w:pPr>
                    <w:shd w:val="clear"/>
                    <w:spacing w:line="360" w:lineRule="exact"/>
                    <w:jc w:val="center"/>
                  </w:pPr>
                </w:p>
              </w:tc>
              <w:tc>
                <w:tcPr>
                  <w:tcW w:w="1922" w:type="pct"/>
                  <w:vAlign w:val="center"/>
                </w:tcPr>
                <w:p w14:paraId="224DBC1A">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3252铝压延加工</w:t>
                  </w:r>
                </w:p>
              </w:tc>
            </w:tr>
            <w:tr w14:paraId="72B76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03" w:type="pct"/>
                  <w:vMerge w:val="continue"/>
                  <w:vAlign w:val="center"/>
                </w:tcPr>
                <w:p w14:paraId="0B08214E">
                  <w:pPr>
                    <w:shd w:val="clear"/>
                    <w:spacing w:line="360" w:lineRule="exact"/>
                    <w:jc w:val="center"/>
                    <w:rPr>
                      <w:rFonts w:hint="eastAsia" w:ascii="Times New Roman" w:hAnsi="Times New Roman" w:eastAsia="宋体" w:cs="Times New Roman"/>
                      <w:b w:val="0"/>
                      <w:bCs w:val="0"/>
                      <w:szCs w:val="21"/>
                      <w:lang w:val="en-US" w:eastAsia="zh-CN"/>
                    </w:rPr>
                  </w:pPr>
                </w:p>
              </w:tc>
              <w:tc>
                <w:tcPr>
                  <w:tcW w:w="513" w:type="pct"/>
                  <w:vMerge w:val="restart"/>
                  <w:vAlign w:val="center"/>
                </w:tcPr>
                <w:p w14:paraId="31F21111">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机械电子</w:t>
                  </w:r>
                </w:p>
              </w:tc>
              <w:tc>
                <w:tcPr>
                  <w:tcW w:w="1959" w:type="pct"/>
                  <w:vAlign w:val="center"/>
                </w:tcPr>
                <w:p w14:paraId="17DEC806">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33金属制品业</w:t>
                  </w:r>
                </w:p>
              </w:tc>
              <w:tc>
                <w:tcPr>
                  <w:tcW w:w="1922" w:type="pct"/>
                  <w:vAlign w:val="center"/>
                </w:tcPr>
                <w:p w14:paraId="6E2B44C8">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3351建筑、家具用金属配件制造</w:t>
                  </w:r>
                </w:p>
              </w:tc>
            </w:tr>
            <w:tr w14:paraId="5073D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03" w:type="pct"/>
                  <w:vMerge w:val="continue"/>
                  <w:vAlign w:val="center"/>
                </w:tcPr>
                <w:p w14:paraId="5A55F866">
                  <w:pPr>
                    <w:shd w:val="clear"/>
                    <w:spacing w:line="360" w:lineRule="exact"/>
                    <w:jc w:val="center"/>
                    <w:rPr>
                      <w:rFonts w:hint="eastAsia" w:ascii="Times New Roman" w:hAnsi="Times New Roman" w:eastAsia="宋体" w:cs="Times New Roman"/>
                      <w:b w:val="0"/>
                      <w:bCs w:val="0"/>
                      <w:szCs w:val="21"/>
                      <w:lang w:val="en-US" w:eastAsia="zh-CN"/>
                    </w:rPr>
                  </w:pPr>
                </w:p>
              </w:tc>
              <w:tc>
                <w:tcPr>
                  <w:tcW w:w="513" w:type="pct"/>
                  <w:vMerge w:val="continue"/>
                  <w:vAlign w:val="center"/>
                </w:tcPr>
                <w:p w14:paraId="56023E5C">
                  <w:pPr>
                    <w:shd w:val="clear"/>
                    <w:spacing w:line="360" w:lineRule="exact"/>
                    <w:jc w:val="center"/>
                    <w:rPr>
                      <w:rFonts w:hint="eastAsia" w:ascii="Times New Roman" w:hAnsi="Times New Roman" w:eastAsia="宋体" w:cs="Times New Roman"/>
                      <w:b w:val="0"/>
                      <w:bCs w:val="0"/>
                      <w:szCs w:val="21"/>
                      <w:lang w:val="en-US" w:eastAsia="zh-CN"/>
                    </w:rPr>
                  </w:pPr>
                </w:p>
              </w:tc>
              <w:tc>
                <w:tcPr>
                  <w:tcW w:w="1959" w:type="pct"/>
                  <w:vAlign w:val="center"/>
                </w:tcPr>
                <w:p w14:paraId="6794BE7E">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35专用设备制造业</w:t>
                  </w:r>
                </w:p>
              </w:tc>
              <w:tc>
                <w:tcPr>
                  <w:tcW w:w="1922" w:type="pct"/>
                  <w:vAlign w:val="center"/>
                </w:tcPr>
                <w:p w14:paraId="081B35D2">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356电子和电工机械专用设备制造</w:t>
                  </w:r>
                </w:p>
              </w:tc>
            </w:tr>
            <w:tr w14:paraId="1B1C9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03" w:type="pct"/>
                  <w:vMerge w:val="continue"/>
                  <w:vAlign w:val="center"/>
                </w:tcPr>
                <w:p w14:paraId="67F5E958">
                  <w:pPr>
                    <w:shd w:val="clear"/>
                    <w:spacing w:line="360" w:lineRule="exact"/>
                    <w:jc w:val="center"/>
                    <w:rPr>
                      <w:rFonts w:hint="eastAsia" w:ascii="Times New Roman" w:hAnsi="Times New Roman" w:eastAsia="宋体" w:cs="Times New Roman"/>
                      <w:b w:val="0"/>
                      <w:bCs w:val="0"/>
                      <w:szCs w:val="21"/>
                      <w:lang w:val="en-US" w:eastAsia="zh-CN"/>
                    </w:rPr>
                  </w:pPr>
                </w:p>
              </w:tc>
              <w:tc>
                <w:tcPr>
                  <w:tcW w:w="513" w:type="pct"/>
                  <w:vMerge w:val="continue"/>
                  <w:vAlign w:val="center"/>
                </w:tcPr>
                <w:p w14:paraId="3A933270">
                  <w:pPr>
                    <w:shd w:val="clear"/>
                    <w:spacing w:line="360" w:lineRule="exact"/>
                    <w:jc w:val="center"/>
                    <w:rPr>
                      <w:rFonts w:hint="eastAsia" w:ascii="Times New Roman" w:hAnsi="Times New Roman" w:eastAsia="宋体" w:cs="Times New Roman"/>
                      <w:b w:val="0"/>
                      <w:bCs w:val="0"/>
                      <w:szCs w:val="21"/>
                      <w:lang w:val="en-US" w:eastAsia="zh-CN"/>
                    </w:rPr>
                  </w:pPr>
                </w:p>
              </w:tc>
              <w:tc>
                <w:tcPr>
                  <w:tcW w:w="1959" w:type="pct"/>
                  <w:vAlign w:val="center"/>
                </w:tcPr>
                <w:p w14:paraId="563456F8">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36汽车制造业</w:t>
                  </w:r>
                </w:p>
              </w:tc>
              <w:tc>
                <w:tcPr>
                  <w:tcW w:w="1922" w:type="pct"/>
                  <w:vAlign w:val="center"/>
                </w:tcPr>
                <w:p w14:paraId="23FE7476">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3670汽车零部件及配件制造</w:t>
                  </w:r>
                </w:p>
              </w:tc>
            </w:tr>
            <w:tr w14:paraId="0F35F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03" w:type="pct"/>
                  <w:vMerge w:val="continue"/>
                  <w:vAlign w:val="center"/>
                </w:tcPr>
                <w:p w14:paraId="3E3EC059">
                  <w:pPr>
                    <w:shd w:val="clear"/>
                    <w:spacing w:line="360" w:lineRule="exact"/>
                    <w:jc w:val="center"/>
                    <w:rPr>
                      <w:rFonts w:hint="eastAsia" w:ascii="Times New Roman" w:hAnsi="Times New Roman" w:eastAsia="宋体" w:cs="Times New Roman"/>
                      <w:b w:val="0"/>
                      <w:bCs w:val="0"/>
                      <w:szCs w:val="21"/>
                      <w:lang w:val="en-US" w:eastAsia="zh-CN"/>
                    </w:rPr>
                  </w:pPr>
                </w:p>
              </w:tc>
              <w:tc>
                <w:tcPr>
                  <w:tcW w:w="513" w:type="pct"/>
                  <w:vMerge w:val="continue"/>
                  <w:vAlign w:val="center"/>
                </w:tcPr>
                <w:p w14:paraId="01D58B49">
                  <w:pPr>
                    <w:shd w:val="clear"/>
                    <w:spacing w:line="360" w:lineRule="exact"/>
                    <w:jc w:val="center"/>
                    <w:rPr>
                      <w:rFonts w:hint="eastAsia" w:ascii="Times New Roman" w:hAnsi="Times New Roman" w:eastAsia="宋体" w:cs="Times New Roman"/>
                      <w:b w:val="0"/>
                      <w:bCs w:val="0"/>
                      <w:szCs w:val="21"/>
                      <w:lang w:val="en-US" w:eastAsia="zh-CN"/>
                    </w:rPr>
                  </w:pPr>
                </w:p>
              </w:tc>
              <w:tc>
                <w:tcPr>
                  <w:tcW w:w="1959" w:type="pct"/>
                  <w:vAlign w:val="center"/>
                </w:tcPr>
                <w:p w14:paraId="450DCA07">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37铁路、船舶、航空航天和其他运输设备制造业</w:t>
                  </w:r>
                </w:p>
              </w:tc>
              <w:tc>
                <w:tcPr>
                  <w:tcW w:w="1922" w:type="pct"/>
                  <w:vAlign w:val="center"/>
                </w:tcPr>
                <w:p w14:paraId="1226475F">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374航空、航天器及设备制造</w:t>
                  </w:r>
                </w:p>
              </w:tc>
            </w:tr>
            <w:tr w14:paraId="70D3C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603" w:type="pct"/>
                  <w:vMerge w:val="continue"/>
                  <w:vAlign w:val="center"/>
                </w:tcPr>
                <w:p w14:paraId="733097F6">
                  <w:pPr>
                    <w:shd w:val="clear"/>
                    <w:spacing w:line="360" w:lineRule="exact"/>
                    <w:jc w:val="center"/>
                    <w:rPr>
                      <w:rFonts w:hint="eastAsia" w:ascii="Times New Roman" w:hAnsi="Times New Roman" w:eastAsia="宋体" w:cs="Times New Roman"/>
                      <w:b w:val="0"/>
                      <w:bCs w:val="0"/>
                      <w:szCs w:val="21"/>
                      <w:lang w:val="en-US" w:eastAsia="zh-CN"/>
                    </w:rPr>
                  </w:pPr>
                </w:p>
              </w:tc>
              <w:tc>
                <w:tcPr>
                  <w:tcW w:w="513" w:type="pct"/>
                  <w:vMerge w:val="continue"/>
                  <w:vAlign w:val="center"/>
                </w:tcPr>
                <w:p w14:paraId="3616A308">
                  <w:pPr>
                    <w:shd w:val="clear"/>
                    <w:spacing w:line="360" w:lineRule="exact"/>
                    <w:jc w:val="center"/>
                    <w:rPr>
                      <w:rFonts w:hint="eastAsia" w:ascii="Times New Roman" w:hAnsi="Times New Roman" w:eastAsia="宋体" w:cs="Times New Roman"/>
                      <w:b w:val="0"/>
                      <w:bCs w:val="0"/>
                      <w:szCs w:val="21"/>
                      <w:lang w:val="en-US" w:eastAsia="zh-CN"/>
                    </w:rPr>
                  </w:pPr>
                </w:p>
              </w:tc>
              <w:tc>
                <w:tcPr>
                  <w:tcW w:w="1959" w:type="pct"/>
                  <w:vMerge w:val="restart"/>
                  <w:vAlign w:val="center"/>
                </w:tcPr>
                <w:p w14:paraId="3BC228E4">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38电气机械和器材制造业</w:t>
                  </w:r>
                </w:p>
              </w:tc>
              <w:tc>
                <w:tcPr>
                  <w:tcW w:w="1922" w:type="pct"/>
                  <w:vAlign w:val="center"/>
                </w:tcPr>
                <w:p w14:paraId="374B5694">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381电机制造</w:t>
                  </w:r>
                </w:p>
              </w:tc>
            </w:tr>
            <w:tr w14:paraId="7202B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603" w:type="pct"/>
                  <w:vMerge w:val="continue"/>
                  <w:vAlign w:val="center"/>
                </w:tcPr>
                <w:p w14:paraId="09BFFCB3">
                  <w:pPr>
                    <w:shd w:val="clear"/>
                    <w:spacing w:line="360" w:lineRule="exact"/>
                    <w:jc w:val="center"/>
                  </w:pPr>
                </w:p>
              </w:tc>
              <w:tc>
                <w:tcPr>
                  <w:tcW w:w="513" w:type="pct"/>
                  <w:vMerge w:val="continue"/>
                  <w:vAlign w:val="center"/>
                </w:tcPr>
                <w:p w14:paraId="752C98EA">
                  <w:pPr>
                    <w:shd w:val="clear"/>
                    <w:spacing w:line="360" w:lineRule="exact"/>
                    <w:jc w:val="center"/>
                  </w:pPr>
                </w:p>
              </w:tc>
              <w:tc>
                <w:tcPr>
                  <w:tcW w:w="1959" w:type="pct"/>
                  <w:vMerge w:val="continue"/>
                  <w:vAlign w:val="center"/>
                </w:tcPr>
                <w:p w14:paraId="095076E7">
                  <w:pPr>
                    <w:shd w:val="clear"/>
                    <w:spacing w:line="360" w:lineRule="exact"/>
                    <w:jc w:val="center"/>
                  </w:pPr>
                </w:p>
              </w:tc>
              <w:tc>
                <w:tcPr>
                  <w:tcW w:w="1922" w:type="pct"/>
                  <w:vAlign w:val="center"/>
                </w:tcPr>
                <w:p w14:paraId="01E0ABCF">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3824电力电子元器件制造</w:t>
                  </w:r>
                </w:p>
              </w:tc>
            </w:tr>
            <w:tr w14:paraId="21A9F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603" w:type="pct"/>
                  <w:vMerge w:val="continue"/>
                  <w:vAlign w:val="center"/>
                </w:tcPr>
                <w:p w14:paraId="2C925255">
                  <w:pPr>
                    <w:shd w:val="clear"/>
                    <w:spacing w:line="360" w:lineRule="exact"/>
                    <w:jc w:val="center"/>
                    <w:rPr>
                      <w:rFonts w:hint="eastAsia" w:ascii="Times New Roman" w:hAnsi="Times New Roman" w:eastAsia="宋体" w:cs="Times New Roman"/>
                      <w:b w:val="0"/>
                      <w:bCs w:val="0"/>
                      <w:szCs w:val="21"/>
                      <w:lang w:val="en-US" w:eastAsia="zh-CN"/>
                    </w:rPr>
                  </w:pPr>
                </w:p>
              </w:tc>
              <w:tc>
                <w:tcPr>
                  <w:tcW w:w="513" w:type="pct"/>
                  <w:vMerge w:val="continue"/>
                  <w:vAlign w:val="center"/>
                </w:tcPr>
                <w:p w14:paraId="55D91EC2">
                  <w:pPr>
                    <w:shd w:val="clear"/>
                    <w:spacing w:line="360" w:lineRule="exact"/>
                    <w:jc w:val="center"/>
                    <w:rPr>
                      <w:rFonts w:hint="eastAsia" w:ascii="Times New Roman" w:hAnsi="Times New Roman" w:eastAsia="宋体" w:cs="Times New Roman"/>
                      <w:b w:val="0"/>
                      <w:bCs w:val="0"/>
                      <w:szCs w:val="21"/>
                      <w:lang w:val="en-US" w:eastAsia="zh-CN"/>
                    </w:rPr>
                  </w:pPr>
                </w:p>
              </w:tc>
              <w:tc>
                <w:tcPr>
                  <w:tcW w:w="1959" w:type="pct"/>
                  <w:vMerge w:val="restart"/>
                  <w:vAlign w:val="center"/>
                </w:tcPr>
                <w:p w14:paraId="14A001BB">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39计算机、通信和其他电子设备制造业</w:t>
                  </w:r>
                </w:p>
              </w:tc>
              <w:tc>
                <w:tcPr>
                  <w:tcW w:w="1922" w:type="pct"/>
                  <w:vAlign w:val="center"/>
                </w:tcPr>
                <w:p w14:paraId="7DF9FE84">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392通信设备制造</w:t>
                  </w:r>
                </w:p>
              </w:tc>
            </w:tr>
            <w:tr w14:paraId="6CBE1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603" w:type="pct"/>
                  <w:vMerge w:val="continue"/>
                  <w:vAlign w:val="center"/>
                </w:tcPr>
                <w:p w14:paraId="74378108">
                  <w:pPr>
                    <w:shd w:val="clear"/>
                    <w:spacing w:line="360" w:lineRule="exact"/>
                    <w:jc w:val="center"/>
                  </w:pPr>
                </w:p>
              </w:tc>
              <w:tc>
                <w:tcPr>
                  <w:tcW w:w="513" w:type="pct"/>
                  <w:vMerge w:val="continue"/>
                  <w:vAlign w:val="center"/>
                </w:tcPr>
                <w:p w14:paraId="2BC313D2">
                  <w:pPr>
                    <w:shd w:val="clear"/>
                    <w:spacing w:line="360" w:lineRule="exact"/>
                    <w:jc w:val="center"/>
                  </w:pPr>
                </w:p>
              </w:tc>
              <w:tc>
                <w:tcPr>
                  <w:tcW w:w="1959" w:type="pct"/>
                  <w:vMerge w:val="continue"/>
                  <w:vAlign w:val="center"/>
                </w:tcPr>
                <w:p w14:paraId="6CE06288">
                  <w:pPr>
                    <w:shd w:val="clear"/>
                    <w:spacing w:line="360" w:lineRule="exact"/>
                    <w:jc w:val="center"/>
                  </w:pPr>
                </w:p>
              </w:tc>
              <w:tc>
                <w:tcPr>
                  <w:tcW w:w="1922" w:type="pct"/>
                  <w:vAlign w:val="center"/>
                </w:tcPr>
                <w:p w14:paraId="09D02F2E">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396智能消费设备制造</w:t>
                  </w:r>
                </w:p>
              </w:tc>
            </w:tr>
            <w:tr w14:paraId="586D3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603" w:type="pct"/>
                  <w:vMerge w:val="continue"/>
                  <w:vAlign w:val="center"/>
                </w:tcPr>
                <w:p w14:paraId="1DE0B9B3">
                  <w:pPr>
                    <w:shd w:val="clear"/>
                    <w:spacing w:line="360" w:lineRule="exact"/>
                    <w:jc w:val="center"/>
                    <w:rPr>
                      <w:rFonts w:hint="eastAsia" w:ascii="Times New Roman" w:hAnsi="Times New Roman" w:eastAsia="宋体" w:cs="Times New Roman"/>
                      <w:b w:val="0"/>
                      <w:bCs w:val="0"/>
                      <w:szCs w:val="21"/>
                      <w:lang w:val="en-US" w:eastAsia="zh-CN"/>
                    </w:rPr>
                  </w:pPr>
                </w:p>
              </w:tc>
              <w:tc>
                <w:tcPr>
                  <w:tcW w:w="513" w:type="pct"/>
                  <w:vMerge w:val="continue"/>
                  <w:vAlign w:val="center"/>
                </w:tcPr>
                <w:p w14:paraId="37C177E4">
                  <w:pPr>
                    <w:shd w:val="clear"/>
                    <w:spacing w:line="360" w:lineRule="exact"/>
                    <w:jc w:val="center"/>
                    <w:rPr>
                      <w:rFonts w:hint="eastAsia" w:ascii="Times New Roman" w:hAnsi="Times New Roman" w:eastAsia="宋体" w:cs="Times New Roman"/>
                      <w:b w:val="0"/>
                      <w:bCs w:val="0"/>
                      <w:szCs w:val="21"/>
                      <w:lang w:val="en-US" w:eastAsia="zh-CN"/>
                    </w:rPr>
                  </w:pPr>
                </w:p>
              </w:tc>
              <w:tc>
                <w:tcPr>
                  <w:tcW w:w="1959" w:type="pct"/>
                  <w:vMerge w:val="continue"/>
                  <w:vAlign w:val="center"/>
                </w:tcPr>
                <w:p w14:paraId="4D5E0EF5">
                  <w:pPr>
                    <w:shd w:val="clear"/>
                    <w:spacing w:line="360" w:lineRule="exact"/>
                    <w:jc w:val="center"/>
                    <w:rPr>
                      <w:rFonts w:hint="eastAsia" w:ascii="Times New Roman" w:hAnsi="Times New Roman" w:eastAsia="宋体" w:cs="Times New Roman"/>
                      <w:b w:val="0"/>
                      <w:bCs w:val="0"/>
                      <w:szCs w:val="21"/>
                      <w:lang w:val="en-US" w:eastAsia="zh-CN"/>
                    </w:rPr>
                  </w:pPr>
                </w:p>
              </w:tc>
              <w:tc>
                <w:tcPr>
                  <w:tcW w:w="1922" w:type="pct"/>
                  <w:vAlign w:val="center"/>
                </w:tcPr>
                <w:p w14:paraId="4BF2355E">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3985电子专用材料制造</w:t>
                  </w:r>
                </w:p>
              </w:tc>
            </w:tr>
            <w:tr w14:paraId="7FA8A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03" w:type="pct"/>
                  <w:vMerge w:val="continue"/>
                  <w:vAlign w:val="center"/>
                </w:tcPr>
                <w:p w14:paraId="39C1CC0D">
                  <w:pPr>
                    <w:shd w:val="clear"/>
                    <w:spacing w:line="360" w:lineRule="exact"/>
                    <w:jc w:val="center"/>
                    <w:rPr>
                      <w:rFonts w:hint="eastAsia" w:ascii="Times New Roman" w:hAnsi="Times New Roman" w:eastAsia="宋体" w:cs="Times New Roman"/>
                      <w:b w:val="0"/>
                      <w:bCs w:val="0"/>
                      <w:szCs w:val="21"/>
                      <w:lang w:val="en-US" w:eastAsia="zh-CN"/>
                    </w:rPr>
                  </w:pPr>
                </w:p>
              </w:tc>
              <w:tc>
                <w:tcPr>
                  <w:tcW w:w="513" w:type="pct"/>
                  <w:vMerge w:val="restart"/>
                  <w:vAlign w:val="center"/>
                </w:tcPr>
                <w:p w14:paraId="0A80941C">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大健康产业</w:t>
                  </w:r>
                </w:p>
              </w:tc>
              <w:tc>
                <w:tcPr>
                  <w:tcW w:w="1959" w:type="pct"/>
                  <w:vAlign w:val="center"/>
                </w:tcPr>
                <w:p w14:paraId="6AF3F7B5">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14食品制造业</w:t>
                  </w:r>
                </w:p>
              </w:tc>
              <w:tc>
                <w:tcPr>
                  <w:tcW w:w="1922" w:type="pct"/>
                  <w:vAlign w:val="center"/>
                </w:tcPr>
                <w:p w14:paraId="4DD0D044">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1491营养食品制造</w:t>
                  </w:r>
                </w:p>
              </w:tc>
            </w:tr>
            <w:tr w14:paraId="347FB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603" w:type="pct"/>
                  <w:vMerge w:val="continue"/>
                  <w:vAlign w:val="center"/>
                </w:tcPr>
                <w:p w14:paraId="2C3675C2">
                  <w:pPr>
                    <w:shd w:val="clear"/>
                    <w:spacing w:line="360" w:lineRule="exact"/>
                    <w:jc w:val="center"/>
                    <w:rPr>
                      <w:rFonts w:hint="eastAsia" w:ascii="Times New Roman" w:hAnsi="Times New Roman" w:eastAsia="宋体" w:cs="Times New Roman"/>
                      <w:b w:val="0"/>
                      <w:bCs w:val="0"/>
                      <w:szCs w:val="21"/>
                      <w:lang w:val="en-US" w:eastAsia="zh-CN"/>
                    </w:rPr>
                  </w:pPr>
                </w:p>
              </w:tc>
              <w:tc>
                <w:tcPr>
                  <w:tcW w:w="513" w:type="pct"/>
                  <w:vMerge w:val="continue"/>
                  <w:vAlign w:val="center"/>
                </w:tcPr>
                <w:p w14:paraId="58AE9036">
                  <w:pPr>
                    <w:shd w:val="clear"/>
                    <w:spacing w:line="360" w:lineRule="exact"/>
                    <w:jc w:val="center"/>
                    <w:rPr>
                      <w:rFonts w:hint="eastAsia" w:ascii="Times New Roman" w:hAnsi="Times New Roman" w:eastAsia="宋体" w:cs="Times New Roman"/>
                      <w:b w:val="0"/>
                      <w:bCs w:val="0"/>
                      <w:szCs w:val="21"/>
                      <w:lang w:val="en-US" w:eastAsia="zh-CN"/>
                    </w:rPr>
                  </w:pPr>
                </w:p>
              </w:tc>
              <w:tc>
                <w:tcPr>
                  <w:tcW w:w="1959" w:type="pct"/>
                  <w:vMerge w:val="restart"/>
                  <w:vAlign w:val="center"/>
                </w:tcPr>
                <w:p w14:paraId="7814C55E">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27医药制造业</w:t>
                  </w:r>
                </w:p>
              </w:tc>
              <w:tc>
                <w:tcPr>
                  <w:tcW w:w="1922" w:type="pct"/>
                  <w:vAlign w:val="center"/>
                </w:tcPr>
                <w:p w14:paraId="7810DB30">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273中药饮片加工</w:t>
                  </w:r>
                </w:p>
              </w:tc>
            </w:tr>
            <w:tr w14:paraId="23EF4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603" w:type="pct"/>
                  <w:vMerge w:val="continue"/>
                  <w:vAlign w:val="center"/>
                </w:tcPr>
                <w:p w14:paraId="1C9F11C9">
                  <w:pPr>
                    <w:shd w:val="clear"/>
                    <w:spacing w:line="360" w:lineRule="exact"/>
                    <w:jc w:val="center"/>
                  </w:pPr>
                </w:p>
              </w:tc>
              <w:tc>
                <w:tcPr>
                  <w:tcW w:w="513" w:type="pct"/>
                  <w:vMerge w:val="continue"/>
                  <w:vAlign w:val="center"/>
                </w:tcPr>
                <w:p w14:paraId="6254D63D">
                  <w:pPr>
                    <w:shd w:val="clear"/>
                    <w:spacing w:line="360" w:lineRule="exact"/>
                    <w:jc w:val="center"/>
                  </w:pPr>
                </w:p>
              </w:tc>
              <w:tc>
                <w:tcPr>
                  <w:tcW w:w="1959" w:type="pct"/>
                  <w:vMerge w:val="continue"/>
                  <w:vAlign w:val="center"/>
                </w:tcPr>
                <w:p w14:paraId="7843AD3B">
                  <w:pPr>
                    <w:shd w:val="clear"/>
                    <w:spacing w:line="360" w:lineRule="exact"/>
                    <w:jc w:val="center"/>
                  </w:pPr>
                </w:p>
              </w:tc>
              <w:tc>
                <w:tcPr>
                  <w:tcW w:w="1922" w:type="pct"/>
                  <w:vAlign w:val="center"/>
                </w:tcPr>
                <w:p w14:paraId="0CC45B83">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274中成药生产</w:t>
                  </w:r>
                </w:p>
              </w:tc>
            </w:tr>
            <w:tr w14:paraId="3A7B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603" w:type="pct"/>
                  <w:vMerge w:val="continue"/>
                  <w:vAlign w:val="center"/>
                </w:tcPr>
                <w:p w14:paraId="41309D6D">
                  <w:pPr>
                    <w:shd w:val="clear"/>
                    <w:spacing w:line="360" w:lineRule="exact"/>
                    <w:jc w:val="center"/>
                    <w:rPr>
                      <w:rFonts w:hint="eastAsia" w:ascii="Times New Roman" w:hAnsi="Times New Roman" w:eastAsia="宋体" w:cs="Times New Roman"/>
                      <w:b w:val="0"/>
                      <w:bCs w:val="0"/>
                      <w:szCs w:val="21"/>
                      <w:lang w:val="en-US" w:eastAsia="zh-CN"/>
                    </w:rPr>
                  </w:pPr>
                </w:p>
              </w:tc>
              <w:tc>
                <w:tcPr>
                  <w:tcW w:w="513" w:type="pct"/>
                  <w:vMerge w:val="continue"/>
                  <w:vAlign w:val="center"/>
                </w:tcPr>
                <w:p w14:paraId="58B0C7D3">
                  <w:pPr>
                    <w:shd w:val="clear"/>
                    <w:spacing w:line="360" w:lineRule="exact"/>
                    <w:jc w:val="center"/>
                    <w:rPr>
                      <w:rFonts w:hint="eastAsia" w:ascii="Times New Roman" w:hAnsi="Times New Roman" w:eastAsia="宋体" w:cs="Times New Roman"/>
                      <w:b w:val="0"/>
                      <w:bCs w:val="0"/>
                      <w:szCs w:val="21"/>
                      <w:lang w:val="en-US" w:eastAsia="zh-CN"/>
                    </w:rPr>
                  </w:pPr>
                </w:p>
              </w:tc>
              <w:tc>
                <w:tcPr>
                  <w:tcW w:w="1959" w:type="pct"/>
                  <w:vMerge w:val="continue"/>
                  <w:vAlign w:val="center"/>
                </w:tcPr>
                <w:p w14:paraId="43EF02EA">
                  <w:pPr>
                    <w:shd w:val="clear"/>
                    <w:spacing w:line="360" w:lineRule="exact"/>
                    <w:jc w:val="center"/>
                    <w:rPr>
                      <w:rFonts w:hint="eastAsia" w:ascii="Times New Roman" w:hAnsi="Times New Roman" w:eastAsia="宋体" w:cs="Times New Roman"/>
                      <w:b w:val="0"/>
                      <w:bCs w:val="0"/>
                      <w:szCs w:val="21"/>
                      <w:lang w:val="en-US" w:eastAsia="zh-CN"/>
                    </w:rPr>
                  </w:pPr>
                </w:p>
              </w:tc>
              <w:tc>
                <w:tcPr>
                  <w:tcW w:w="1922" w:type="pct"/>
                  <w:vAlign w:val="center"/>
                </w:tcPr>
                <w:p w14:paraId="7ABDCBDE">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276生物药品制品制造</w:t>
                  </w:r>
                </w:p>
              </w:tc>
            </w:tr>
            <w:tr w14:paraId="3F36C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603" w:type="pct"/>
                  <w:vMerge w:val="continue"/>
                  <w:vAlign w:val="center"/>
                </w:tcPr>
                <w:p w14:paraId="27E956D7">
                  <w:pPr>
                    <w:shd w:val="clear"/>
                    <w:spacing w:line="360" w:lineRule="exact"/>
                    <w:jc w:val="center"/>
                    <w:rPr>
                      <w:rFonts w:hint="eastAsia" w:ascii="Times New Roman" w:hAnsi="Times New Roman" w:eastAsia="宋体" w:cs="Times New Roman"/>
                      <w:b w:val="0"/>
                      <w:bCs w:val="0"/>
                      <w:szCs w:val="21"/>
                      <w:lang w:val="en-US" w:eastAsia="zh-CN"/>
                    </w:rPr>
                  </w:pPr>
                </w:p>
              </w:tc>
              <w:tc>
                <w:tcPr>
                  <w:tcW w:w="513" w:type="pct"/>
                  <w:vMerge w:val="continue"/>
                  <w:vAlign w:val="center"/>
                </w:tcPr>
                <w:p w14:paraId="0DDF5311">
                  <w:pPr>
                    <w:shd w:val="clear"/>
                    <w:spacing w:line="360" w:lineRule="exact"/>
                    <w:jc w:val="center"/>
                    <w:rPr>
                      <w:rFonts w:hint="eastAsia" w:ascii="Times New Roman" w:hAnsi="Times New Roman" w:eastAsia="宋体" w:cs="Times New Roman"/>
                      <w:b w:val="0"/>
                      <w:bCs w:val="0"/>
                      <w:szCs w:val="21"/>
                      <w:lang w:val="en-US" w:eastAsia="zh-CN"/>
                    </w:rPr>
                  </w:pPr>
                </w:p>
              </w:tc>
              <w:tc>
                <w:tcPr>
                  <w:tcW w:w="1959" w:type="pct"/>
                  <w:vMerge w:val="continue"/>
                  <w:vAlign w:val="center"/>
                </w:tcPr>
                <w:p w14:paraId="460F5837">
                  <w:pPr>
                    <w:shd w:val="clear"/>
                    <w:spacing w:line="360" w:lineRule="exact"/>
                    <w:jc w:val="center"/>
                    <w:rPr>
                      <w:rFonts w:hint="eastAsia" w:ascii="Times New Roman" w:hAnsi="Times New Roman" w:eastAsia="宋体" w:cs="Times New Roman"/>
                      <w:b w:val="0"/>
                      <w:bCs w:val="0"/>
                      <w:szCs w:val="21"/>
                      <w:lang w:val="en-US" w:eastAsia="zh-CN"/>
                    </w:rPr>
                  </w:pPr>
                </w:p>
              </w:tc>
              <w:tc>
                <w:tcPr>
                  <w:tcW w:w="1922" w:type="pct"/>
                  <w:vAlign w:val="center"/>
                </w:tcPr>
                <w:p w14:paraId="0601CCB8">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277卫生材料及医药用品制造</w:t>
                  </w:r>
                </w:p>
              </w:tc>
            </w:tr>
            <w:tr w14:paraId="12B2F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603" w:type="pct"/>
                  <w:vMerge w:val="continue"/>
                  <w:vAlign w:val="center"/>
                </w:tcPr>
                <w:p w14:paraId="663C14D1">
                  <w:pPr>
                    <w:shd w:val="clear"/>
                    <w:spacing w:line="360" w:lineRule="exact"/>
                    <w:jc w:val="center"/>
                    <w:rPr>
                      <w:rFonts w:hint="eastAsia" w:ascii="Times New Roman" w:hAnsi="Times New Roman" w:eastAsia="宋体" w:cs="Times New Roman"/>
                      <w:b w:val="0"/>
                      <w:bCs w:val="0"/>
                      <w:szCs w:val="21"/>
                      <w:lang w:val="en-US" w:eastAsia="zh-CN"/>
                    </w:rPr>
                  </w:pPr>
                </w:p>
              </w:tc>
              <w:tc>
                <w:tcPr>
                  <w:tcW w:w="513" w:type="pct"/>
                  <w:vMerge w:val="continue"/>
                  <w:vAlign w:val="center"/>
                </w:tcPr>
                <w:p w14:paraId="23CA02A2">
                  <w:pPr>
                    <w:shd w:val="clear"/>
                    <w:spacing w:line="360" w:lineRule="exact"/>
                    <w:jc w:val="center"/>
                    <w:rPr>
                      <w:rFonts w:hint="eastAsia" w:ascii="Times New Roman" w:hAnsi="Times New Roman" w:eastAsia="宋体" w:cs="Times New Roman"/>
                      <w:b w:val="0"/>
                      <w:bCs w:val="0"/>
                      <w:szCs w:val="21"/>
                      <w:lang w:val="en-US" w:eastAsia="zh-CN"/>
                    </w:rPr>
                  </w:pPr>
                </w:p>
              </w:tc>
              <w:tc>
                <w:tcPr>
                  <w:tcW w:w="1959" w:type="pct"/>
                  <w:vMerge w:val="continue"/>
                  <w:vAlign w:val="center"/>
                </w:tcPr>
                <w:p w14:paraId="0A0AAD90">
                  <w:pPr>
                    <w:shd w:val="clear"/>
                    <w:spacing w:line="360" w:lineRule="exact"/>
                    <w:jc w:val="center"/>
                    <w:rPr>
                      <w:rFonts w:hint="eastAsia" w:ascii="Times New Roman" w:hAnsi="Times New Roman" w:eastAsia="宋体" w:cs="Times New Roman"/>
                      <w:b w:val="0"/>
                      <w:bCs w:val="0"/>
                      <w:szCs w:val="21"/>
                      <w:lang w:val="en-US" w:eastAsia="zh-CN"/>
                    </w:rPr>
                  </w:pPr>
                </w:p>
              </w:tc>
              <w:tc>
                <w:tcPr>
                  <w:tcW w:w="1922" w:type="pct"/>
                  <w:vAlign w:val="center"/>
                </w:tcPr>
                <w:p w14:paraId="4E826F6A">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278 药用辅料及包装材料制造</w:t>
                  </w:r>
                </w:p>
              </w:tc>
            </w:tr>
            <w:tr w14:paraId="3B48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03" w:type="pct"/>
                  <w:vMerge w:val="restart"/>
                  <w:vAlign w:val="center"/>
                </w:tcPr>
                <w:p w14:paraId="1C3D92AF">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负面清单</w:t>
                  </w:r>
                </w:p>
              </w:tc>
              <w:tc>
                <w:tcPr>
                  <w:tcW w:w="513" w:type="pct"/>
                  <w:vMerge w:val="restart"/>
                  <w:vAlign w:val="center"/>
                </w:tcPr>
                <w:p w14:paraId="670B8DD7">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w:t>
                  </w:r>
                </w:p>
              </w:tc>
              <w:tc>
                <w:tcPr>
                  <w:tcW w:w="3882" w:type="pct"/>
                  <w:gridSpan w:val="2"/>
                  <w:vAlign w:val="center"/>
                </w:tcPr>
                <w:p w14:paraId="77A8D094">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①禁止引入酸、碱、肥料、农药以及化学合成制药等污染严重的化工项目，为集中区内项目上下游配套、污染较轻的，以及单纯混合和分装的复配项目除外。</w:t>
                  </w:r>
                </w:p>
                <w:p w14:paraId="1BE75262">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②从严控制规模效益差、能源资源消耗大、环境影响严重的项目进入，包括钢铁、有色金属原矿冶炼、石化、焦化、水泥、原浆造纸、制革、平板玻璃和非金属矿原矿加工等项目。</w:t>
                  </w:r>
                </w:p>
                <w:p w14:paraId="09E82E30">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③严格控制高污染高能耗、工艺技术门槛低、产品附加值低的项目引入。</w:t>
                  </w:r>
                </w:p>
                <w:p w14:paraId="36C196F5">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④禁止引入表面处理中心以外的电镀生产工艺。</w:t>
                  </w:r>
                </w:p>
                <w:p w14:paraId="13434975">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⑤禁止引入多晶硅、单晶硅制造等前道生产工序。</w:t>
                  </w:r>
                </w:p>
                <w:p w14:paraId="1D9C040D">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⑥为主导产业及配套的上下游及延伸产业链项目的生产工艺、设备、污染治理技术等不符合环保相关要求的项目，禁止引入。</w:t>
                  </w:r>
                </w:p>
              </w:tc>
            </w:tr>
            <w:tr w14:paraId="4F9E1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03" w:type="pct"/>
                  <w:vMerge w:val="continue"/>
                  <w:vAlign w:val="center"/>
                </w:tcPr>
                <w:p w14:paraId="65E63FA4">
                  <w:pPr>
                    <w:shd w:val="clear"/>
                    <w:spacing w:line="360" w:lineRule="exact"/>
                    <w:jc w:val="center"/>
                    <w:rPr>
                      <w:rFonts w:hint="eastAsia" w:ascii="Times New Roman" w:hAnsi="Times New Roman" w:eastAsia="宋体" w:cs="Times New Roman"/>
                      <w:b w:val="0"/>
                      <w:bCs w:val="0"/>
                      <w:szCs w:val="21"/>
                      <w:lang w:val="en-US" w:eastAsia="zh-CN"/>
                    </w:rPr>
                  </w:pPr>
                </w:p>
              </w:tc>
              <w:tc>
                <w:tcPr>
                  <w:tcW w:w="513" w:type="pct"/>
                  <w:vMerge w:val="continue"/>
                  <w:vAlign w:val="center"/>
                </w:tcPr>
                <w:p w14:paraId="39DA011E">
                  <w:pPr>
                    <w:shd w:val="clear"/>
                    <w:spacing w:line="360" w:lineRule="exact"/>
                    <w:jc w:val="center"/>
                    <w:rPr>
                      <w:rFonts w:hint="eastAsia" w:ascii="Times New Roman" w:hAnsi="Times New Roman" w:eastAsia="宋体" w:cs="Times New Roman"/>
                      <w:b w:val="0"/>
                      <w:bCs w:val="0"/>
                      <w:szCs w:val="21"/>
                      <w:lang w:val="en-US" w:eastAsia="zh-CN"/>
                    </w:rPr>
                  </w:pPr>
                </w:p>
              </w:tc>
              <w:tc>
                <w:tcPr>
                  <w:tcW w:w="3882" w:type="pct"/>
                  <w:gridSpan w:val="2"/>
                  <w:vAlign w:val="center"/>
                </w:tcPr>
                <w:p w14:paraId="67AA70E7">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禁止引入列入《产业结构调整指导目录（2019年本）》、《市场准入负面清单（2022年版）》、《外商投资准入特别管理措施（负面清单）（2020年版）》、《长江经济带发展负面清单指南》（试行，2022年版）等相关产业政策中禁止或淘汰类项目、产品、工艺和设备。</w:t>
                  </w:r>
                </w:p>
              </w:tc>
            </w:tr>
            <w:tr w14:paraId="27A43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03" w:type="pct"/>
                  <w:vMerge w:val="continue"/>
                  <w:vAlign w:val="center"/>
                </w:tcPr>
                <w:p w14:paraId="0474CD91">
                  <w:pPr>
                    <w:shd w:val="clear"/>
                    <w:spacing w:line="360" w:lineRule="exact"/>
                    <w:jc w:val="center"/>
                    <w:rPr>
                      <w:rFonts w:hint="eastAsia" w:ascii="Times New Roman" w:hAnsi="Times New Roman" w:eastAsia="宋体" w:cs="Times New Roman"/>
                      <w:b w:val="0"/>
                      <w:bCs w:val="0"/>
                      <w:szCs w:val="21"/>
                      <w:lang w:val="en-US" w:eastAsia="zh-CN"/>
                    </w:rPr>
                  </w:pPr>
                </w:p>
              </w:tc>
              <w:tc>
                <w:tcPr>
                  <w:tcW w:w="513" w:type="pct"/>
                  <w:vMerge w:val="continue"/>
                  <w:vAlign w:val="center"/>
                </w:tcPr>
                <w:p w14:paraId="4778D3F7">
                  <w:pPr>
                    <w:shd w:val="clear"/>
                    <w:spacing w:line="360" w:lineRule="exact"/>
                    <w:jc w:val="center"/>
                    <w:rPr>
                      <w:rFonts w:hint="eastAsia" w:ascii="Times New Roman" w:hAnsi="Times New Roman" w:eastAsia="宋体" w:cs="Times New Roman"/>
                      <w:b w:val="0"/>
                      <w:bCs w:val="0"/>
                      <w:szCs w:val="21"/>
                      <w:lang w:val="en-US" w:eastAsia="zh-CN"/>
                    </w:rPr>
                  </w:pPr>
                </w:p>
              </w:tc>
              <w:tc>
                <w:tcPr>
                  <w:tcW w:w="3882" w:type="pct"/>
                  <w:gridSpan w:val="2"/>
                  <w:vAlign w:val="center"/>
                </w:tcPr>
                <w:p w14:paraId="6C399332">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禁止新建、扩建不符合国家产能置换要求的严重过剩产能行业的项目。</w:t>
                  </w:r>
                </w:p>
              </w:tc>
            </w:tr>
            <w:tr w14:paraId="435F0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03" w:type="pct"/>
                  <w:vMerge w:val="continue"/>
                  <w:vAlign w:val="center"/>
                </w:tcPr>
                <w:p w14:paraId="7467F5F3">
                  <w:pPr>
                    <w:shd w:val="clear"/>
                    <w:spacing w:line="360" w:lineRule="exact"/>
                    <w:jc w:val="center"/>
                    <w:rPr>
                      <w:rFonts w:hint="eastAsia" w:ascii="Times New Roman" w:hAnsi="Times New Roman" w:eastAsia="宋体" w:cs="Times New Roman"/>
                      <w:b w:val="0"/>
                      <w:bCs w:val="0"/>
                      <w:szCs w:val="21"/>
                      <w:lang w:val="en-US" w:eastAsia="zh-CN"/>
                    </w:rPr>
                  </w:pPr>
                </w:p>
              </w:tc>
              <w:tc>
                <w:tcPr>
                  <w:tcW w:w="513" w:type="pct"/>
                  <w:vMerge w:val="continue"/>
                  <w:vAlign w:val="center"/>
                </w:tcPr>
                <w:p w14:paraId="6C8E7B90">
                  <w:pPr>
                    <w:shd w:val="clear"/>
                    <w:spacing w:line="360" w:lineRule="exact"/>
                    <w:jc w:val="center"/>
                    <w:rPr>
                      <w:rFonts w:hint="eastAsia" w:ascii="Times New Roman" w:hAnsi="Times New Roman" w:eastAsia="宋体" w:cs="Times New Roman"/>
                      <w:b w:val="0"/>
                      <w:bCs w:val="0"/>
                      <w:szCs w:val="21"/>
                      <w:lang w:val="en-US" w:eastAsia="zh-CN"/>
                    </w:rPr>
                  </w:pPr>
                </w:p>
              </w:tc>
              <w:tc>
                <w:tcPr>
                  <w:tcW w:w="3882" w:type="pct"/>
                  <w:gridSpan w:val="2"/>
                  <w:vAlign w:val="center"/>
                </w:tcPr>
                <w:p w14:paraId="55ABD544">
                  <w:pPr>
                    <w:shd w:val="clear"/>
                    <w:spacing w:line="360" w:lineRule="exact"/>
                    <w:jc w:val="center"/>
                    <w:rPr>
                      <w:rFonts w:hint="eastAsia"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两高”类项目入驻应符合《关于加强高耗能、高排放建设项目生态环境源头防控的指导意见》（环环评〔2021〕45号）、《安徽省生态环境厅关于印发加强高耗能、高排放项目生态环境源头防控的实施意见的通知》等相关政策要求。“两高”项目目录见《安徽省节能减排及应对气候变化工作领导小组关于印发安徽省“两高”项目管理目录（试行）的通知》（皖节能〔2022〕2号）。</w:t>
                  </w:r>
                </w:p>
              </w:tc>
            </w:tr>
          </w:tbl>
          <w:p w14:paraId="2E038490">
            <w:pPr>
              <w:keepNext w:val="0"/>
              <w:keepLines w:val="0"/>
              <w:pageBreakBefore w:val="0"/>
              <w:widowControl w:val="0"/>
              <w:numPr>
                <w:ilvl w:val="0"/>
                <w:numId w:val="3"/>
              </w:numPr>
              <w:shd w:val="clear"/>
              <w:kinsoku/>
              <w:wordWrap/>
              <w:overflowPunct/>
              <w:topLinePunct w:val="0"/>
              <w:bidi w:val="0"/>
              <w:adjustRightInd w:val="0"/>
              <w:snapToGrid/>
              <w:spacing w:line="360" w:lineRule="auto"/>
              <w:ind w:firstLine="480" w:firstLineChars="200"/>
              <w:rPr>
                <w:rFonts w:hint="eastAsia" w:ascii="Times New Roman" w:hAnsi="Times New Roman" w:cs="Times New Roman"/>
                <w:color w:val="auto"/>
                <w:sz w:val="24"/>
                <w:lang w:eastAsia="zh-CN"/>
              </w:rPr>
            </w:pPr>
            <w:r>
              <w:rPr>
                <w:rFonts w:hint="eastAsia" w:ascii="Times New Roman" w:hAnsi="Times New Roman" w:cs="Times New Roman"/>
                <w:color w:val="auto"/>
                <w:sz w:val="24"/>
                <w:lang w:eastAsia="zh-CN"/>
              </w:rPr>
              <w:t>与生态环境分区管控</w:t>
            </w:r>
            <w:r>
              <w:rPr>
                <w:rFonts w:hint="eastAsia" w:ascii="Times New Roman" w:hAnsi="Times New Roman" w:cs="Times New Roman"/>
                <w:color w:val="auto"/>
                <w:sz w:val="24"/>
                <w:lang w:val="en-US" w:eastAsia="zh-CN"/>
              </w:rPr>
              <w:t>要求</w:t>
            </w:r>
            <w:r>
              <w:rPr>
                <w:rFonts w:hint="eastAsia" w:ascii="Times New Roman" w:hAnsi="Times New Roman" w:cs="Times New Roman"/>
                <w:color w:val="auto"/>
                <w:sz w:val="24"/>
                <w:lang w:eastAsia="zh-CN"/>
              </w:rPr>
              <w:t>相符性分析</w:t>
            </w:r>
          </w:p>
          <w:p w14:paraId="2F2F5FC9">
            <w:pPr>
              <w:keepNext w:val="0"/>
              <w:keepLines w:val="0"/>
              <w:pageBreakBefore w:val="0"/>
              <w:widowControl w:val="0"/>
              <w:numPr>
                <w:ilvl w:val="0"/>
                <w:numId w:val="0"/>
              </w:numPr>
              <w:shd w:val="clear"/>
              <w:kinsoku/>
              <w:wordWrap/>
              <w:overflowPunct/>
              <w:topLinePunct w:val="0"/>
              <w:bidi w:val="0"/>
              <w:adjustRightInd w:val="0"/>
              <w:snapToGrid/>
              <w:spacing w:line="360" w:lineRule="auto"/>
              <w:ind w:firstLine="480" w:firstLineChars="200"/>
              <w:rPr>
                <w:rFonts w:hint="eastAsia" w:ascii="Times New Roman" w:hAnsi="Times New Roman" w:cs="Times New Roman"/>
                <w:color w:val="auto"/>
                <w:sz w:val="24"/>
                <w:lang w:eastAsia="zh-CN"/>
              </w:rPr>
            </w:pPr>
            <w:r>
              <w:rPr>
                <w:rFonts w:hint="eastAsia" w:ascii="Times New Roman" w:hAnsi="Times New Roman" w:cs="Times New Roman"/>
                <w:color w:val="auto"/>
                <w:sz w:val="24"/>
                <w:lang w:eastAsia="zh-CN"/>
              </w:rPr>
              <w:t>根据《安徽省“三线一单”生态环境分区管控管理办法（暂行）》的要求，在建设项目环评中，需做好与“三线一单”生态环境分区管控相符性分析，充分论证是否符合生态环境准入清单要求。根据《安徽省人民政府关于加快实施“三线一单”生态环境分区管控的通知》内容，全省共划定1002个生态环境管控单元，分为优先保护、重点管控和一般管控3类。</w:t>
            </w:r>
          </w:p>
          <w:p w14:paraId="2ED501F8">
            <w:pPr>
              <w:keepNext w:val="0"/>
              <w:keepLines w:val="0"/>
              <w:pageBreakBefore w:val="0"/>
              <w:widowControl w:val="0"/>
              <w:numPr>
                <w:ilvl w:val="0"/>
                <w:numId w:val="0"/>
              </w:numPr>
              <w:shd w:val="clear"/>
              <w:kinsoku/>
              <w:wordWrap/>
              <w:overflowPunct/>
              <w:topLinePunct w:val="0"/>
              <w:bidi w:val="0"/>
              <w:adjustRightInd w:val="0"/>
              <w:snapToGrid/>
              <w:spacing w:line="360" w:lineRule="auto"/>
              <w:ind w:firstLine="480" w:firstLineChars="200"/>
              <w:rPr>
                <w:rFonts w:hint="eastAsia" w:ascii="Times New Roman" w:hAnsi="Times New Roman" w:cs="Times New Roman"/>
                <w:color w:val="auto"/>
                <w:sz w:val="24"/>
                <w:lang w:eastAsia="zh-CN"/>
              </w:rPr>
            </w:pPr>
            <w:r>
              <w:rPr>
                <w:rFonts w:hint="eastAsia" w:ascii="Times New Roman" w:hAnsi="Times New Roman" w:cs="Times New Roman"/>
                <w:color w:val="auto"/>
                <w:sz w:val="24"/>
                <w:lang w:eastAsia="zh-CN"/>
              </w:rPr>
              <w:t>优先保护单元以严格保护生态环境、严格限制产业发展为导向，禁止或限制大规模工业开发、矿产等自然资源开发和城镇建设；重点管控单元总体上以守住环境质量底线、积极发展社会经济为导向，已存在严重污染的重点管控单元，应当优化发展社会经济、实施环境治理和修复；一般管控单元以适度发展社会经济、避免大规模高强度开发为导向，在坚持生态优先的前提下，将地方经济产业发展所需空间预留出来。</w:t>
            </w:r>
          </w:p>
          <w:p w14:paraId="1F471F0C">
            <w:pPr>
              <w:keepNext w:val="0"/>
              <w:keepLines w:val="0"/>
              <w:pageBreakBefore w:val="0"/>
              <w:widowControl w:val="0"/>
              <w:numPr>
                <w:ilvl w:val="0"/>
                <w:numId w:val="0"/>
              </w:numPr>
              <w:shd w:val="clear"/>
              <w:kinsoku/>
              <w:wordWrap/>
              <w:overflowPunct/>
              <w:topLinePunct w:val="0"/>
              <w:bidi w:val="0"/>
              <w:adjustRightInd w:val="0"/>
              <w:snapToGrid/>
              <w:spacing w:line="360" w:lineRule="auto"/>
              <w:ind w:firstLine="480" w:firstLineChars="200"/>
              <w:rPr>
                <w:rFonts w:hint="eastAsia" w:ascii="Times New Roman" w:hAnsi="Times New Roman" w:cs="Times New Roman"/>
                <w:color w:val="auto"/>
                <w:sz w:val="24"/>
                <w:lang w:eastAsia="zh-CN"/>
              </w:rPr>
            </w:pPr>
            <w:r>
              <w:rPr>
                <w:rFonts w:hint="eastAsia" w:ascii="Times New Roman" w:hAnsi="Times New Roman" w:cs="Times New Roman"/>
                <w:color w:val="auto"/>
                <w:sz w:val="24"/>
                <w:lang w:val="en-US" w:eastAsia="zh-CN"/>
              </w:rPr>
              <w:t>根据</w:t>
            </w:r>
            <w:r>
              <w:rPr>
                <w:rFonts w:hint="eastAsia" w:ascii="Times New Roman" w:hAnsi="Times New Roman" w:cs="Times New Roman"/>
                <w:color w:val="auto"/>
                <w:sz w:val="24"/>
                <w:lang w:eastAsia="zh-CN"/>
              </w:rPr>
              <w:t>安徽省“三线一单”公众服务平台，本项目环境管控单元编码为ZH34170220006，区域管控要求为“沿江绿色生态廊道区-重点管控单元6”，管控单元细类为“水重点/大气重点”，相关</w:t>
            </w:r>
            <w:r>
              <w:rPr>
                <w:rFonts w:hint="eastAsia" w:ascii="Times New Roman" w:hAnsi="Times New Roman" w:cs="Times New Roman"/>
                <w:color w:val="auto"/>
                <w:sz w:val="24"/>
                <w:lang w:val="en-US" w:eastAsia="zh-CN"/>
              </w:rPr>
              <w:t>管控</w:t>
            </w:r>
            <w:r>
              <w:rPr>
                <w:rFonts w:hint="eastAsia" w:ascii="Times New Roman" w:hAnsi="Times New Roman" w:cs="Times New Roman"/>
                <w:color w:val="auto"/>
                <w:sz w:val="24"/>
                <w:lang w:eastAsia="zh-CN"/>
              </w:rPr>
              <w:t>要求对照详见表</w:t>
            </w:r>
            <w:r>
              <w:rPr>
                <w:rFonts w:hint="eastAsia" w:ascii="Times New Roman" w:hAnsi="Times New Roman" w:cs="Times New Roman"/>
                <w:color w:val="auto"/>
                <w:sz w:val="24"/>
                <w:lang w:val="en-US" w:eastAsia="zh-CN"/>
              </w:rPr>
              <w:t>1-3</w:t>
            </w:r>
            <w:r>
              <w:rPr>
                <w:rFonts w:hint="eastAsia" w:ascii="Times New Roman" w:hAnsi="Times New Roman" w:cs="Times New Roman"/>
                <w:color w:val="auto"/>
                <w:sz w:val="24"/>
                <w:lang w:eastAsia="zh-CN"/>
              </w:rPr>
              <w:t>。</w:t>
            </w:r>
          </w:p>
          <w:p w14:paraId="6068C5FD">
            <w:pPr>
              <w:keepNext w:val="0"/>
              <w:keepLines w:val="0"/>
              <w:pageBreakBefore w:val="0"/>
              <w:widowControl w:val="0"/>
              <w:numPr>
                <w:ilvl w:val="0"/>
                <w:numId w:val="0"/>
              </w:numPr>
              <w:shd w:val="clear"/>
              <w:kinsoku/>
              <w:wordWrap/>
              <w:overflowPunct/>
              <w:topLinePunct w:val="0"/>
              <w:bidi w:val="0"/>
              <w:adjustRightInd w:val="0"/>
              <w:snapToGrid/>
              <w:spacing w:line="360" w:lineRule="auto"/>
              <w:rPr>
                <w:rFonts w:hint="eastAsia" w:ascii="Times New Roman" w:hAnsi="Times New Roman" w:eastAsia="宋体" w:cs="Times New Roman"/>
                <w:sz w:val="24"/>
                <w:lang w:val="en-US" w:eastAsia="zh-CN"/>
              </w:rPr>
            </w:pPr>
          </w:p>
          <w:p w14:paraId="4238F032">
            <w:pPr>
              <w:keepNext w:val="0"/>
              <w:keepLines w:val="0"/>
              <w:pageBreakBefore w:val="0"/>
              <w:widowControl w:val="0"/>
              <w:numPr>
                <w:ilvl w:val="0"/>
                <w:numId w:val="0"/>
              </w:numPr>
              <w:shd w:val="clear"/>
              <w:kinsoku/>
              <w:wordWrap/>
              <w:overflowPunct/>
              <w:topLinePunct w:val="0"/>
              <w:bidi w:val="0"/>
              <w:adjustRightInd w:val="0"/>
              <w:snapToGrid/>
              <w:spacing w:line="360" w:lineRule="auto"/>
              <w:rPr>
                <w:rFonts w:hint="eastAsia" w:ascii="Times New Roman" w:hAnsi="Times New Roman" w:eastAsia="宋体" w:cs="Times New Roman"/>
                <w:sz w:val="24"/>
                <w:lang w:val="en-US" w:eastAsia="zh-CN"/>
              </w:rPr>
            </w:pPr>
          </w:p>
          <w:p w14:paraId="652B4413">
            <w:pPr>
              <w:keepNext w:val="0"/>
              <w:keepLines w:val="0"/>
              <w:pageBreakBefore w:val="0"/>
              <w:widowControl w:val="0"/>
              <w:numPr>
                <w:ilvl w:val="0"/>
                <w:numId w:val="0"/>
              </w:numPr>
              <w:shd w:val="clear"/>
              <w:kinsoku/>
              <w:wordWrap/>
              <w:overflowPunct/>
              <w:topLinePunct w:val="0"/>
              <w:bidi w:val="0"/>
              <w:adjustRightInd w:val="0"/>
              <w:snapToGrid/>
              <w:spacing w:line="360" w:lineRule="auto"/>
              <w:rPr>
                <w:rFonts w:hint="eastAsia" w:ascii="Times New Roman" w:hAnsi="Times New Roman" w:eastAsia="宋体" w:cs="Times New Roman"/>
                <w:sz w:val="24"/>
                <w:lang w:val="en-US" w:eastAsia="zh-CN"/>
              </w:rPr>
            </w:pPr>
          </w:p>
          <w:p w14:paraId="14907AC7">
            <w:pPr>
              <w:keepNext w:val="0"/>
              <w:keepLines w:val="0"/>
              <w:pageBreakBefore w:val="0"/>
              <w:widowControl w:val="0"/>
              <w:numPr>
                <w:ilvl w:val="0"/>
                <w:numId w:val="0"/>
              </w:numPr>
              <w:shd w:val="clear"/>
              <w:kinsoku/>
              <w:wordWrap/>
              <w:overflowPunct/>
              <w:topLinePunct w:val="0"/>
              <w:bidi w:val="0"/>
              <w:adjustRightInd w:val="0"/>
              <w:snapToGrid/>
              <w:spacing w:line="360" w:lineRule="auto"/>
              <w:rPr>
                <w:rFonts w:hint="default" w:ascii="Times New Roman" w:hAnsi="Times New Roman" w:eastAsia="宋体" w:cs="Times New Roman"/>
                <w:sz w:val="24"/>
                <w:lang w:val="en-US" w:eastAsia="zh-CN"/>
              </w:rPr>
            </w:pPr>
          </w:p>
        </w:tc>
      </w:tr>
    </w:tbl>
    <w:p w14:paraId="5F9F26CA">
      <w:pPr>
        <w:spacing w:line="480" w:lineRule="auto"/>
        <w:jc w:val="left"/>
        <w:rPr>
          <w:rFonts w:hint="eastAsia" w:ascii="Times New Roman" w:hAnsi="Times New Roman" w:eastAsia="宋体" w:cs="Times New Roman"/>
          <w:b/>
          <w:bCs/>
          <w:sz w:val="28"/>
          <w:szCs w:val="28"/>
        </w:rPr>
        <w:sectPr>
          <w:footerReference r:id="rId3" w:type="default"/>
          <w:pgSz w:w="11906" w:h="16838"/>
          <w:pgMar w:top="1417" w:right="1417" w:bottom="1417" w:left="1417" w:header="851" w:footer="992" w:gutter="0"/>
          <w:pgNumType w:fmt="decimal" w:start="1"/>
          <w:cols w:space="425" w:num="1"/>
          <w:docGrid w:type="lines" w:linePitch="312" w:charSpace="0"/>
        </w:sect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20"/>
      </w:tblGrid>
      <w:tr w14:paraId="2774B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4" w:type="dxa"/>
          </w:tcPr>
          <w:p w14:paraId="5564C845">
            <w:pPr>
              <w:pStyle w:val="28"/>
              <w:keepNext w:val="0"/>
              <w:keepLines w:val="0"/>
              <w:pageBreakBefore w:val="0"/>
              <w:widowControl w:val="0"/>
              <w:shd w:val="clear"/>
              <w:kinsoku/>
              <w:wordWrap/>
              <w:overflowPunct/>
              <w:topLinePunct w:val="0"/>
              <w:bidi w:val="0"/>
              <w:snapToGrid/>
              <w:spacing w:line="360" w:lineRule="auto"/>
              <w:ind w:left="0" w:leftChars="0" w:firstLine="0" w:firstLineChars="0"/>
              <w:jc w:val="center"/>
              <w:rPr>
                <w:rFonts w:hint="default" w:ascii="Times New Roman" w:hAnsi="Times New Roman" w:eastAsia="黑体" w:cs="Times New Roman"/>
                <w:b w:val="0"/>
                <w:bCs w:val="0"/>
                <w:sz w:val="21"/>
                <w:szCs w:val="21"/>
                <w:vertAlign w:val="baseline"/>
                <w:lang w:val="en-US" w:eastAsia="zh-CN"/>
              </w:rPr>
            </w:pPr>
            <w:r>
              <w:rPr>
                <w:rFonts w:hint="eastAsia" w:ascii="Times New Roman" w:hAnsi="Times New Roman" w:eastAsia="宋体" w:cs="Times New Roman"/>
                <w:b/>
                <w:bCs/>
                <w:sz w:val="28"/>
                <w:szCs w:val="28"/>
                <w:vertAlign w:val="baseline"/>
                <w:lang w:eastAsia="zh-CN"/>
              </w:rPr>
              <w:drawing>
                <wp:inline distT="0" distB="0" distL="114300" distR="114300">
                  <wp:extent cx="8976995" cy="4354830"/>
                  <wp:effectExtent l="0" t="0" r="14605" b="7620"/>
                  <wp:docPr id="7" name="图片 7" descr="微信截图_2025071811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截图_20250718112113"/>
                          <pic:cNvPicPr>
                            <a:picLocks noChangeAspect="1"/>
                          </pic:cNvPicPr>
                        </pic:nvPicPr>
                        <pic:blipFill>
                          <a:blip r:embed="rId6"/>
                          <a:srcRect r="473"/>
                          <a:stretch>
                            <a:fillRect/>
                          </a:stretch>
                        </pic:blipFill>
                        <pic:spPr>
                          <a:xfrm>
                            <a:off x="0" y="0"/>
                            <a:ext cx="8976995" cy="4354830"/>
                          </a:xfrm>
                          <a:prstGeom prst="rect">
                            <a:avLst/>
                          </a:prstGeom>
                        </pic:spPr>
                      </pic:pic>
                    </a:graphicData>
                  </a:graphic>
                </wp:inline>
              </w:drawing>
            </w:r>
            <w:r>
              <w:rPr>
                <w:rFonts w:hint="default" w:ascii="Times New Roman" w:hAnsi="Times New Roman" w:eastAsia="黑体" w:cs="Times New Roman"/>
                <w:b w:val="0"/>
                <w:bCs w:val="0"/>
                <w:sz w:val="21"/>
                <w:szCs w:val="21"/>
                <w:vertAlign w:val="baseline"/>
                <w:lang w:val="en-US" w:eastAsia="zh-CN"/>
              </w:rPr>
              <w:t>图1-1 本项目分区管控图</w:t>
            </w:r>
          </w:p>
          <w:p w14:paraId="2B46C7DF">
            <w:pPr>
              <w:pStyle w:val="28"/>
              <w:keepNext w:val="0"/>
              <w:keepLines w:val="0"/>
              <w:pageBreakBefore w:val="0"/>
              <w:widowControl w:val="0"/>
              <w:shd w:val="clear"/>
              <w:kinsoku/>
              <w:wordWrap/>
              <w:overflowPunct/>
              <w:topLinePunct w:val="0"/>
              <w:bidi w:val="0"/>
              <w:snapToGrid/>
              <w:spacing w:line="360" w:lineRule="auto"/>
              <w:rPr>
                <w:rFonts w:hint="default" w:ascii="Times New Roman" w:hAnsi="Times New Roman" w:eastAsia="黑体" w:cs="Times New Roman"/>
                <w:b w:val="0"/>
                <w:bCs w:val="0"/>
                <w:sz w:val="21"/>
                <w:szCs w:val="21"/>
                <w:vertAlign w:val="baseline"/>
                <w:lang w:val="en-US" w:eastAsia="zh-CN"/>
              </w:rPr>
            </w:pPr>
          </w:p>
          <w:p w14:paraId="1D7BE8EA">
            <w:pPr>
              <w:pStyle w:val="28"/>
              <w:keepNext w:val="0"/>
              <w:keepLines w:val="0"/>
              <w:pageBreakBefore w:val="0"/>
              <w:widowControl w:val="0"/>
              <w:shd w:val="clear"/>
              <w:kinsoku/>
              <w:wordWrap/>
              <w:overflowPunct/>
              <w:topLinePunct w:val="0"/>
              <w:bidi w:val="0"/>
              <w:snapToGrid/>
              <w:spacing w:line="360" w:lineRule="auto"/>
              <w:rPr>
                <w:rFonts w:hint="default" w:ascii="Times New Roman" w:hAnsi="Times New Roman" w:eastAsia="黑体" w:cs="Times New Roman"/>
                <w:b w:val="0"/>
                <w:bCs w:val="0"/>
                <w:sz w:val="21"/>
                <w:szCs w:val="21"/>
                <w:vertAlign w:val="baseline"/>
                <w:lang w:val="en-US" w:eastAsia="zh-CN"/>
              </w:rPr>
            </w:pPr>
          </w:p>
          <w:p w14:paraId="7C6446A7">
            <w:pPr>
              <w:pStyle w:val="20"/>
              <w:rPr>
                <w:rFonts w:hint="default"/>
                <w:lang w:val="en-US" w:eastAsia="zh-CN"/>
              </w:rPr>
            </w:pPr>
          </w:p>
          <w:p w14:paraId="03F1401B">
            <w:pPr>
              <w:pStyle w:val="28"/>
              <w:keepNext w:val="0"/>
              <w:keepLines w:val="0"/>
              <w:pageBreakBefore w:val="0"/>
              <w:widowControl w:val="0"/>
              <w:shd w:val="clear"/>
              <w:kinsoku/>
              <w:wordWrap/>
              <w:overflowPunct/>
              <w:topLinePunct w:val="0"/>
              <w:bidi w:val="0"/>
              <w:snapToGrid/>
              <w:spacing w:line="360" w:lineRule="auto"/>
              <w:ind w:left="0" w:leftChars="0" w:firstLine="0" w:firstLineChars="0"/>
              <w:jc w:val="center"/>
              <w:rPr>
                <w:rFonts w:hint="eastAsia" w:ascii="Times New Roman" w:hAnsi="Times New Roman" w:eastAsia="黑体" w:cs="Times New Roman"/>
                <w:b w:val="0"/>
                <w:bCs/>
                <w:sz w:val="21"/>
                <w:szCs w:val="21"/>
                <w:lang w:eastAsia="zh-CN"/>
              </w:rPr>
            </w:pPr>
            <w:r>
              <w:rPr>
                <w:rFonts w:hint="default" w:ascii="Times New Roman" w:hAnsi="Times New Roman" w:eastAsia="黑体" w:cs="Times New Roman"/>
                <w:b w:val="0"/>
                <w:bCs/>
                <w:sz w:val="21"/>
                <w:szCs w:val="21"/>
              </w:rPr>
              <w:t>表</w:t>
            </w:r>
            <w:r>
              <w:rPr>
                <w:rFonts w:hint="eastAsia" w:ascii="Times New Roman" w:hAnsi="Times New Roman" w:eastAsia="黑体" w:cs="Times New Roman"/>
                <w:b w:val="0"/>
                <w:bCs/>
                <w:sz w:val="21"/>
                <w:szCs w:val="21"/>
                <w:lang w:val="en-US" w:eastAsia="zh-CN"/>
              </w:rPr>
              <w:t>1-3</w:t>
            </w:r>
            <w:r>
              <w:rPr>
                <w:rFonts w:hint="default" w:ascii="Times New Roman" w:hAnsi="Times New Roman" w:eastAsia="黑体" w:cs="Times New Roman"/>
                <w:b w:val="0"/>
                <w:bCs/>
                <w:sz w:val="21"/>
                <w:szCs w:val="21"/>
              </w:rPr>
              <w:t xml:space="preserve"> </w:t>
            </w:r>
            <w:r>
              <w:rPr>
                <w:rFonts w:hint="eastAsia" w:ascii="Times New Roman" w:hAnsi="Times New Roman" w:eastAsia="黑体" w:cs="Times New Roman"/>
                <w:b w:val="0"/>
                <w:bCs/>
                <w:sz w:val="21"/>
                <w:szCs w:val="21"/>
                <w:lang w:val="en-US" w:eastAsia="zh-CN"/>
              </w:rPr>
              <w:t>与环境分区管控符合性分析对照表（节选）</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8"/>
              <w:gridCol w:w="1091"/>
              <w:gridCol w:w="8838"/>
              <w:gridCol w:w="2017"/>
              <w:gridCol w:w="862"/>
            </w:tblGrid>
            <w:tr w14:paraId="01EA2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1" w:type="pct"/>
                  <w:tcBorders>
                    <w:tl2br w:val="nil"/>
                    <w:tr2bl w:val="nil"/>
                  </w:tcBorders>
                  <w:noWrap w:val="0"/>
                  <w:vAlign w:val="center"/>
                </w:tcPr>
                <w:p w14:paraId="5D80C6A9">
                  <w:pPr>
                    <w:pStyle w:val="2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区域名称</w:t>
                  </w:r>
                </w:p>
              </w:tc>
              <w:tc>
                <w:tcPr>
                  <w:tcW w:w="390" w:type="pct"/>
                  <w:tcBorders>
                    <w:tl2br w:val="nil"/>
                    <w:tr2bl w:val="nil"/>
                  </w:tcBorders>
                  <w:noWrap w:val="0"/>
                  <w:vAlign w:val="center"/>
                </w:tcPr>
                <w:p w14:paraId="6DD13DD7">
                  <w:pPr>
                    <w:pStyle w:val="2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vertAlign w:val="baseline"/>
                      <w:lang w:val="en-US" w:eastAsia="zh-CN" w:bidi="ar-SA"/>
                    </w:rPr>
                  </w:pPr>
                  <w:r>
                    <w:rPr>
                      <w:rFonts w:hint="default" w:ascii="Times New Roman" w:hAnsi="Times New Roman" w:eastAsia="宋体" w:cs="Times New Roman"/>
                      <w:color w:val="auto"/>
                      <w:sz w:val="21"/>
                      <w:szCs w:val="21"/>
                      <w:vertAlign w:val="baseline"/>
                      <w:lang w:val="en-US" w:eastAsia="zh-CN"/>
                    </w:rPr>
                    <w:t>管控类别</w:t>
                  </w:r>
                </w:p>
              </w:tc>
              <w:tc>
                <w:tcPr>
                  <w:tcW w:w="3159" w:type="pct"/>
                  <w:tcBorders>
                    <w:tl2br w:val="nil"/>
                    <w:tr2bl w:val="nil"/>
                  </w:tcBorders>
                  <w:noWrap w:val="0"/>
                  <w:vAlign w:val="center"/>
                </w:tcPr>
                <w:p w14:paraId="7B410DA5">
                  <w:pPr>
                    <w:pStyle w:val="2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vertAlign w:val="baseline"/>
                      <w:lang w:val="en-US" w:eastAsia="zh-CN" w:bidi="ar-SA"/>
                    </w:rPr>
                  </w:pPr>
                  <w:r>
                    <w:rPr>
                      <w:rFonts w:hint="default" w:ascii="Times New Roman" w:hAnsi="Times New Roman" w:eastAsia="宋体" w:cs="Times New Roman"/>
                      <w:color w:val="auto"/>
                      <w:sz w:val="21"/>
                      <w:szCs w:val="21"/>
                      <w:vertAlign w:val="baseline"/>
                      <w:lang w:val="en-US" w:eastAsia="zh-CN"/>
                    </w:rPr>
                    <w:t>管控要求</w:t>
                  </w:r>
                </w:p>
              </w:tc>
              <w:tc>
                <w:tcPr>
                  <w:tcW w:w="721" w:type="pct"/>
                  <w:tcBorders>
                    <w:tl2br w:val="nil"/>
                    <w:tr2bl w:val="nil"/>
                  </w:tcBorders>
                  <w:noWrap w:val="0"/>
                  <w:vAlign w:val="center"/>
                </w:tcPr>
                <w:p w14:paraId="4D60E717">
                  <w:pPr>
                    <w:pStyle w:val="2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vertAlign w:val="baseline"/>
                      <w:lang w:val="en-US" w:eastAsia="zh-CN" w:bidi="ar-SA"/>
                    </w:rPr>
                  </w:pPr>
                  <w:r>
                    <w:rPr>
                      <w:rFonts w:hint="default" w:ascii="Times New Roman" w:hAnsi="Times New Roman" w:eastAsia="宋体" w:cs="Times New Roman"/>
                      <w:color w:val="auto"/>
                      <w:sz w:val="21"/>
                      <w:szCs w:val="21"/>
                      <w:vertAlign w:val="baseline"/>
                      <w:lang w:val="en-US" w:eastAsia="zh-CN"/>
                    </w:rPr>
                    <w:t>本项目情况</w:t>
                  </w:r>
                </w:p>
              </w:tc>
              <w:tc>
                <w:tcPr>
                  <w:tcW w:w="308" w:type="pct"/>
                  <w:tcBorders>
                    <w:tl2br w:val="nil"/>
                    <w:tr2bl w:val="nil"/>
                  </w:tcBorders>
                  <w:noWrap w:val="0"/>
                  <w:vAlign w:val="center"/>
                </w:tcPr>
                <w:p w14:paraId="64629A69">
                  <w:pPr>
                    <w:pStyle w:val="2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符合性</w:t>
                  </w:r>
                </w:p>
              </w:tc>
            </w:tr>
            <w:tr w14:paraId="7C6A7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1" w:type="pct"/>
                  <w:vMerge w:val="restart"/>
                  <w:tcBorders>
                    <w:tl2br w:val="nil"/>
                    <w:tr2bl w:val="nil"/>
                  </w:tcBorders>
                  <w:noWrap w:val="0"/>
                  <w:vAlign w:val="center"/>
                </w:tcPr>
                <w:p w14:paraId="42A9D407">
                  <w:pPr>
                    <w:pStyle w:val="2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沿江绿色生态廊道区-重点管控单元</w:t>
                  </w:r>
                  <w:r>
                    <w:rPr>
                      <w:rFonts w:hint="eastAsia" w:ascii="Times New Roman" w:hAnsi="Times New Roman" w:eastAsia="宋体" w:cs="Times New Roman"/>
                      <w:color w:val="auto"/>
                      <w:sz w:val="21"/>
                      <w:szCs w:val="21"/>
                      <w:vertAlign w:val="baseline"/>
                      <w:lang w:val="en-US" w:eastAsia="zh-CN"/>
                    </w:rPr>
                    <w:t>6</w:t>
                  </w:r>
                </w:p>
              </w:tc>
              <w:tc>
                <w:tcPr>
                  <w:tcW w:w="390" w:type="pct"/>
                  <w:tcBorders>
                    <w:tl2br w:val="nil"/>
                    <w:tr2bl w:val="nil"/>
                  </w:tcBorders>
                  <w:noWrap w:val="0"/>
                  <w:vAlign w:val="center"/>
                </w:tcPr>
                <w:p w14:paraId="2A42AB69">
                  <w:pPr>
                    <w:pStyle w:val="2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eastAsia="zh-CN"/>
                    </w:rPr>
                  </w:pPr>
                  <w:r>
                    <w:rPr>
                      <w:rFonts w:hint="default" w:ascii="Times New Roman" w:hAnsi="Times New Roman" w:eastAsia="宋体" w:cs="Times New Roman"/>
                      <w:color w:val="auto"/>
                      <w:sz w:val="21"/>
                      <w:szCs w:val="21"/>
                      <w:vertAlign w:val="baseline"/>
                      <w:lang w:val="en-US" w:eastAsia="zh-CN"/>
                    </w:rPr>
                    <w:t>空间布局约束</w:t>
                  </w:r>
                </w:p>
              </w:tc>
              <w:tc>
                <w:tcPr>
                  <w:tcW w:w="3159" w:type="pct"/>
                  <w:tcBorders>
                    <w:tl2br w:val="nil"/>
                    <w:tr2bl w:val="nil"/>
                  </w:tcBorders>
                  <w:noWrap w:val="0"/>
                  <w:vAlign w:val="center"/>
                </w:tcPr>
                <w:p w14:paraId="53EFE95F">
                  <w:pPr>
                    <w:keepNext w:val="0"/>
                    <w:keepLines w:val="0"/>
                    <w:widowControl/>
                    <w:suppressLineNumbers w:val="0"/>
                    <w:spacing w:line="240" w:lineRule="auto"/>
                    <w:jc w:val="both"/>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aps w:val="0"/>
                      <w:color w:val="303133"/>
                      <w:spacing w:val="0"/>
                      <w:sz w:val="21"/>
                      <w:szCs w:val="21"/>
                      <w:shd w:val="clear" w:color="auto" w:fill="FFFFFF"/>
                    </w:rPr>
                    <w:t>禁止开发建设活动的要求：1严格城市规划蓝线管理，城市规划区范围内应保留一定比例的水域面积，现有水域面积不得减少。新建项目一律不得违规占用水域。2落实磷石膏综合利用途径，综合利用不畅的可利用现有磷石膏库堆存，不得新建、扩建磷石膏库(暂存场除外)。允许开发建设活动的特殊要求：3坚持以水定城、以水定地、以水定人、以水定产，严格控制缺水地区、水污染严重地区和敏感区域高耗水、高污染行业发展，鼓励推动高耗水企业向水资源条件允许的工业园区集中。4引导石化、化工、钢铁、建材、有色金属等重点行业合理布局，提高化工、有色金属、农副食品加工、印染、制革、原料药制造、电镀等行业集聚水平。5严格控制缺水地区、水污染严重地区和敏感区域高耗水、高污染行业发展，鼓励推动高耗水企业向水资源条件允许的工业园区集中。6新建、扩建磷化工项目应布设在依法合规设立的化工园区或具有化工定位的产业园区内，所在化工园区或产业园区应依法开展规划环境影响评价工作，磷化工建设项目应符合园区规划及规划环评要求。不符合空间布局要求活动的退出要求：7持续开展涉水</w:t>
                  </w:r>
                  <w:r>
                    <w:rPr>
                      <w:rFonts w:hint="default" w:ascii="Times New Roman" w:hAnsi="Times New Roman" w:eastAsia="宋体" w:cs="Times New Roman"/>
                      <w:i w:val="0"/>
                      <w:iCs w:val="0"/>
                      <w:caps w:val="0"/>
                      <w:color w:val="303133"/>
                      <w:spacing w:val="0"/>
                      <w:sz w:val="21"/>
                      <w:szCs w:val="21"/>
                      <w:shd w:val="clear" w:color="auto" w:fill="FFFFFF"/>
                      <w:lang w:eastAsia="zh-CN"/>
                    </w:rPr>
                    <w:t>“</w:t>
                  </w:r>
                  <w:r>
                    <w:rPr>
                      <w:rFonts w:hint="default" w:ascii="Times New Roman" w:hAnsi="Times New Roman" w:eastAsia="宋体" w:cs="Times New Roman"/>
                      <w:i w:val="0"/>
                      <w:iCs w:val="0"/>
                      <w:caps w:val="0"/>
                      <w:color w:val="303133"/>
                      <w:spacing w:val="0"/>
                      <w:sz w:val="21"/>
                      <w:szCs w:val="21"/>
                      <w:shd w:val="clear" w:color="auto" w:fill="FFFFFF"/>
                    </w:rPr>
                    <w:t>散乱污</w:t>
                  </w:r>
                  <w:r>
                    <w:rPr>
                      <w:rFonts w:hint="default" w:ascii="Times New Roman" w:hAnsi="Times New Roman" w:eastAsia="宋体" w:cs="Times New Roman"/>
                      <w:i w:val="0"/>
                      <w:iCs w:val="0"/>
                      <w:caps w:val="0"/>
                      <w:color w:val="303133"/>
                      <w:spacing w:val="0"/>
                      <w:sz w:val="21"/>
                      <w:szCs w:val="21"/>
                      <w:shd w:val="clear" w:color="auto" w:fill="FFFFFF"/>
                      <w:lang w:eastAsia="zh-CN"/>
                    </w:rPr>
                    <w:t>”</w:t>
                  </w:r>
                  <w:r>
                    <w:rPr>
                      <w:rFonts w:hint="default" w:ascii="Times New Roman" w:hAnsi="Times New Roman" w:eastAsia="宋体" w:cs="Times New Roman"/>
                      <w:i w:val="0"/>
                      <w:iCs w:val="0"/>
                      <w:caps w:val="0"/>
                      <w:color w:val="303133"/>
                      <w:spacing w:val="0"/>
                      <w:sz w:val="21"/>
                      <w:szCs w:val="21"/>
                      <w:shd w:val="clear" w:color="auto" w:fill="FFFFFF"/>
                    </w:rPr>
                    <w:t>企业清理整治，严把能耗、环保等标准，促使一批达不到标准或淘汰类产能的企业，依法依规关停退出。8推动污染企业退出。城市建成区内现有钢铁、有色金属、造纸、印染、原料药制造、化工等污染较重的企业应有序搬迁改造或依法关闭。9严格水域岸线用途管制，土地开发利用应按照有关法律法规和技术标准要求，留足河道、湖泊的管理和保护范围，非法挤占的应限期退出。10国家禁止新建不符合国家产业政策的小型造纸、制革、印染、染料、炼焦、炼硫、炼砷、炼汞、炼油、电镀、农药、石棉、水泥、玻璃、钢铁、火电以及其他严重污染水环境的生产项目</w:t>
                  </w:r>
                  <w:r>
                    <w:rPr>
                      <w:rFonts w:hint="eastAsia" w:ascii="Times New Roman" w:hAnsi="Times New Roman" w:eastAsia="宋体" w:cs="Times New Roman"/>
                      <w:i w:val="0"/>
                      <w:iCs w:val="0"/>
                      <w:caps w:val="0"/>
                      <w:color w:val="303133"/>
                      <w:spacing w:val="0"/>
                      <w:sz w:val="21"/>
                      <w:szCs w:val="21"/>
                      <w:shd w:val="clear" w:color="auto" w:fill="FFFFFF"/>
                      <w:lang w:eastAsia="zh-CN"/>
                    </w:rPr>
                    <w:t>。</w:t>
                  </w:r>
                </w:p>
              </w:tc>
              <w:tc>
                <w:tcPr>
                  <w:tcW w:w="721" w:type="pct"/>
                  <w:tcBorders>
                    <w:tl2br w:val="nil"/>
                    <w:tr2bl w:val="nil"/>
                  </w:tcBorders>
                  <w:noWrap w:val="0"/>
                  <w:vAlign w:val="center"/>
                </w:tcPr>
                <w:p w14:paraId="516DCC29">
                  <w:pPr>
                    <w:pStyle w:val="2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本项目属于属于C3914工业控制计算机及系统制造，不涉及饮用水水源保护区及自然保护区、风景名胜区等环境敏感地区，不属于“两高”项目，项目建设符合皖江江南新兴产业集中区规划要求；项目符合“三线一单”管控要求；且项目相关污染物均做到达标排放</w:t>
                  </w:r>
                  <w:r>
                    <w:rPr>
                      <w:rFonts w:hint="eastAsia" w:ascii="Times New Roman" w:hAnsi="Times New Roman" w:eastAsia="宋体" w:cs="Times New Roman"/>
                      <w:color w:val="auto"/>
                      <w:sz w:val="21"/>
                      <w:szCs w:val="21"/>
                      <w:vertAlign w:val="baseline"/>
                      <w:lang w:val="en-US" w:eastAsia="zh-CN"/>
                    </w:rPr>
                    <w:t>。</w:t>
                  </w:r>
                </w:p>
              </w:tc>
              <w:tc>
                <w:tcPr>
                  <w:tcW w:w="308" w:type="pct"/>
                  <w:tcBorders>
                    <w:tl2br w:val="nil"/>
                    <w:tr2bl w:val="nil"/>
                  </w:tcBorders>
                  <w:noWrap w:val="0"/>
                  <w:vAlign w:val="center"/>
                </w:tcPr>
                <w:p w14:paraId="2ECAC42C">
                  <w:pPr>
                    <w:pStyle w:val="2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符合</w:t>
                  </w:r>
                </w:p>
              </w:tc>
            </w:tr>
            <w:tr w14:paraId="48977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1" w:type="pct"/>
                  <w:vMerge w:val="continue"/>
                  <w:tcBorders>
                    <w:tl2br w:val="nil"/>
                    <w:tr2bl w:val="nil"/>
                  </w:tcBorders>
                  <w:noWrap w:val="0"/>
                  <w:vAlign w:val="center"/>
                </w:tcPr>
                <w:p w14:paraId="2BBC6CDC">
                  <w:pPr>
                    <w:pStyle w:val="2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390" w:type="pct"/>
                  <w:tcBorders>
                    <w:tl2br w:val="nil"/>
                    <w:tr2bl w:val="nil"/>
                  </w:tcBorders>
                  <w:noWrap w:val="0"/>
                  <w:vAlign w:val="center"/>
                </w:tcPr>
                <w:p w14:paraId="5155E78B">
                  <w:pPr>
                    <w:pStyle w:val="2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污染物排放管控</w:t>
                  </w:r>
                </w:p>
              </w:tc>
              <w:tc>
                <w:tcPr>
                  <w:tcW w:w="3159" w:type="pct"/>
                  <w:tcBorders>
                    <w:tl2br w:val="nil"/>
                    <w:tr2bl w:val="nil"/>
                  </w:tcBorders>
                  <w:noWrap w:val="0"/>
                  <w:vAlign w:val="center"/>
                </w:tcPr>
                <w:p w14:paraId="03BF31B7">
                  <w:pPr>
                    <w:keepNext w:val="0"/>
                    <w:keepLines w:val="0"/>
                    <w:widowControl/>
                    <w:suppressLineNumbers w:val="0"/>
                    <w:spacing w:line="240" w:lineRule="auto"/>
                    <w:jc w:val="both"/>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aps w:val="0"/>
                      <w:color w:val="303133"/>
                      <w:spacing w:val="0"/>
                      <w:sz w:val="21"/>
                      <w:szCs w:val="21"/>
                      <w:shd w:val="clear" w:color="auto" w:fill="FFFFFF"/>
                    </w:rPr>
                    <w:t>区域水污染物削减/替代要求：1企业事业单位和其他生产经营者超过污染物排放标准或者超过重点污染物排放总量控制指标排放污染物的，县级以上人民政府环境保护主管部门可以责令其采取限制生产、停产整治等措施；情节严重的，报经有批准权的人民政府批准，责令停业、关闭。2积极推进清洁生产审核，对焦化、有色金属、石化、化工、电镀、制革、石油开采、造纸、印染、农副食品加工等行业，全面推进清洁生产改造或清洁化改造。3建设项目所在水环境控制单元或断面总磷超标的，实施总磷排放量2倍或以上削减替代。所在水环境控制单元或断面总磷达标的，实施总磷排放量等量或以上削减替代。替代量应来源于项目同一水环境控制单元或断面上游拟实施关停、升级改造的工业企业，不得来源于农业源、城镇污水处理厂或已列入流域环境质量改善计划的工业企业。相应的减排措施应确保在项目投产前完成。现有源提标改造：4专项整治十大重点行业。制定造纸、焦化、氮肥、有色金属、印染、农副食品加工、原料药制造、制革、农药、电镀等行业专项治理方案，对重点行业企业实施清洁化改造。5实施技术、工艺、设备等生态化、循环化改造，加快布局分散的企业向园区集中，按要求设置生态隔离带，建设相应的防护工程。水污染控制措施要求：6所有排污单位必须依法实现全面达标排放。逐一排查工业企业排污情况，达标企业应采取措施确保稳定达标；对超标和超总量的企业予以</w:t>
                  </w:r>
                  <w:r>
                    <w:rPr>
                      <w:rFonts w:hint="default" w:ascii="Times New Roman" w:hAnsi="Times New Roman" w:eastAsia="宋体" w:cs="Times New Roman"/>
                      <w:i w:val="0"/>
                      <w:iCs w:val="0"/>
                      <w:caps w:val="0"/>
                      <w:color w:val="303133"/>
                      <w:spacing w:val="0"/>
                      <w:sz w:val="21"/>
                      <w:szCs w:val="21"/>
                      <w:shd w:val="clear" w:color="auto" w:fill="FFFFFF"/>
                      <w:lang w:eastAsia="zh-CN"/>
                    </w:rPr>
                    <w:t>“</w:t>
                  </w:r>
                  <w:r>
                    <w:rPr>
                      <w:rFonts w:hint="default" w:ascii="Times New Roman" w:hAnsi="Times New Roman" w:eastAsia="宋体" w:cs="Times New Roman"/>
                      <w:i w:val="0"/>
                      <w:iCs w:val="0"/>
                      <w:caps w:val="0"/>
                      <w:color w:val="303133"/>
                      <w:spacing w:val="0"/>
                      <w:sz w:val="21"/>
                      <w:szCs w:val="21"/>
                      <w:shd w:val="clear" w:color="auto" w:fill="FFFFFF"/>
                    </w:rPr>
                    <w:t>黄牌</w:t>
                  </w:r>
                  <w:r>
                    <w:rPr>
                      <w:rFonts w:hint="default" w:ascii="Times New Roman" w:hAnsi="Times New Roman" w:eastAsia="宋体" w:cs="Times New Roman"/>
                      <w:i w:val="0"/>
                      <w:iCs w:val="0"/>
                      <w:caps w:val="0"/>
                      <w:color w:val="303133"/>
                      <w:spacing w:val="0"/>
                      <w:sz w:val="21"/>
                      <w:szCs w:val="21"/>
                      <w:shd w:val="clear" w:color="auto" w:fill="FFFFFF"/>
                      <w:lang w:eastAsia="zh-CN"/>
                    </w:rPr>
                    <w:t>”</w:t>
                  </w:r>
                  <w:r>
                    <w:rPr>
                      <w:rFonts w:hint="default" w:ascii="Times New Roman" w:hAnsi="Times New Roman" w:eastAsia="宋体" w:cs="Times New Roman"/>
                      <w:i w:val="0"/>
                      <w:iCs w:val="0"/>
                      <w:caps w:val="0"/>
                      <w:color w:val="303133"/>
                      <w:spacing w:val="0"/>
                      <w:sz w:val="21"/>
                      <w:szCs w:val="21"/>
                      <w:shd w:val="clear" w:color="auto" w:fill="FFFFFF"/>
                    </w:rPr>
                    <w:t>警示，一律限制生产或停产整治；对整治仍不能达到要求且情节严重的企业予以</w:t>
                  </w:r>
                  <w:r>
                    <w:rPr>
                      <w:rFonts w:hint="default" w:ascii="Times New Roman" w:hAnsi="Times New Roman" w:eastAsia="宋体" w:cs="Times New Roman"/>
                      <w:i w:val="0"/>
                      <w:iCs w:val="0"/>
                      <w:caps w:val="0"/>
                      <w:color w:val="303133"/>
                      <w:spacing w:val="0"/>
                      <w:sz w:val="21"/>
                      <w:szCs w:val="21"/>
                      <w:shd w:val="clear" w:color="auto" w:fill="FFFFFF"/>
                      <w:lang w:eastAsia="zh-CN"/>
                    </w:rPr>
                    <w:t>“</w:t>
                  </w:r>
                  <w:r>
                    <w:rPr>
                      <w:rFonts w:hint="default" w:ascii="Times New Roman" w:hAnsi="Times New Roman" w:eastAsia="宋体" w:cs="Times New Roman"/>
                      <w:i w:val="0"/>
                      <w:iCs w:val="0"/>
                      <w:caps w:val="0"/>
                      <w:color w:val="303133"/>
                      <w:spacing w:val="0"/>
                      <w:sz w:val="21"/>
                      <w:szCs w:val="21"/>
                      <w:shd w:val="clear" w:color="auto" w:fill="FFFFFF"/>
                    </w:rPr>
                    <w:t>红牌</w:t>
                  </w:r>
                  <w:r>
                    <w:rPr>
                      <w:rFonts w:hint="default" w:ascii="Times New Roman" w:hAnsi="Times New Roman" w:eastAsia="宋体" w:cs="Times New Roman"/>
                      <w:i w:val="0"/>
                      <w:iCs w:val="0"/>
                      <w:caps w:val="0"/>
                      <w:color w:val="303133"/>
                      <w:spacing w:val="0"/>
                      <w:sz w:val="21"/>
                      <w:szCs w:val="21"/>
                      <w:shd w:val="clear" w:color="auto" w:fill="FFFFFF"/>
                      <w:lang w:eastAsia="zh-CN"/>
                    </w:rPr>
                    <w:t>”</w:t>
                  </w:r>
                  <w:r>
                    <w:rPr>
                      <w:rFonts w:hint="default" w:ascii="Times New Roman" w:hAnsi="Times New Roman" w:eastAsia="宋体" w:cs="Times New Roman"/>
                      <w:i w:val="0"/>
                      <w:iCs w:val="0"/>
                      <w:caps w:val="0"/>
                      <w:color w:val="303133"/>
                      <w:spacing w:val="0"/>
                      <w:sz w:val="21"/>
                      <w:szCs w:val="21"/>
                      <w:shd w:val="clear" w:color="auto" w:fill="FFFFFF"/>
                    </w:rPr>
                    <w:t>处罚，一律停业、关闭。7开展经济技术开发区、高新技术产业开发区、出口加工区等工业集聚区水污染治理设施排查和污染治理，全面推行工业集聚区企业废水量、水污染物纳管总量双控制度。集聚区内工业废水必须经预处理达到集中处理要求，方可进入污水集中处理设施。水污染控制措施要求：1实行厂网一体化建设，推行厂网一体化管理。深入开展城镇污水处理提质增效行动，加快推进城市老旧小区和管网空白区污水管网建设，实施城市、县城市政污水管网更新修复。因地制宜，稳步推进城市初期雨水收集处理设施建设。现有源提标改造：2持续推进乡镇污水主管网、到户支管网建设和破损、混接管网整治，进一步提高污水收集率和污水进水浓度，强化专业化运维，提高乡镇污水处理设施运行稳定性。3加快推进城市老旧小区和管网空白区污水管网建设，实施城市、县城市政污水管网更新修复。加快推进城市污水再生利用设施建设，提高污水处理再生水利用率。其他污染物排放管控要求：4推进污泥处理处置。污水处理设施产生的污泥应进行稳定化、无害化和资源化处理处置，禁止处理处置不达标的污泥进入耕地。非法污泥堆放点一律予以取缔</w:t>
                  </w:r>
                  <w:r>
                    <w:rPr>
                      <w:rFonts w:hint="eastAsia" w:ascii="Times New Roman" w:hAnsi="Times New Roman" w:eastAsia="宋体" w:cs="Times New Roman"/>
                      <w:i w:val="0"/>
                      <w:iCs w:val="0"/>
                      <w:caps w:val="0"/>
                      <w:color w:val="303133"/>
                      <w:spacing w:val="0"/>
                      <w:sz w:val="21"/>
                      <w:szCs w:val="21"/>
                      <w:shd w:val="clear" w:color="auto" w:fill="FFFFFF"/>
                      <w:lang w:eastAsia="zh-CN"/>
                    </w:rPr>
                    <w:t>。</w:t>
                  </w:r>
                </w:p>
              </w:tc>
              <w:tc>
                <w:tcPr>
                  <w:tcW w:w="721" w:type="pct"/>
                  <w:tcBorders>
                    <w:tl2br w:val="nil"/>
                    <w:tr2bl w:val="nil"/>
                  </w:tcBorders>
                  <w:noWrap w:val="0"/>
                  <w:vAlign w:val="center"/>
                </w:tcPr>
                <w:p w14:paraId="1A15B60C">
                  <w:pPr>
                    <w:pStyle w:val="2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kern w:val="0"/>
                      <w:sz w:val="21"/>
                      <w:szCs w:val="21"/>
                      <w:lang w:val="en-US" w:eastAsia="zh-CN" w:bidi="ar"/>
                    </w:rPr>
                    <w:t>本项目建成后将按照环境主管部门核定的总量进行排污；项目不涉及总磷排放量替代；项目废水将排至皖江江南新兴产业集中区第一污水处理厂处理后排放</w:t>
                  </w:r>
                  <w:r>
                    <w:rPr>
                      <w:rFonts w:hint="eastAsia" w:ascii="Times New Roman" w:hAnsi="Times New Roman" w:eastAsia="宋体" w:cs="Times New Roman"/>
                      <w:color w:val="auto"/>
                      <w:kern w:val="0"/>
                      <w:sz w:val="21"/>
                      <w:szCs w:val="21"/>
                      <w:lang w:val="en-US" w:eastAsia="zh-CN" w:bidi="ar"/>
                    </w:rPr>
                    <w:t>。</w:t>
                  </w:r>
                </w:p>
              </w:tc>
              <w:tc>
                <w:tcPr>
                  <w:tcW w:w="308" w:type="pct"/>
                  <w:tcBorders>
                    <w:tl2br w:val="nil"/>
                    <w:tr2bl w:val="nil"/>
                  </w:tcBorders>
                  <w:noWrap w:val="0"/>
                  <w:vAlign w:val="center"/>
                </w:tcPr>
                <w:p w14:paraId="078A2DE7">
                  <w:pPr>
                    <w:pStyle w:val="2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符合</w:t>
                  </w:r>
                </w:p>
              </w:tc>
            </w:tr>
            <w:tr w14:paraId="227AD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1" w:type="pct"/>
                  <w:vMerge w:val="continue"/>
                  <w:tcBorders>
                    <w:tl2br w:val="nil"/>
                    <w:tr2bl w:val="nil"/>
                  </w:tcBorders>
                  <w:noWrap w:val="0"/>
                  <w:vAlign w:val="center"/>
                </w:tcPr>
                <w:p w14:paraId="544D1653">
                  <w:pPr>
                    <w:pStyle w:val="2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390" w:type="pct"/>
                  <w:tcBorders>
                    <w:tl2br w:val="nil"/>
                    <w:tr2bl w:val="nil"/>
                  </w:tcBorders>
                  <w:noWrap w:val="0"/>
                  <w:vAlign w:val="center"/>
                </w:tcPr>
                <w:p w14:paraId="55F20ED7">
                  <w:pPr>
                    <w:pStyle w:val="2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资源开发效率要求</w:t>
                  </w:r>
                </w:p>
              </w:tc>
              <w:tc>
                <w:tcPr>
                  <w:tcW w:w="3159" w:type="pct"/>
                  <w:tcBorders>
                    <w:tl2br w:val="nil"/>
                    <w:tr2bl w:val="nil"/>
                  </w:tcBorders>
                  <w:noWrap w:val="0"/>
                  <w:vAlign w:val="center"/>
                </w:tcPr>
                <w:p w14:paraId="2ECB0D6B">
                  <w:pPr>
                    <w:keepNext w:val="0"/>
                    <w:keepLines w:val="0"/>
                    <w:widowControl/>
                    <w:suppressLineNumbers w:val="0"/>
                    <w:spacing w:line="240" w:lineRule="auto"/>
                    <w:jc w:val="both"/>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aps w:val="0"/>
                      <w:color w:val="303133"/>
                      <w:spacing w:val="0"/>
                      <w:sz w:val="21"/>
                      <w:szCs w:val="21"/>
                      <w:shd w:val="clear" w:color="auto" w:fill="FFFFFF"/>
                    </w:rPr>
                    <w:t>连片风电项目建设，稳妥推进皖西南地区集中式风电项目建设，鼓励分散式风电商业模式创新。大力推进风光储一体化建设。加快建设一批抽水蓄能电站，打造千万千瓦级绿色储能基地。多元高效利用生物质能，推进农林生物质热电联产项目新建和供热改造，合理规划城镇生活垃圾焚烧发电项目，统筹布局生物燃料乙醇项目，适度发展先进生物质液体燃料。到2025年，非化石能源占能源消费总量比重达到15.5%以上。2推动煤电行业实施节能降耗改造、供热改造和灵活性改造</w:t>
                  </w:r>
                  <w:r>
                    <w:rPr>
                      <w:rFonts w:hint="default" w:ascii="Times New Roman" w:hAnsi="Times New Roman" w:eastAsia="宋体" w:cs="Times New Roman"/>
                      <w:i w:val="0"/>
                      <w:iCs w:val="0"/>
                      <w:caps w:val="0"/>
                      <w:color w:val="303133"/>
                      <w:spacing w:val="0"/>
                      <w:sz w:val="21"/>
                      <w:szCs w:val="21"/>
                      <w:shd w:val="clear" w:color="auto" w:fill="FFFFFF"/>
                      <w:lang w:eastAsia="zh-CN"/>
                    </w:rPr>
                    <w:t>“</w:t>
                  </w:r>
                  <w:r>
                    <w:rPr>
                      <w:rFonts w:hint="default" w:ascii="Times New Roman" w:hAnsi="Times New Roman" w:eastAsia="宋体" w:cs="Times New Roman"/>
                      <w:i w:val="0"/>
                      <w:iCs w:val="0"/>
                      <w:caps w:val="0"/>
                      <w:color w:val="303133"/>
                      <w:spacing w:val="0"/>
                      <w:sz w:val="21"/>
                      <w:szCs w:val="21"/>
                      <w:shd w:val="clear" w:color="auto" w:fill="FFFFFF"/>
                    </w:rPr>
                    <w:t>三改联动</w:t>
                  </w:r>
                  <w:r>
                    <w:rPr>
                      <w:rFonts w:hint="default" w:ascii="Times New Roman" w:hAnsi="Times New Roman" w:eastAsia="宋体" w:cs="Times New Roman"/>
                      <w:i w:val="0"/>
                      <w:iCs w:val="0"/>
                      <w:caps w:val="0"/>
                      <w:color w:val="303133"/>
                      <w:spacing w:val="0"/>
                      <w:sz w:val="21"/>
                      <w:szCs w:val="21"/>
                      <w:shd w:val="clear" w:color="auto" w:fill="FFFFFF"/>
                      <w:lang w:eastAsia="zh-CN"/>
                    </w:rPr>
                    <w:t>”</w:t>
                  </w:r>
                  <w:r>
                    <w:rPr>
                      <w:rFonts w:hint="default" w:ascii="Times New Roman" w:hAnsi="Times New Roman" w:eastAsia="宋体" w:cs="Times New Roman"/>
                      <w:i w:val="0"/>
                      <w:iCs w:val="0"/>
                      <w:caps w:val="0"/>
                      <w:color w:val="303133"/>
                      <w:spacing w:val="0"/>
                      <w:sz w:val="21"/>
                      <w:szCs w:val="21"/>
                      <w:shd w:val="clear" w:color="auto" w:fill="FFFFFF"/>
                    </w:rPr>
                    <w:t>。加快供热管网建设，淘汰管网覆盖范围内的燃煤锅炉和散煤。到2025年，火电平均供电煤耗降至295克标煤/千瓦时，散煤基本清零。3实施</w:t>
                  </w:r>
                  <w:r>
                    <w:rPr>
                      <w:rFonts w:hint="default" w:ascii="Times New Roman" w:hAnsi="Times New Roman" w:eastAsia="宋体" w:cs="Times New Roman"/>
                      <w:i w:val="0"/>
                      <w:iCs w:val="0"/>
                      <w:caps w:val="0"/>
                      <w:color w:val="303133"/>
                      <w:spacing w:val="0"/>
                      <w:sz w:val="21"/>
                      <w:szCs w:val="21"/>
                      <w:shd w:val="clear" w:color="auto" w:fill="FFFFFF"/>
                      <w:lang w:eastAsia="zh-CN"/>
                    </w:rPr>
                    <w:t>“</w:t>
                  </w:r>
                  <w:r>
                    <w:rPr>
                      <w:rFonts w:hint="default" w:ascii="Times New Roman" w:hAnsi="Times New Roman" w:eastAsia="宋体" w:cs="Times New Roman"/>
                      <w:i w:val="0"/>
                      <w:iCs w:val="0"/>
                      <w:caps w:val="0"/>
                      <w:color w:val="303133"/>
                      <w:spacing w:val="0"/>
                      <w:sz w:val="21"/>
                      <w:szCs w:val="21"/>
                      <w:shd w:val="clear" w:color="auto" w:fill="FFFFFF"/>
                    </w:rPr>
                    <w:t>煤改气</w:t>
                  </w:r>
                  <w:r>
                    <w:rPr>
                      <w:rFonts w:hint="default" w:ascii="Times New Roman" w:hAnsi="Times New Roman" w:eastAsia="宋体" w:cs="Times New Roman"/>
                      <w:i w:val="0"/>
                      <w:iCs w:val="0"/>
                      <w:caps w:val="0"/>
                      <w:color w:val="303133"/>
                      <w:spacing w:val="0"/>
                      <w:sz w:val="21"/>
                      <w:szCs w:val="21"/>
                      <w:shd w:val="clear" w:color="auto" w:fill="FFFFFF"/>
                      <w:lang w:eastAsia="zh-CN"/>
                    </w:rPr>
                    <w:t>”</w:t>
                  </w:r>
                  <w:r>
                    <w:rPr>
                      <w:rFonts w:hint="default" w:ascii="Times New Roman" w:hAnsi="Times New Roman" w:eastAsia="宋体" w:cs="Times New Roman"/>
                      <w:i w:val="0"/>
                      <w:iCs w:val="0"/>
                      <w:caps w:val="0"/>
                      <w:color w:val="303133"/>
                      <w:spacing w:val="0"/>
                      <w:sz w:val="21"/>
                      <w:szCs w:val="21"/>
                      <w:shd w:val="clear" w:color="auto" w:fill="FFFFFF"/>
                    </w:rPr>
                    <w:t>和</w:t>
                  </w:r>
                  <w:r>
                    <w:rPr>
                      <w:rFonts w:hint="default" w:ascii="Times New Roman" w:hAnsi="Times New Roman" w:eastAsia="宋体" w:cs="Times New Roman"/>
                      <w:i w:val="0"/>
                      <w:iCs w:val="0"/>
                      <w:caps w:val="0"/>
                      <w:color w:val="303133"/>
                      <w:spacing w:val="0"/>
                      <w:sz w:val="21"/>
                      <w:szCs w:val="21"/>
                      <w:shd w:val="clear" w:color="auto" w:fill="FFFFFF"/>
                      <w:lang w:eastAsia="zh-CN"/>
                    </w:rPr>
                    <w:t>“</w:t>
                  </w:r>
                  <w:r>
                    <w:rPr>
                      <w:rFonts w:hint="default" w:ascii="Times New Roman" w:hAnsi="Times New Roman" w:eastAsia="宋体" w:cs="Times New Roman"/>
                      <w:i w:val="0"/>
                      <w:iCs w:val="0"/>
                      <w:caps w:val="0"/>
                      <w:color w:val="303133"/>
                      <w:spacing w:val="0"/>
                      <w:sz w:val="21"/>
                      <w:szCs w:val="21"/>
                      <w:shd w:val="clear" w:color="auto" w:fill="FFFFFF"/>
                    </w:rPr>
                    <w:t>以电代煤</w:t>
                  </w:r>
                  <w:r>
                    <w:rPr>
                      <w:rFonts w:hint="default" w:ascii="Times New Roman" w:hAnsi="Times New Roman" w:eastAsia="宋体" w:cs="Times New Roman"/>
                      <w:i w:val="0"/>
                      <w:iCs w:val="0"/>
                      <w:caps w:val="0"/>
                      <w:color w:val="303133"/>
                      <w:spacing w:val="0"/>
                      <w:sz w:val="21"/>
                      <w:szCs w:val="21"/>
                      <w:shd w:val="clear" w:color="auto" w:fill="FFFFFF"/>
                      <w:lang w:eastAsia="zh-CN"/>
                    </w:rPr>
                    <w:t>”</w:t>
                  </w:r>
                  <w:r>
                    <w:rPr>
                      <w:rFonts w:hint="default" w:ascii="Times New Roman" w:hAnsi="Times New Roman" w:eastAsia="宋体" w:cs="Times New Roman"/>
                      <w:i w:val="0"/>
                      <w:iCs w:val="0"/>
                      <w:caps w:val="0"/>
                      <w:color w:val="303133"/>
                      <w:spacing w:val="0"/>
                      <w:sz w:val="21"/>
                      <w:szCs w:val="21"/>
                      <w:shd w:val="clear" w:color="auto" w:fill="FFFFFF"/>
                    </w:rPr>
                    <w:t>。在陶瓷、玻璃、铸造等行业积极推进天然气替代煤气化工程，有序实施燃煤设施煤改气。结合区域和行业用能特点，积极推进工业生产、建筑供暖供冷、交通运输、农业生产、居民生活五大领域实施</w:t>
                  </w:r>
                  <w:r>
                    <w:rPr>
                      <w:rFonts w:hint="default" w:ascii="Times New Roman" w:hAnsi="Times New Roman" w:eastAsia="宋体" w:cs="Times New Roman"/>
                      <w:i w:val="0"/>
                      <w:iCs w:val="0"/>
                      <w:caps w:val="0"/>
                      <w:color w:val="303133"/>
                      <w:spacing w:val="0"/>
                      <w:sz w:val="21"/>
                      <w:szCs w:val="21"/>
                      <w:shd w:val="clear" w:color="auto" w:fill="FFFFFF"/>
                      <w:lang w:eastAsia="zh-CN"/>
                    </w:rPr>
                    <w:t>“</w:t>
                  </w:r>
                  <w:r>
                    <w:rPr>
                      <w:rFonts w:hint="default" w:ascii="Times New Roman" w:hAnsi="Times New Roman" w:eastAsia="宋体" w:cs="Times New Roman"/>
                      <w:i w:val="0"/>
                      <w:iCs w:val="0"/>
                      <w:caps w:val="0"/>
                      <w:color w:val="303133"/>
                      <w:spacing w:val="0"/>
                      <w:sz w:val="21"/>
                      <w:szCs w:val="21"/>
                      <w:shd w:val="clear" w:color="auto" w:fill="FFFFFF"/>
                    </w:rPr>
                    <w:t>以电代煤</w:t>
                  </w:r>
                  <w:r>
                    <w:rPr>
                      <w:rFonts w:hint="default" w:ascii="Times New Roman" w:hAnsi="Times New Roman" w:eastAsia="宋体" w:cs="Times New Roman"/>
                      <w:i w:val="0"/>
                      <w:iCs w:val="0"/>
                      <w:caps w:val="0"/>
                      <w:color w:val="303133"/>
                      <w:spacing w:val="0"/>
                      <w:sz w:val="21"/>
                      <w:szCs w:val="21"/>
                      <w:shd w:val="clear" w:color="auto" w:fill="FFFFFF"/>
                      <w:lang w:eastAsia="zh-CN"/>
                    </w:rPr>
                    <w:t>”</w:t>
                  </w:r>
                  <w:r>
                    <w:rPr>
                      <w:rFonts w:hint="default" w:ascii="Times New Roman" w:hAnsi="Times New Roman" w:eastAsia="宋体" w:cs="Times New Roman"/>
                      <w:i w:val="0"/>
                      <w:iCs w:val="0"/>
                      <w:caps w:val="0"/>
                      <w:color w:val="303133"/>
                      <w:spacing w:val="0"/>
                      <w:sz w:val="21"/>
                      <w:szCs w:val="21"/>
                      <w:shd w:val="clear" w:color="auto" w:fill="FFFFFF"/>
                    </w:rPr>
                    <w:t>，着力提高电能占终端能源消费比重。4推动光伏发电规模化发展，充分利用荒山荒坡、采煤沉陷区等未利用空间，建设集中式光伏电站。加快工业园区、公共建筑、居民住宅等屋顶光伏建设，有序推动国家整县（市、区）屋顶分布式光伏开发试点，因地制宜推进</w:t>
                  </w:r>
                  <w:r>
                    <w:rPr>
                      <w:rFonts w:hint="default" w:ascii="Times New Roman" w:hAnsi="Times New Roman" w:eastAsia="宋体" w:cs="Times New Roman"/>
                      <w:i w:val="0"/>
                      <w:iCs w:val="0"/>
                      <w:caps w:val="0"/>
                      <w:color w:val="303133"/>
                      <w:spacing w:val="0"/>
                      <w:sz w:val="21"/>
                      <w:szCs w:val="21"/>
                      <w:shd w:val="clear" w:color="auto" w:fill="FFFFFF"/>
                      <w:lang w:eastAsia="zh-CN"/>
                    </w:rPr>
                    <w:t>“</w:t>
                  </w:r>
                  <w:r>
                    <w:rPr>
                      <w:rFonts w:hint="default" w:ascii="Times New Roman" w:hAnsi="Times New Roman" w:eastAsia="宋体" w:cs="Times New Roman"/>
                      <w:i w:val="0"/>
                      <w:iCs w:val="0"/>
                      <w:caps w:val="0"/>
                      <w:color w:val="303133"/>
                      <w:spacing w:val="0"/>
                      <w:sz w:val="21"/>
                      <w:szCs w:val="21"/>
                      <w:shd w:val="clear" w:color="auto" w:fill="FFFFFF"/>
                    </w:rPr>
                    <w:t>光伏+</w:t>
                  </w:r>
                  <w:r>
                    <w:rPr>
                      <w:rFonts w:hint="default" w:ascii="Times New Roman" w:hAnsi="Times New Roman" w:eastAsia="宋体" w:cs="Times New Roman"/>
                      <w:i w:val="0"/>
                      <w:iCs w:val="0"/>
                      <w:caps w:val="0"/>
                      <w:color w:val="303133"/>
                      <w:spacing w:val="0"/>
                      <w:sz w:val="21"/>
                      <w:szCs w:val="21"/>
                      <w:shd w:val="clear" w:color="auto" w:fill="FFFFFF"/>
                      <w:lang w:eastAsia="zh-CN"/>
                    </w:rPr>
                    <w:t>”</w:t>
                  </w:r>
                  <w:r>
                    <w:rPr>
                      <w:rFonts w:hint="default" w:ascii="Times New Roman" w:hAnsi="Times New Roman" w:eastAsia="宋体" w:cs="Times New Roman"/>
                      <w:i w:val="0"/>
                      <w:iCs w:val="0"/>
                      <w:caps w:val="0"/>
                      <w:color w:val="303133"/>
                      <w:spacing w:val="0"/>
                      <w:sz w:val="21"/>
                      <w:szCs w:val="21"/>
                      <w:shd w:val="clear" w:color="auto" w:fill="FFFFFF"/>
                    </w:rPr>
                    <w:t>项目。5积极开发风电资源，在皖北平原、皖西南地区建设集中连片风电，持续推进就近接入、就地消纳的分散式风电建设。6大力推广新能源汽车，推动城市公共服务车辆、政府公务用车新能源或清洁能源替代</w:t>
                  </w:r>
                  <w:r>
                    <w:rPr>
                      <w:rFonts w:hint="eastAsia" w:ascii="Times New Roman" w:hAnsi="Times New Roman" w:eastAsia="宋体" w:cs="Times New Roman"/>
                      <w:i w:val="0"/>
                      <w:iCs w:val="0"/>
                      <w:caps w:val="0"/>
                      <w:color w:val="303133"/>
                      <w:spacing w:val="0"/>
                      <w:sz w:val="21"/>
                      <w:szCs w:val="21"/>
                      <w:shd w:val="clear" w:color="auto" w:fill="FFFFFF"/>
                      <w:lang w:eastAsia="zh-CN"/>
                    </w:rPr>
                    <w:t>。</w:t>
                  </w:r>
                </w:p>
              </w:tc>
              <w:tc>
                <w:tcPr>
                  <w:tcW w:w="721" w:type="pct"/>
                  <w:tcBorders>
                    <w:tl2br w:val="nil"/>
                    <w:tr2bl w:val="nil"/>
                  </w:tcBorders>
                  <w:noWrap w:val="0"/>
                  <w:vAlign w:val="center"/>
                </w:tcPr>
                <w:p w14:paraId="057C4B1F">
                  <w:pPr>
                    <w:pStyle w:val="2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本项目项目供水、供电依托园区管网，资源用量相较于园区总量较低，同时项目废水经处理后达标排放</w:t>
                  </w:r>
                  <w:r>
                    <w:rPr>
                      <w:rFonts w:hint="eastAsia" w:ascii="Times New Roman" w:hAnsi="Times New Roman" w:eastAsia="宋体" w:cs="Times New Roman"/>
                      <w:color w:val="auto"/>
                      <w:sz w:val="21"/>
                      <w:szCs w:val="21"/>
                      <w:vertAlign w:val="baseline"/>
                      <w:lang w:val="en-US" w:eastAsia="zh-CN"/>
                    </w:rPr>
                    <w:t>。</w:t>
                  </w:r>
                </w:p>
              </w:tc>
              <w:tc>
                <w:tcPr>
                  <w:tcW w:w="308" w:type="pct"/>
                  <w:tcBorders>
                    <w:tl2br w:val="nil"/>
                    <w:tr2bl w:val="nil"/>
                  </w:tcBorders>
                  <w:noWrap w:val="0"/>
                  <w:vAlign w:val="center"/>
                </w:tcPr>
                <w:p w14:paraId="5AFC4468">
                  <w:pPr>
                    <w:pStyle w:val="2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符合</w:t>
                  </w:r>
                </w:p>
              </w:tc>
            </w:tr>
          </w:tbl>
          <w:p w14:paraId="2CA27956">
            <w:pPr>
              <w:spacing w:line="360" w:lineRule="auto"/>
              <w:ind w:firstLine="480" w:firstLineChars="200"/>
              <w:jc w:val="both"/>
              <w:rPr>
                <w:rFonts w:hint="eastAsia" w:ascii="Times New Roman" w:hAnsi="Times New Roman" w:eastAsia="宋体" w:cs="Times New Roman"/>
                <w:b w:val="0"/>
                <w:bCs w:val="0"/>
                <w:sz w:val="24"/>
                <w:szCs w:val="24"/>
                <w:vertAlign w:val="baseline"/>
                <w:lang w:val="en-US" w:eastAsia="zh-CN"/>
              </w:rPr>
            </w:pPr>
            <w:r>
              <w:rPr>
                <w:rFonts w:hint="eastAsia" w:ascii="Times New Roman" w:hAnsi="Times New Roman" w:eastAsia="宋体" w:cs="Times New Roman"/>
                <w:b w:val="0"/>
                <w:bCs w:val="0"/>
                <w:sz w:val="24"/>
                <w:szCs w:val="24"/>
                <w:vertAlign w:val="baseline"/>
                <w:lang w:val="en-US" w:eastAsia="zh-CN"/>
              </w:rPr>
              <w:t>经对照本项目满足该区域满足重点管控单元相关要求。</w:t>
            </w:r>
          </w:p>
          <w:p w14:paraId="55B8B39F">
            <w:pPr>
              <w:spacing w:line="360" w:lineRule="auto"/>
              <w:ind w:firstLine="480" w:firstLineChars="200"/>
              <w:jc w:val="both"/>
              <w:rPr>
                <w:rFonts w:hint="eastAsia" w:ascii="Times New Roman" w:hAnsi="Times New Roman" w:eastAsia="宋体" w:cs="Times New Roman"/>
                <w:b w:val="0"/>
                <w:bCs w:val="0"/>
                <w:sz w:val="24"/>
                <w:szCs w:val="24"/>
                <w:vertAlign w:val="baseline"/>
                <w:lang w:val="en-US" w:eastAsia="zh-CN"/>
              </w:rPr>
            </w:pPr>
            <w:r>
              <w:rPr>
                <w:rFonts w:hint="eastAsia" w:ascii="Times New Roman" w:hAnsi="Times New Roman" w:eastAsia="宋体" w:cs="Times New Roman"/>
                <w:b w:val="0"/>
                <w:bCs w:val="0"/>
                <w:sz w:val="24"/>
                <w:szCs w:val="24"/>
                <w:vertAlign w:val="baseline"/>
                <w:lang w:val="en-US" w:eastAsia="zh-CN"/>
              </w:rPr>
              <w:t>综上所述，本项目建设符合生态保护红线要求；符合环境质量底线要求；符合资源利用上线要求；符合池州市“三线一单”分区管控的要求；项目符合“三线一单”管理要求。</w:t>
            </w:r>
          </w:p>
          <w:p w14:paraId="0824A3FA">
            <w:pPr>
              <w:spacing w:line="360" w:lineRule="auto"/>
              <w:ind w:firstLine="480" w:firstLineChars="200"/>
              <w:jc w:val="both"/>
              <w:rPr>
                <w:rFonts w:hint="eastAsia" w:ascii="Times New Roman" w:hAnsi="Times New Roman" w:eastAsia="宋体" w:cs="Times New Roman"/>
                <w:b w:val="0"/>
                <w:bCs w:val="0"/>
                <w:sz w:val="24"/>
                <w:szCs w:val="24"/>
                <w:vertAlign w:val="baseline"/>
                <w:lang w:val="en-US" w:eastAsia="zh-CN"/>
              </w:rPr>
            </w:pPr>
          </w:p>
          <w:p w14:paraId="6883548A">
            <w:pPr>
              <w:spacing w:line="360" w:lineRule="auto"/>
              <w:ind w:firstLine="480" w:firstLineChars="200"/>
              <w:jc w:val="both"/>
              <w:rPr>
                <w:rFonts w:hint="eastAsia" w:ascii="Times New Roman" w:hAnsi="Times New Roman" w:eastAsia="宋体" w:cs="Times New Roman"/>
                <w:b w:val="0"/>
                <w:bCs w:val="0"/>
                <w:sz w:val="24"/>
                <w:szCs w:val="24"/>
                <w:vertAlign w:val="baseline"/>
                <w:lang w:val="en-US" w:eastAsia="zh-CN"/>
              </w:rPr>
            </w:pPr>
          </w:p>
          <w:p w14:paraId="0D1ED1CF">
            <w:pPr>
              <w:spacing w:line="360" w:lineRule="auto"/>
              <w:ind w:firstLine="480" w:firstLineChars="200"/>
              <w:jc w:val="both"/>
              <w:rPr>
                <w:rFonts w:hint="eastAsia" w:ascii="Times New Roman" w:hAnsi="Times New Roman" w:eastAsia="宋体" w:cs="Times New Roman"/>
                <w:b w:val="0"/>
                <w:bCs w:val="0"/>
                <w:sz w:val="24"/>
                <w:szCs w:val="24"/>
                <w:vertAlign w:val="baseline"/>
                <w:lang w:val="en-US" w:eastAsia="zh-CN"/>
              </w:rPr>
            </w:pPr>
          </w:p>
          <w:p w14:paraId="6249E088">
            <w:pPr>
              <w:spacing w:line="360" w:lineRule="auto"/>
              <w:ind w:firstLine="480" w:firstLineChars="200"/>
              <w:jc w:val="both"/>
              <w:rPr>
                <w:rFonts w:hint="eastAsia" w:ascii="Times New Roman" w:hAnsi="Times New Roman" w:eastAsia="宋体" w:cs="Times New Roman"/>
                <w:b w:val="0"/>
                <w:bCs w:val="0"/>
                <w:sz w:val="24"/>
                <w:szCs w:val="24"/>
                <w:vertAlign w:val="baseline"/>
                <w:lang w:val="en-US" w:eastAsia="zh-CN"/>
              </w:rPr>
            </w:pPr>
          </w:p>
          <w:p w14:paraId="6BE8B8A7">
            <w:pPr>
              <w:spacing w:line="360" w:lineRule="auto"/>
              <w:ind w:firstLine="480" w:firstLineChars="200"/>
              <w:jc w:val="both"/>
              <w:rPr>
                <w:rFonts w:hint="eastAsia" w:ascii="Times New Roman" w:hAnsi="Times New Roman" w:eastAsia="宋体" w:cs="Times New Roman"/>
                <w:b w:val="0"/>
                <w:bCs w:val="0"/>
                <w:sz w:val="24"/>
                <w:szCs w:val="24"/>
                <w:vertAlign w:val="baseline"/>
                <w:lang w:val="en-US" w:eastAsia="zh-CN"/>
              </w:rPr>
            </w:pPr>
          </w:p>
          <w:p w14:paraId="7AF509A5">
            <w:pPr>
              <w:spacing w:line="360" w:lineRule="auto"/>
              <w:ind w:firstLine="480" w:firstLineChars="200"/>
              <w:jc w:val="both"/>
              <w:rPr>
                <w:rFonts w:hint="eastAsia" w:ascii="Times New Roman" w:hAnsi="Times New Roman" w:eastAsia="宋体" w:cs="Times New Roman"/>
                <w:b w:val="0"/>
                <w:bCs w:val="0"/>
                <w:sz w:val="24"/>
                <w:szCs w:val="24"/>
                <w:vertAlign w:val="baseline"/>
                <w:lang w:val="en-US" w:eastAsia="zh-CN"/>
              </w:rPr>
            </w:pPr>
          </w:p>
          <w:p w14:paraId="1225EF83">
            <w:pPr>
              <w:spacing w:line="360" w:lineRule="auto"/>
              <w:ind w:firstLine="480" w:firstLineChars="200"/>
              <w:jc w:val="both"/>
              <w:rPr>
                <w:rFonts w:hint="eastAsia" w:ascii="Times New Roman" w:hAnsi="Times New Roman" w:eastAsia="宋体" w:cs="Times New Roman"/>
                <w:b w:val="0"/>
                <w:bCs w:val="0"/>
                <w:sz w:val="24"/>
                <w:szCs w:val="24"/>
                <w:vertAlign w:val="baseline"/>
                <w:lang w:val="en-US" w:eastAsia="zh-CN"/>
              </w:rPr>
            </w:pPr>
          </w:p>
          <w:p w14:paraId="187D71A5">
            <w:pPr>
              <w:spacing w:line="360" w:lineRule="auto"/>
              <w:ind w:firstLine="480" w:firstLineChars="200"/>
              <w:jc w:val="both"/>
              <w:rPr>
                <w:rFonts w:hint="eastAsia" w:ascii="Times New Roman" w:hAnsi="Times New Roman" w:eastAsia="宋体" w:cs="Times New Roman"/>
                <w:b w:val="0"/>
                <w:bCs w:val="0"/>
                <w:sz w:val="24"/>
                <w:szCs w:val="24"/>
                <w:vertAlign w:val="baseline"/>
                <w:lang w:val="en-US" w:eastAsia="zh-CN"/>
              </w:rPr>
            </w:pPr>
          </w:p>
          <w:p w14:paraId="5B7D5F99">
            <w:pPr>
              <w:spacing w:line="360" w:lineRule="auto"/>
              <w:ind w:firstLine="480" w:firstLineChars="200"/>
              <w:jc w:val="both"/>
              <w:rPr>
                <w:rFonts w:hint="eastAsia" w:ascii="Times New Roman" w:hAnsi="Times New Roman" w:eastAsia="宋体" w:cs="Times New Roman"/>
                <w:b w:val="0"/>
                <w:bCs w:val="0"/>
                <w:sz w:val="24"/>
                <w:szCs w:val="24"/>
                <w:vertAlign w:val="baseline"/>
                <w:lang w:val="en-US" w:eastAsia="zh-CN"/>
              </w:rPr>
            </w:pPr>
          </w:p>
          <w:p w14:paraId="4F9494BB">
            <w:pPr>
              <w:spacing w:line="360" w:lineRule="auto"/>
              <w:ind w:firstLine="480" w:firstLineChars="200"/>
              <w:jc w:val="both"/>
              <w:rPr>
                <w:rFonts w:hint="eastAsia" w:ascii="Times New Roman" w:hAnsi="Times New Roman" w:eastAsia="宋体" w:cs="Times New Roman"/>
                <w:b w:val="0"/>
                <w:bCs w:val="0"/>
                <w:sz w:val="24"/>
                <w:szCs w:val="24"/>
                <w:vertAlign w:val="baseline"/>
                <w:lang w:val="en-US" w:eastAsia="zh-CN"/>
              </w:rPr>
            </w:pPr>
          </w:p>
          <w:p w14:paraId="0EA0D28B">
            <w:pPr>
              <w:spacing w:line="360" w:lineRule="auto"/>
              <w:jc w:val="both"/>
              <w:rPr>
                <w:rFonts w:hint="default" w:ascii="Times New Roman" w:hAnsi="Times New Roman" w:eastAsia="宋体" w:cs="Times New Roman"/>
                <w:b/>
                <w:bCs/>
                <w:sz w:val="28"/>
                <w:szCs w:val="28"/>
                <w:vertAlign w:val="baseline"/>
                <w:lang w:val="en-US" w:eastAsia="zh-CN"/>
              </w:rPr>
            </w:pPr>
          </w:p>
        </w:tc>
      </w:tr>
    </w:tbl>
    <w:p w14:paraId="7771CC68">
      <w:pPr>
        <w:spacing w:line="480" w:lineRule="auto"/>
        <w:jc w:val="left"/>
        <w:rPr>
          <w:rFonts w:hint="eastAsia" w:ascii="Times New Roman" w:hAnsi="Times New Roman" w:eastAsia="宋体" w:cs="Times New Roman"/>
          <w:b/>
          <w:bCs/>
          <w:sz w:val="28"/>
          <w:szCs w:val="28"/>
        </w:rPr>
        <w:sectPr>
          <w:footerReference r:id="rId4" w:type="default"/>
          <w:pgSz w:w="16838" w:h="11906" w:orient="landscape"/>
          <w:pgMar w:top="1417" w:right="1417" w:bottom="1417" w:left="1417" w:header="851" w:footer="992" w:gutter="0"/>
          <w:pgNumType w:fmt="decimal" w:start="12"/>
          <w:cols w:space="425" w:num="1"/>
          <w:docGrid w:type="lines" w:linePitch="312" w:charSpace="0"/>
        </w:sectPr>
      </w:pP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8419"/>
      </w:tblGrid>
      <w:tr w14:paraId="64E51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5" w:hRule="atLeast"/>
        </w:trPr>
        <w:tc>
          <w:tcPr>
            <w:tcW w:w="467" w:type="pct"/>
          </w:tcPr>
          <w:p w14:paraId="21725146">
            <w:pPr>
              <w:spacing w:line="480" w:lineRule="auto"/>
              <w:jc w:val="left"/>
              <w:rPr>
                <w:rFonts w:hint="default" w:ascii="Times New Roman" w:hAnsi="Times New Roman" w:eastAsia="宋体" w:cs="Times New Roman"/>
                <w:b w:val="0"/>
                <w:bCs w:val="0"/>
                <w:sz w:val="24"/>
                <w:szCs w:val="24"/>
                <w:vertAlign w:val="baseline"/>
              </w:rPr>
            </w:pPr>
          </w:p>
        </w:tc>
        <w:tc>
          <w:tcPr>
            <w:tcW w:w="4532" w:type="pct"/>
          </w:tcPr>
          <w:p w14:paraId="1F8A52BC">
            <w:pPr>
              <w:pStyle w:val="21"/>
              <w:keepNext w:val="0"/>
              <w:keepLines w:val="0"/>
              <w:pageBreakBefore w:val="0"/>
              <w:widowControl w:val="0"/>
              <w:shd w:val="clear"/>
              <w:kinsoku/>
              <w:wordWrap/>
              <w:overflowPunct/>
              <w:topLinePunct w:val="0"/>
              <w:autoSpaceDE/>
              <w:autoSpaceDN/>
              <w:bidi w:val="0"/>
              <w:snapToGrid/>
              <w:spacing w:after="0" w:line="360" w:lineRule="auto"/>
              <w:textAlignment w:val="auto"/>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b/>
                <w:bCs/>
                <w:sz w:val="24"/>
                <w:lang w:val="en-US" w:eastAsia="zh-CN"/>
              </w:rPr>
              <w:t>4</w:t>
            </w:r>
            <w:r>
              <w:rPr>
                <w:rFonts w:hint="default" w:ascii="Times New Roman" w:hAnsi="Times New Roman" w:eastAsia="宋体" w:cs="Times New Roman"/>
                <w:b/>
                <w:bCs/>
                <w:sz w:val="24"/>
                <w:lang w:val="en-US" w:eastAsia="zh-CN"/>
              </w:rPr>
              <w:t>、</w:t>
            </w:r>
            <w:r>
              <w:rPr>
                <w:rFonts w:hint="default" w:ascii="Times New Roman" w:hAnsi="Times New Roman" w:eastAsia="宋体" w:cs="Times New Roman"/>
                <w:b/>
                <w:bCs/>
                <w:sz w:val="24"/>
              </w:rPr>
              <w:t>与</w:t>
            </w:r>
            <w:r>
              <w:rPr>
                <w:rFonts w:hint="default" w:ascii="Times New Roman" w:hAnsi="Times New Roman" w:eastAsia="宋体" w:cs="Times New Roman"/>
                <w:b/>
                <w:bCs/>
                <w:sz w:val="24"/>
                <w:lang w:eastAsia="zh-CN"/>
              </w:rPr>
              <w:t>《长江经济带生态环境保护规划》</w:t>
            </w:r>
            <w:r>
              <w:rPr>
                <w:rFonts w:hint="default" w:ascii="Times New Roman" w:hAnsi="Times New Roman" w:eastAsia="宋体" w:cs="Times New Roman"/>
                <w:b/>
                <w:bCs/>
                <w:sz w:val="24"/>
              </w:rPr>
              <w:t>符合性分析</w:t>
            </w:r>
          </w:p>
          <w:p w14:paraId="51596072">
            <w:pPr>
              <w:keepNext w:val="0"/>
              <w:keepLines w:val="0"/>
              <w:pageBreakBefore w:val="0"/>
              <w:widowControl w:val="0"/>
              <w:shd w:val="clear"/>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2017年7月13日，环境保护部、发展改革委、水利部联合印发了《长江经济带生态环境保护规划》（环规财（2017）88号），《长江经济带生态环境保护规划》提出实行负面清单管理。即：“长江沿线一切经济活动都要以不破坏生态环境为前提，抓紧制定产业准入负面清单，明确空间准入和环境准入的清单式管理要求。提出长江沿线限制开发和禁止开发的岸线、河段、区域、产业以及相关管理措施。不符合要求占用岸线、河段、土地和布局的产业，必须无条件退出。除在建项目外，严禁在干流及主要支流岸线1公里范围内布局新建重化工园区，严控在中上游沿岸地区新建石油化工和煤化工项目。严控下游高污染、高排放企业向上游转移。”</w:t>
            </w:r>
          </w:p>
          <w:p w14:paraId="187FCB76">
            <w:pPr>
              <w:pStyle w:val="21"/>
              <w:keepNext w:val="0"/>
              <w:keepLines w:val="0"/>
              <w:pageBreakBefore w:val="0"/>
              <w:widowControl w:val="0"/>
              <w:shd w:val="clear"/>
              <w:kinsoku/>
              <w:wordWrap/>
              <w:overflowPunct/>
              <w:topLinePunct w:val="0"/>
              <w:autoSpaceDE/>
              <w:autoSpaceDN/>
              <w:bidi w:val="0"/>
              <w:snapToGrid/>
              <w:spacing w:after="0"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highlight w:val="none"/>
                <w:lang w:val="en-US" w:eastAsia="zh-CN"/>
              </w:rPr>
              <w:t>本项目位于安徽省池州市江南产业集中区皖能电子信息产业园5幢4层，距离长江干流岸线约</w:t>
            </w:r>
            <w:r>
              <w:rPr>
                <w:rFonts w:hint="eastAsia" w:ascii="Times New Roman" w:hAnsi="Times New Roman" w:eastAsia="宋体" w:cs="Times New Roman"/>
                <w:color w:val="auto"/>
                <w:sz w:val="24"/>
                <w:highlight w:val="none"/>
                <w:lang w:val="en-US" w:eastAsia="zh-CN"/>
              </w:rPr>
              <w:t>1120</w:t>
            </w:r>
            <w:r>
              <w:rPr>
                <w:rFonts w:hint="default" w:ascii="Times New Roman" w:hAnsi="Times New Roman" w:eastAsia="宋体" w:cs="Times New Roman"/>
                <w:color w:val="auto"/>
                <w:sz w:val="24"/>
                <w:highlight w:val="none"/>
                <w:lang w:val="en-US" w:eastAsia="zh-CN"/>
              </w:rPr>
              <w:t>m，本项目为C3914工业控制计算机及系统制造，</w:t>
            </w:r>
            <w:r>
              <w:rPr>
                <w:rFonts w:hint="default" w:ascii="Times New Roman" w:hAnsi="Times New Roman" w:eastAsia="宋体" w:cs="Times New Roman"/>
                <w:color w:val="auto"/>
                <w:sz w:val="24"/>
                <w:lang w:val="en-US" w:eastAsia="zh-CN"/>
              </w:rPr>
              <w:t>不属于石油化工和煤化工项目，不属于高污染和高排放企业。综上，项目符合《长江经济带生态环境保护规划》要求。</w:t>
            </w:r>
          </w:p>
          <w:p w14:paraId="5D5430BA">
            <w:pPr>
              <w:pStyle w:val="21"/>
              <w:keepNext w:val="0"/>
              <w:keepLines w:val="0"/>
              <w:pageBreakBefore w:val="0"/>
              <w:widowControl w:val="0"/>
              <w:shd w:val="clear"/>
              <w:kinsoku/>
              <w:wordWrap/>
              <w:overflowPunct/>
              <w:topLinePunct w:val="0"/>
              <w:autoSpaceDE/>
              <w:autoSpaceDN/>
              <w:bidi w:val="0"/>
              <w:snapToGrid/>
              <w:spacing w:after="0" w:line="360" w:lineRule="auto"/>
              <w:textAlignment w:val="auto"/>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b/>
                <w:bCs/>
                <w:sz w:val="24"/>
                <w:lang w:val="en-US" w:eastAsia="zh-CN"/>
              </w:rPr>
              <w:t>5</w:t>
            </w:r>
            <w:r>
              <w:rPr>
                <w:rFonts w:hint="default" w:ascii="Times New Roman" w:hAnsi="Times New Roman" w:eastAsia="宋体" w:cs="Times New Roman"/>
                <w:b/>
                <w:bCs/>
                <w:sz w:val="24"/>
                <w:lang w:val="en-US" w:eastAsia="zh-CN"/>
              </w:rPr>
              <w:t>、</w:t>
            </w:r>
            <w:r>
              <w:rPr>
                <w:rFonts w:hint="default" w:ascii="Times New Roman" w:hAnsi="Times New Roman" w:eastAsia="宋体" w:cs="Times New Roman"/>
                <w:b/>
                <w:bCs/>
                <w:sz w:val="24"/>
              </w:rPr>
              <w:t>与</w:t>
            </w:r>
            <w:r>
              <w:rPr>
                <w:rFonts w:hint="default" w:ascii="Times New Roman" w:hAnsi="Times New Roman" w:eastAsia="宋体" w:cs="Times New Roman"/>
                <w:b/>
                <w:bCs/>
                <w:sz w:val="24"/>
                <w:lang w:eastAsia="zh-CN"/>
              </w:rPr>
              <w:t>《关于打造水清岸绿产业优美丽长江（安徽）经济带的实施意见（升级版）》（皖发（2021）19号）</w:t>
            </w:r>
            <w:r>
              <w:rPr>
                <w:rFonts w:hint="default" w:ascii="Times New Roman" w:hAnsi="Times New Roman" w:eastAsia="宋体" w:cs="Times New Roman"/>
                <w:b/>
                <w:bCs/>
                <w:sz w:val="24"/>
              </w:rPr>
              <w:t>符合性分析</w:t>
            </w:r>
          </w:p>
          <w:p w14:paraId="561D2085">
            <w:pPr>
              <w:keepNext w:val="0"/>
              <w:keepLines w:val="0"/>
              <w:pageBreakBefore w:val="0"/>
              <w:widowControl w:val="0"/>
              <w:shd w:val="clear"/>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2021年8月9日，中共安徽省委、省政府印发了《关于打造水清岸绿产业优美丽长江（安徽）经济带的实施意见（升级版）》（皖发（2021）19号），根据文件要求：</w:t>
            </w:r>
          </w:p>
          <w:p w14:paraId="1BF4B800">
            <w:pPr>
              <w:keepNext w:val="0"/>
              <w:keepLines w:val="0"/>
              <w:pageBreakBefore w:val="0"/>
              <w:widowControl w:val="0"/>
              <w:shd w:val="clear"/>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①</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严禁1公里范围内新建化工项目。长江干支流岸线1公里范围内，严禁新建、技改化工园区和化工项目。已批未开工的项目，依法停止建设，支持重新选址。已经开工建设的项目，严格进行检查评估，不符合岸线规划和环保、安全要求的，全部依法依规停建搬迁。</w:t>
            </w:r>
            <w:r>
              <w:rPr>
                <w:rFonts w:hint="eastAsia" w:ascii="Times New Roman" w:hAnsi="Times New Roman" w:eastAsia="宋体" w:cs="Times New Roman"/>
                <w:color w:val="auto"/>
                <w:sz w:val="24"/>
                <w:lang w:val="en-US" w:eastAsia="zh-CN"/>
              </w:rPr>
              <w:t>”</w:t>
            </w:r>
          </w:p>
          <w:p w14:paraId="7D9054BD">
            <w:pPr>
              <w:pStyle w:val="21"/>
              <w:keepNext w:val="0"/>
              <w:keepLines w:val="0"/>
              <w:pageBreakBefore w:val="0"/>
              <w:widowControl w:val="0"/>
              <w:shd w:val="clear"/>
              <w:kinsoku/>
              <w:wordWrap/>
              <w:overflowPunct/>
              <w:topLinePunct w:val="0"/>
              <w:autoSpaceDE/>
              <w:autoSpaceDN/>
              <w:bidi w:val="0"/>
              <w:snapToGrid/>
              <w:spacing w:after="0" w:line="360" w:lineRule="auto"/>
              <w:ind w:firstLine="480" w:firstLineChars="200"/>
              <w:textAlignment w:val="auto"/>
              <w:rPr>
                <w:rFonts w:hint="eastAsia"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②</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严控5公里范围内新建重化工重污染项目。长江干流岸线5公里范围内，全面落实长江岸线功能定位要求，实施严格的化工项目市场准入制度，除提升安全、环保、节能水平，以及质量升级、结构调整的改技改项目外，严控新建石油化工和煤化工等重化工、重污染项目。严禁新建布局重化工园区。合规化工园区内，严禁新批环境基础设施不完善或长期不能稳定运行的企业新建和技改化工项目。</w:t>
            </w:r>
            <w:r>
              <w:rPr>
                <w:rFonts w:hint="eastAsia" w:ascii="Times New Roman" w:hAnsi="Times New Roman" w:eastAsia="宋体" w:cs="Times New Roman"/>
                <w:color w:val="auto"/>
                <w:sz w:val="24"/>
                <w:lang w:val="en-US" w:eastAsia="zh-CN"/>
              </w:rPr>
              <w:t>”</w:t>
            </w:r>
          </w:p>
          <w:p w14:paraId="0EB7B8F8">
            <w:pPr>
              <w:pStyle w:val="21"/>
              <w:keepNext w:val="0"/>
              <w:keepLines w:val="0"/>
              <w:pageBreakBefore w:val="0"/>
              <w:widowControl w:val="0"/>
              <w:shd w:val="clear"/>
              <w:kinsoku/>
              <w:wordWrap/>
              <w:overflowPunct/>
              <w:topLinePunct w:val="0"/>
              <w:autoSpaceDE/>
              <w:autoSpaceDN/>
              <w:bidi w:val="0"/>
              <w:snapToGrid/>
              <w:spacing w:after="0"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③</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严管15公里范围内新建项目。长江干流岸线15公里范围内严把各类项目准入门槛，严格执行环境保护标准，把主要污染物和重点重金属排放总量控制目标作为新</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改、扩</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建项目环评审批的前置条件，禁止建设没有环境容量和减排总量项目。在岸线开发河段利用、区域活动和产业发展等方面，严格执行《长江经济带发展负面清单指南</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试行</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》、《安徽省长江经济带发展负面清单实施细则</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试行</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》。实施备案、环评、安评、能评等并联审批，未落实生态环保、安全生产、能源节约要求的，一律不得开工建设。</w:t>
            </w:r>
            <w:r>
              <w:rPr>
                <w:rFonts w:hint="eastAsia" w:ascii="Times New Roman" w:hAnsi="Times New Roman" w:eastAsia="宋体" w:cs="Times New Roman"/>
                <w:color w:val="auto"/>
                <w:sz w:val="24"/>
                <w:lang w:val="en-US" w:eastAsia="zh-CN"/>
              </w:rPr>
              <w:t>”</w:t>
            </w:r>
          </w:p>
          <w:p w14:paraId="2C099631">
            <w:pPr>
              <w:pStyle w:val="21"/>
              <w:keepNext w:val="0"/>
              <w:keepLines w:val="0"/>
              <w:pageBreakBefore w:val="0"/>
              <w:widowControl w:val="0"/>
              <w:shd w:val="clear"/>
              <w:kinsoku/>
              <w:wordWrap/>
              <w:overflowPunct/>
              <w:topLinePunct w:val="0"/>
              <w:autoSpaceDE/>
              <w:autoSpaceDN/>
              <w:bidi w:val="0"/>
              <w:snapToGrid/>
              <w:spacing w:after="0"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highlight w:val="none"/>
                <w:lang w:val="en-US" w:eastAsia="zh-CN"/>
              </w:rPr>
              <w:t>本项目距离长江干流岸线约</w:t>
            </w:r>
            <w:r>
              <w:rPr>
                <w:rFonts w:hint="eastAsia" w:ascii="Times New Roman" w:hAnsi="Times New Roman" w:eastAsia="宋体" w:cs="Times New Roman"/>
                <w:color w:val="auto"/>
                <w:sz w:val="24"/>
                <w:highlight w:val="none"/>
                <w:lang w:val="en-US" w:eastAsia="zh-CN"/>
              </w:rPr>
              <w:t>1120</w:t>
            </w:r>
            <w:r>
              <w:rPr>
                <w:rFonts w:hint="default" w:ascii="Times New Roman" w:hAnsi="Times New Roman" w:eastAsia="宋体" w:cs="Times New Roman"/>
                <w:color w:val="auto"/>
                <w:sz w:val="24"/>
                <w:highlight w:val="none"/>
                <w:lang w:val="en-US" w:eastAsia="zh-CN"/>
              </w:rPr>
              <w:t>m，项目</w:t>
            </w:r>
            <w:r>
              <w:rPr>
                <w:rFonts w:hint="eastAsia" w:ascii="Times New Roman" w:hAnsi="Times New Roman" w:eastAsia="宋体" w:cs="Times New Roman"/>
                <w:color w:val="auto"/>
                <w:sz w:val="24"/>
                <w:highlight w:val="none"/>
                <w:lang w:val="en-US" w:eastAsia="zh-CN"/>
              </w:rPr>
              <w:t>属于</w:t>
            </w:r>
            <w:r>
              <w:rPr>
                <w:rFonts w:hint="default" w:ascii="Times New Roman" w:hAnsi="Times New Roman" w:eastAsia="宋体" w:cs="Times New Roman"/>
                <w:color w:val="auto"/>
                <w:sz w:val="24"/>
                <w:highlight w:val="none"/>
                <w:lang w:val="en-US" w:eastAsia="zh-CN"/>
              </w:rPr>
              <w:t>C3914工业控制计算机及系统制造</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lang w:val="en-US" w:eastAsia="zh-CN"/>
              </w:rPr>
              <w:t>不属于石油化工、煤化工等重化工、重污染项目</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项目废水和废气均配套了有效的处理措施，能够保证各类污染物达标排放</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园区配套供水、供电、污水处理站，环境基础设施较完善。综上，项目符合《关于打造水清岸绿产业优美丽长江（安徽）经济带的实施意见（升级版）》（皖发（2021）19号）要求。</w:t>
            </w:r>
          </w:p>
          <w:p w14:paraId="34D7B920">
            <w:pPr>
              <w:pStyle w:val="21"/>
              <w:keepNext w:val="0"/>
              <w:keepLines w:val="0"/>
              <w:pageBreakBefore w:val="0"/>
              <w:widowControl w:val="0"/>
              <w:shd w:val="clear"/>
              <w:kinsoku/>
              <w:wordWrap/>
              <w:overflowPunct/>
              <w:topLinePunct w:val="0"/>
              <w:autoSpaceDE/>
              <w:autoSpaceDN/>
              <w:bidi w:val="0"/>
              <w:snapToGrid/>
              <w:spacing w:after="0" w:line="360" w:lineRule="auto"/>
              <w:textAlignment w:val="auto"/>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b/>
                <w:bCs/>
                <w:sz w:val="24"/>
                <w:lang w:val="en-US" w:eastAsia="zh-CN"/>
              </w:rPr>
              <w:t>6</w:t>
            </w:r>
            <w:r>
              <w:rPr>
                <w:rFonts w:hint="default" w:ascii="Times New Roman" w:hAnsi="Times New Roman" w:eastAsia="宋体" w:cs="Times New Roman"/>
                <w:b/>
                <w:bCs/>
                <w:sz w:val="24"/>
                <w:lang w:val="en-US" w:eastAsia="zh-CN"/>
              </w:rPr>
              <w:t>、</w:t>
            </w:r>
            <w:r>
              <w:rPr>
                <w:rFonts w:hint="default" w:ascii="Times New Roman" w:hAnsi="Times New Roman" w:eastAsia="宋体" w:cs="Times New Roman"/>
                <w:b/>
                <w:bCs/>
                <w:sz w:val="24"/>
              </w:rPr>
              <w:t>与</w:t>
            </w:r>
            <w:r>
              <w:rPr>
                <w:rFonts w:hint="default" w:ascii="Times New Roman" w:hAnsi="Times New Roman" w:eastAsia="宋体" w:cs="Times New Roman"/>
                <w:b/>
                <w:bCs/>
                <w:sz w:val="24"/>
                <w:lang w:eastAsia="zh-CN"/>
              </w:rPr>
              <w:t>《中华人民共和国长江保护法》</w:t>
            </w:r>
            <w:r>
              <w:rPr>
                <w:rFonts w:hint="default" w:ascii="Times New Roman" w:hAnsi="Times New Roman" w:eastAsia="宋体" w:cs="Times New Roman"/>
                <w:b/>
                <w:bCs/>
                <w:sz w:val="24"/>
              </w:rPr>
              <w:t>符合性分析</w:t>
            </w:r>
          </w:p>
          <w:p w14:paraId="423C5E87">
            <w:pPr>
              <w:keepNext w:val="0"/>
              <w:keepLines w:val="0"/>
              <w:pageBreakBefore w:val="0"/>
              <w:widowControl w:val="0"/>
              <w:shd w:val="clear"/>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文件要求</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第二十六条，国家对长江流域河湖岸线实施特殊管制。国家长江流域协调机制统筹协调国务院自然资源、水行政、生态环境、住房和城乡建设、农业农村、交通运输、林业和草原等部门和长江流域省级人民政府划定河湖岸线保护范围，制定河湖岸线保护规划，严格控制岸线开发建设，促进岸线合理高效利用。禁止在长江干支流岸线一公里范围内新建、扩建化工园区和化工项目。禁止在长江干流岸线三公里范围内和重要支流岸线一公里范围内新建、改建、扩建尾矿库</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但是以提升安全、生态环境保护水平为目的的改建除外。第四十九条，禁止在长江流域河湖管理范围内倾倒、填埋、堆放、弃置、处理固体废物。长江流域县级以上地方人民政府应当加强对固体废物非法转移和倾倒的联防联控。</w:t>
            </w:r>
          </w:p>
          <w:p w14:paraId="254E8C1B">
            <w:pPr>
              <w:keepNext w:val="0"/>
              <w:keepLines w:val="0"/>
              <w:pageBreakBefore w:val="0"/>
              <w:widowControl w:val="0"/>
              <w:shd w:val="clear"/>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highlight w:val="none"/>
                <w:lang w:val="en-US" w:eastAsia="zh-CN"/>
              </w:rPr>
              <w:t>本项目属于C3914工业控制计算机及系统制造，</w:t>
            </w:r>
            <w:r>
              <w:rPr>
                <w:rFonts w:hint="default" w:ascii="Times New Roman" w:hAnsi="Times New Roman" w:eastAsia="宋体" w:cs="Times New Roman"/>
                <w:color w:val="auto"/>
                <w:sz w:val="24"/>
                <w:lang w:val="en-US" w:eastAsia="zh-CN"/>
              </w:rPr>
              <w:t>不属于化工项目，并与各类准入清单相符。因此，本项目的建设符合《中华人民共和国长江保护法》要求。</w:t>
            </w:r>
          </w:p>
          <w:p w14:paraId="26138B63">
            <w:pPr>
              <w:pStyle w:val="21"/>
              <w:keepNext w:val="0"/>
              <w:keepLines w:val="0"/>
              <w:pageBreakBefore w:val="0"/>
              <w:widowControl w:val="0"/>
              <w:shd w:val="clear"/>
              <w:kinsoku/>
              <w:wordWrap/>
              <w:overflowPunct/>
              <w:topLinePunct w:val="0"/>
              <w:autoSpaceDE/>
              <w:autoSpaceDN/>
              <w:bidi w:val="0"/>
              <w:snapToGrid/>
              <w:spacing w:after="0" w:line="360" w:lineRule="auto"/>
              <w:textAlignment w:val="auto"/>
              <w:rPr>
                <w:rFonts w:hint="eastAsia" w:ascii="Times New Roman" w:hAnsi="Times New Roman" w:eastAsia="宋体" w:cs="Times New Roman"/>
                <w:b/>
                <w:bCs/>
                <w:sz w:val="24"/>
                <w:lang w:val="en-US" w:eastAsia="zh-CN"/>
              </w:rPr>
            </w:pPr>
          </w:p>
          <w:p w14:paraId="30F25837">
            <w:pPr>
              <w:pStyle w:val="21"/>
              <w:keepNext w:val="0"/>
              <w:keepLines w:val="0"/>
              <w:pageBreakBefore w:val="0"/>
              <w:widowControl w:val="0"/>
              <w:shd w:val="clear"/>
              <w:kinsoku/>
              <w:wordWrap/>
              <w:overflowPunct/>
              <w:topLinePunct w:val="0"/>
              <w:autoSpaceDE/>
              <w:autoSpaceDN/>
              <w:bidi w:val="0"/>
              <w:snapToGrid/>
              <w:spacing w:after="0" w:line="360" w:lineRule="auto"/>
              <w:textAlignment w:val="auto"/>
              <w:rPr>
                <w:rFonts w:hint="eastAsia" w:ascii="Times New Roman" w:hAnsi="Times New Roman" w:eastAsia="宋体" w:cs="Times New Roman"/>
                <w:b/>
                <w:bCs/>
                <w:sz w:val="24"/>
                <w:lang w:val="en-US" w:eastAsia="zh-CN"/>
              </w:rPr>
            </w:pPr>
          </w:p>
          <w:p w14:paraId="5CFE8134">
            <w:pPr>
              <w:pStyle w:val="21"/>
              <w:keepNext w:val="0"/>
              <w:keepLines w:val="0"/>
              <w:pageBreakBefore w:val="0"/>
              <w:widowControl w:val="0"/>
              <w:shd w:val="clear"/>
              <w:kinsoku/>
              <w:wordWrap/>
              <w:overflowPunct/>
              <w:topLinePunct w:val="0"/>
              <w:autoSpaceDE/>
              <w:autoSpaceDN/>
              <w:bidi w:val="0"/>
              <w:snapToGrid/>
              <w:spacing w:after="0" w:line="360" w:lineRule="auto"/>
              <w:textAlignment w:val="auto"/>
              <w:rPr>
                <w:rFonts w:hint="default" w:ascii="Times New Roman" w:hAnsi="Times New Roman" w:eastAsia="黑体" w:cs="Times New Roman"/>
                <w:b w:val="0"/>
                <w:bCs/>
                <w:sz w:val="21"/>
                <w:szCs w:val="21"/>
              </w:rPr>
            </w:pPr>
            <w:r>
              <w:rPr>
                <w:rFonts w:hint="eastAsia" w:ascii="Times New Roman" w:hAnsi="Times New Roman" w:eastAsia="宋体" w:cs="Times New Roman"/>
                <w:b/>
                <w:bCs/>
                <w:sz w:val="24"/>
                <w:lang w:val="en-US" w:eastAsia="zh-CN"/>
              </w:rPr>
              <w:t>7</w:t>
            </w:r>
            <w:r>
              <w:rPr>
                <w:rFonts w:hint="default" w:ascii="Times New Roman" w:hAnsi="Times New Roman" w:eastAsia="宋体" w:cs="Times New Roman"/>
                <w:b/>
                <w:bCs/>
                <w:sz w:val="24"/>
                <w:lang w:val="en-US" w:eastAsia="zh-CN"/>
              </w:rPr>
              <w:t>、</w:t>
            </w:r>
            <w:r>
              <w:rPr>
                <w:rFonts w:hint="default" w:ascii="Times New Roman" w:hAnsi="Times New Roman" w:eastAsia="宋体" w:cs="Times New Roman"/>
                <w:b/>
                <w:bCs/>
                <w:sz w:val="24"/>
              </w:rPr>
              <w:t>与</w:t>
            </w:r>
            <w:r>
              <w:rPr>
                <w:rFonts w:hint="default" w:ascii="Times New Roman" w:hAnsi="Times New Roman" w:eastAsia="宋体" w:cs="Times New Roman"/>
                <w:b/>
                <w:bCs/>
                <w:sz w:val="24"/>
                <w:lang w:eastAsia="zh-CN"/>
              </w:rPr>
              <w:t>《长江经济带发展负面清单指南（试行，2022年版）》（长江办（2022）7号）</w:t>
            </w:r>
            <w:r>
              <w:rPr>
                <w:rFonts w:hint="default" w:ascii="Times New Roman" w:hAnsi="Times New Roman" w:eastAsia="宋体" w:cs="Times New Roman"/>
                <w:b/>
                <w:bCs/>
                <w:sz w:val="24"/>
                <w:lang w:val="en-US" w:eastAsia="zh-CN"/>
              </w:rPr>
              <w:t>相符</w:t>
            </w:r>
            <w:r>
              <w:rPr>
                <w:rFonts w:hint="default" w:ascii="Times New Roman" w:hAnsi="Times New Roman" w:eastAsia="宋体" w:cs="Times New Roman"/>
                <w:b/>
                <w:bCs/>
                <w:sz w:val="24"/>
              </w:rPr>
              <w:t>性分析</w:t>
            </w:r>
          </w:p>
          <w:p w14:paraId="06601D23">
            <w:pPr>
              <w:pStyle w:val="28"/>
              <w:keepNext w:val="0"/>
              <w:keepLines w:val="0"/>
              <w:pageBreakBefore w:val="0"/>
              <w:widowControl w:val="0"/>
              <w:shd w:val="clear"/>
              <w:kinsoku/>
              <w:wordWrap/>
              <w:overflowPunct/>
              <w:topLinePunct w:val="0"/>
              <w:bidi w:val="0"/>
              <w:snapToGrid/>
              <w:spacing w:line="360" w:lineRule="auto"/>
              <w:ind w:left="0" w:leftChars="0" w:firstLine="0" w:firstLineChars="0"/>
              <w:jc w:val="center"/>
              <w:rPr>
                <w:rFonts w:hint="default" w:ascii="Times New Roman" w:hAnsi="Times New Roman" w:eastAsia="黑体" w:cs="Times New Roman"/>
                <w:b w:val="0"/>
                <w:bCs/>
                <w:sz w:val="21"/>
                <w:szCs w:val="21"/>
                <w:lang w:val="en-US" w:eastAsia="zh-CN"/>
              </w:rPr>
            </w:pPr>
            <w:r>
              <w:rPr>
                <w:rFonts w:hint="default" w:ascii="Times New Roman" w:hAnsi="Times New Roman" w:eastAsia="黑体" w:cs="Times New Roman"/>
                <w:b w:val="0"/>
                <w:bCs/>
                <w:sz w:val="21"/>
                <w:szCs w:val="21"/>
              </w:rPr>
              <w:t>表</w:t>
            </w:r>
            <w:r>
              <w:rPr>
                <w:rFonts w:hint="default" w:ascii="Times New Roman" w:hAnsi="Times New Roman" w:eastAsia="黑体" w:cs="Times New Roman"/>
                <w:b w:val="0"/>
                <w:bCs/>
                <w:sz w:val="21"/>
                <w:szCs w:val="21"/>
                <w:lang w:val="en-US" w:eastAsia="zh-CN"/>
              </w:rPr>
              <w:t>1-</w:t>
            </w:r>
            <w:r>
              <w:rPr>
                <w:rFonts w:hint="eastAsia" w:ascii="Times New Roman" w:hAnsi="Times New Roman" w:eastAsia="黑体" w:cs="Times New Roman"/>
                <w:b w:val="0"/>
                <w:bCs/>
                <w:sz w:val="21"/>
                <w:szCs w:val="21"/>
                <w:lang w:val="en-US" w:eastAsia="zh-CN"/>
              </w:rPr>
              <w:t>4</w:t>
            </w:r>
            <w:r>
              <w:rPr>
                <w:rFonts w:hint="default" w:ascii="Times New Roman" w:hAnsi="Times New Roman" w:eastAsia="黑体" w:cs="Times New Roman"/>
                <w:b w:val="0"/>
                <w:bCs/>
                <w:sz w:val="21"/>
                <w:szCs w:val="21"/>
              </w:rPr>
              <w:t xml:space="preserve"> </w:t>
            </w:r>
            <w:r>
              <w:rPr>
                <w:rFonts w:hint="default" w:ascii="Times New Roman" w:hAnsi="Times New Roman" w:eastAsia="黑体" w:cs="Times New Roman"/>
                <w:b w:val="0"/>
                <w:bCs/>
                <w:sz w:val="21"/>
                <w:szCs w:val="21"/>
                <w:lang w:val="en-US" w:eastAsia="zh-CN"/>
              </w:rPr>
              <w:t>与</w:t>
            </w:r>
            <w:r>
              <w:rPr>
                <w:rFonts w:hint="default" w:ascii="Times New Roman" w:hAnsi="Times New Roman" w:eastAsia="黑体" w:cs="Times New Roman"/>
                <w:b w:val="0"/>
                <w:bCs/>
                <w:sz w:val="21"/>
                <w:szCs w:val="21"/>
                <w:lang w:eastAsia="zh-CN"/>
              </w:rPr>
              <w:t>长江办（2022）7号</w:t>
            </w:r>
            <w:r>
              <w:rPr>
                <w:rFonts w:hint="eastAsia" w:ascii="Times New Roman" w:hAnsi="Times New Roman" w:eastAsia="黑体" w:cs="Times New Roman"/>
                <w:b w:val="0"/>
                <w:bCs/>
                <w:sz w:val="21"/>
                <w:szCs w:val="21"/>
                <w:lang w:val="en-US" w:eastAsia="zh-CN"/>
              </w:rPr>
              <w:t>文</w:t>
            </w:r>
            <w:r>
              <w:rPr>
                <w:rFonts w:hint="default" w:ascii="Times New Roman" w:hAnsi="Times New Roman" w:eastAsia="黑体" w:cs="Times New Roman"/>
                <w:b w:val="0"/>
                <w:bCs/>
                <w:sz w:val="21"/>
                <w:szCs w:val="21"/>
                <w:lang w:val="en-US" w:eastAsia="zh-CN"/>
              </w:rPr>
              <w:t>相符性分析</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1"/>
              <w:gridCol w:w="3903"/>
              <w:gridCol w:w="2819"/>
              <w:gridCol w:w="975"/>
            </w:tblGrid>
            <w:tr w14:paraId="5F525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00" w:type="pct"/>
                  <w:vAlign w:val="center"/>
                </w:tcPr>
                <w:p w14:paraId="20AFAE66">
                  <w:pPr>
                    <w:shd w:val="clear"/>
                    <w:spacing w:line="360" w:lineRule="exact"/>
                    <w:jc w:val="center"/>
                    <w:rPr>
                      <w:rFonts w:hint="default" w:ascii="Times New Roman" w:hAnsi="Times New Roman" w:eastAsia="宋体" w:cs="Times New Roman"/>
                      <w:b w:val="0"/>
                      <w:bCs w:val="0"/>
                      <w:szCs w:val="21"/>
                      <w:lang w:val="en-US" w:eastAsia="zh-CN"/>
                    </w:rPr>
                  </w:pPr>
                  <w:r>
                    <w:rPr>
                      <w:rFonts w:hint="default" w:ascii="Times New Roman" w:hAnsi="Times New Roman" w:eastAsia="宋体" w:cs="Times New Roman"/>
                      <w:b w:val="0"/>
                      <w:bCs w:val="0"/>
                      <w:szCs w:val="21"/>
                      <w:lang w:val="en-US" w:eastAsia="zh-CN"/>
                    </w:rPr>
                    <w:t>序号</w:t>
                  </w:r>
                </w:p>
              </w:tc>
              <w:tc>
                <w:tcPr>
                  <w:tcW w:w="2383" w:type="pct"/>
                  <w:vAlign w:val="center"/>
                </w:tcPr>
                <w:p w14:paraId="3305F72E">
                  <w:pPr>
                    <w:shd w:val="clear"/>
                    <w:spacing w:line="360" w:lineRule="exact"/>
                    <w:jc w:val="center"/>
                    <w:rPr>
                      <w:rFonts w:hint="default" w:ascii="Times New Roman" w:hAnsi="Times New Roman" w:eastAsia="宋体" w:cs="Times New Roman"/>
                      <w:b w:val="0"/>
                      <w:bCs w:val="0"/>
                      <w:szCs w:val="21"/>
                      <w:lang w:val="en-US" w:eastAsia="zh-CN"/>
                    </w:rPr>
                  </w:pPr>
                  <w:r>
                    <w:rPr>
                      <w:rFonts w:hint="default" w:ascii="Times New Roman" w:hAnsi="Times New Roman" w:eastAsia="宋体" w:cs="Times New Roman"/>
                      <w:b w:val="0"/>
                      <w:bCs w:val="0"/>
                      <w:szCs w:val="21"/>
                      <w:lang w:val="en-US" w:eastAsia="zh-CN"/>
                    </w:rPr>
                    <w:t>长江经济带发展负面清单指南要求</w:t>
                  </w:r>
                </w:p>
              </w:tc>
              <w:tc>
                <w:tcPr>
                  <w:tcW w:w="1721" w:type="pct"/>
                  <w:vAlign w:val="center"/>
                </w:tcPr>
                <w:p w14:paraId="779BA9BD">
                  <w:pPr>
                    <w:shd w:val="clear"/>
                    <w:spacing w:line="360" w:lineRule="exact"/>
                    <w:jc w:val="center"/>
                    <w:rPr>
                      <w:rFonts w:hint="default" w:ascii="Times New Roman" w:hAnsi="Times New Roman" w:eastAsia="宋体" w:cs="Times New Roman"/>
                      <w:b w:val="0"/>
                      <w:bCs w:val="0"/>
                      <w:szCs w:val="21"/>
                      <w:lang w:val="en-US" w:eastAsia="zh-CN"/>
                    </w:rPr>
                  </w:pPr>
                  <w:r>
                    <w:rPr>
                      <w:rFonts w:hint="default" w:ascii="Times New Roman" w:hAnsi="Times New Roman" w:eastAsia="宋体" w:cs="Times New Roman"/>
                      <w:b w:val="0"/>
                      <w:bCs w:val="0"/>
                      <w:szCs w:val="21"/>
                      <w:lang w:val="en-US" w:eastAsia="zh-CN"/>
                    </w:rPr>
                    <w:t>本项目情况</w:t>
                  </w:r>
                </w:p>
              </w:tc>
              <w:tc>
                <w:tcPr>
                  <w:tcW w:w="595" w:type="pct"/>
                  <w:vAlign w:val="center"/>
                </w:tcPr>
                <w:p w14:paraId="25E09E51">
                  <w:pPr>
                    <w:shd w:val="clear"/>
                    <w:spacing w:line="360" w:lineRule="exact"/>
                    <w:jc w:val="center"/>
                    <w:rPr>
                      <w:rFonts w:hint="default" w:ascii="Times New Roman" w:hAnsi="Times New Roman" w:eastAsia="宋体" w:cs="Times New Roman"/>
                      <w:b w:val="0"/>
                      <w:bCs w:val="0"/>
                      <w:szCs w:val="21"/>
                      <w:lang w:val="en-US" w:eastAsia="zh-CN"/>
                    </w:rPr>
                  </w:pPr>
                  <w:r>
                    <w:rPr>
                      <w:rFonts w:hint="default" w:ascii="Times New Roman" w:hAnsi="Times New Roman" w:eastAsia="宋体" w:cs="Times New Roman"/>
                      <w:b w:val="0"/>
                      <w:bCs w:val="0"/>
                      <w:szCs w:val="21"/>
                      <w:lang w:val="en-US" w:eastAsia="zh-CN"/>
                    </w:rPr>
                    <w:t>相符性</w:t>
                  </w:r>
                </w:p>
              </w:tc>
            </w:tr>
            <w:tr w14:paraId="36D3D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04F867BB">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2383" w:type="pct"/>
                  <w:vAlign w:val="center"/>
                </w:tcPr>
                <w:p w14:paraId="300E5232">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禁止建设不符合全国和省级港口布局规划以及港口总体规划的码头项目，禁止建设不符合《长江干线过江通道布局规划》的过长江通道项目。</w:t>
                  </w:r>
                </w:p>
              </w:tc>
              <w:tc>
                <w:tcPr>
                  <w:tcW w:w="1721" w:type="pct"/>
                  <w:vAlign w:val="center"/>
                </w:tcPr>
                <w:p w14:paraId="3ECD5E7A">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highlight w:val="none"/>
                      <w:lang w:val="en-US" w:eastAsia="zh-CN"/>
                    </w:rPr>
                    <w:t>本项目不属于重码头项目，也不属于过长江通道项目</w:t>
                  </w:r>
                  <w:r>
                    <w:rPr>
                      <w:rFonts w:hint="eastAsia" w:ascii="Times New Roman" w:hAnsi="Times New Roman" w:eastAsia="宋体" w:cs="Times New Roman"/>
                      <w:szCs w:val="21"/>
                      <w:highlight w:val="none"/>
                      <w:lang w:val="en-US" w:eastAsia="zh-CN"/>
                    </w:rPr>
                    <w:t>。</w:t>
                  </w:r>
                </w:p>
              </w:tc>
              <w:tc>
                <w:tcPr>
                  <w:tcW w:w="595" w:type="pct"/>
                  <w:vAlign w:val="center"/>
                </w:tcPr>
                <w:p w14:paraId="0EAA8BD3">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09A47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08DF3592">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2383" w:type="pct"/>
                  <w:vAlign w:val="center"/>
                </w:tcPr>
                <w:p w14:paraId="1FE400D6">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禁止在自然保护区核心区、缓冲区的岸线和河段范围内投资建设旅游和生产经营项目。禁止在风景名胜区核心景区的岸线和河段范围内投资建设与风景名胜资源保护无关的项目。</w:t>
                  </w:r>
                </w:p>
              </w:tc>
              <w:tc>
                <w:tcPr>
                  <w:tcW w:w="1721" w:type="pct"/>
                  <w:vAlign w:val="center"/>
                </w:tcPr>
                <w:p w14:paraId="1ADA8541">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本项目位于皖江江南新兴产业集中区规划范围内，不在自然保护区核心区、缓冲区的岸线和河段范围内。</w:t>
                  </w:r>
                </w:p>
              </w:tc>
              <w:tc>
                <w:tcPr>
                  <w:tcW w:w="595" w:type="pct"/>
                  <w:vAlign w:val="center"/>
                </w:tcPr>
                <w:p w14:paraId="4D0D4CB2">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54BE4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750E5194">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3</w:t>
                  </w:r>
                </w:p>
              </w:tc>
              <w:tc>
                <w:tcPr>
                  <w:tcW w:w="2383" w:type="pct"/>
                  <w:vAlign w:val="center"/>
                </w:tcPr>
                <w:p w14:paraId="1E5B4894">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在饮用水水源一级保护区的岸线和河段范围内新建改建、扩建与供水设施和保护水源无关的项目，以及网箱养殖、畜禽养殖、旅游等可能污染饮用水水体的投资建设项目。禁止在饮用水水源二级保护区的岸线和河段范围内新建、改建、扩建排放污染物的投资建设项目。</w:t>
                  </w:r>
                </w:p>
              </w:tc>
              <w:tc>
                <w:tcPr>
                  <w:tcW w:w="1721" w:type="pct"/>
                  <w:vAlign w:val="center"/>
                </w:tcPr>
                <w:p w14:paraId="2804F56D">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highlight w:val="none"/>
                      <w:lang w:val="en-US" w:eastAsia="zh-CN"/>
                    </w:rPr>
                    <w:t>本项目位于皖江江南新兴产业集中区规划范围内，不在饮用水水源一、二级保护区的岸线和河段范围内</w:t>
                  </w:r>
                  <w:r>
                    <w:rPr>
                      <w:rFonts w:hint="eastAsia" w:ascii="Times New Roman" w:hAnsi="Times New Roman" w:eastAsia="宋体" w:cs="Times New Roman"/>
                      <w:szCs w:val="21"/>
                      <w:lang w:val="en-US" w:eastAsia="zh-CN"/>
                    </w:rPr>
                    <w:t>。</w:t>
                  </w:r>
                </w:p>
              </w:tc>
              <w:tc>
                <w:tcPr>
                  <w:tcW w:w="595" w:type="pct"/>
                  <w:vAlign w:val="center"/>
                </w:tcPr>
                <w:p w14:paraId="4EC45537">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30993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03BB5B47">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w:t>
                  </w:r>
                </w:p>
              </w:tc>
              <w:tc>
                <w:tcPr>
                  <w:tcW w:w="2383" w:type="pct"/>
                  <w:vAlign w:val="center"/>
                </w:tcPr>
                <w:p w14:paraId="327085AF">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禁止在水产种质资源保护区的岸线和河段范围内新建围湖造田、围海造地或围填海等投资建设项目。禁止在国家湿地公园的岸线和河段范围内挖沙、采矿，以及任何不符合主体功能定位的投资建设项目。</w:t>
                  </w:r>
                </w:p>
              </w:tc>
              <w:tc>
                <w:tcPr>
                  <w:tcW w:w="1721" w:type="pct"/>
                  <w:vAlign w:val="center"/>
                </w:tcPr>
                <w:p w14:paraId="0480B971">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本项目不在水产种质资源保护区的岸线和河段范围内且不在国家湿地公园的岸线和河段范围内且不属于挖沙、采矿以及其他不符合主体功能定位的投资建设项目。</w:t>
                  </w:r>
                </w:p>
              </w:tc>
              <w:tc>
                <w:tcPr>
                  <w:tcW w:w="595" w:type="pct"/>
                  <w:vAlign w:val="center"/>
                </w:tcPr>
                <w:p w14:paraId="3F459583">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2EA6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20F8D9AE">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5</w:t>
                  </w:r>
                </w:p>
              </w:tc>
              <w:tc>
                <w:tcPr>
                  <w:tcW w:w="2383" w:type="pct"/>
                  <w:vAlign w:val="center"/>
                </w:tcPr>
                <w:p w14:paraId="68140CA2">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禁止在《全国重要江河湖泊水功能区划》划定的河段及湖泊保护区、保留区内投资建设不利于水资源及自然生态保护的项目。</w:t>
                  </w:r>
                </w:p>
              </w:tc>
              <w:tc>
                <w:tcPr>
                  <w:tcW w:w="1721" w:type="pct"/>
                  <w:vAlign w:val="center"/>
                </w:tcPr>
                <w:p w14:paraId="25884D09">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本项目不利用、占用长江流域河湖岸线，不在《长江岸线保护和开发利用总体规划》划定的岸线保护区和保留区内</w:t>
                  </w:r>
                  <w:r>
                    <w:rPr>
                      <w:rFonts w:hint="eastAsia" w:ascii="Times New Roman" w:hAnsi="Times New Roman" w:eastAsia="宋体" w:cs="Times New Roman"/>
                      <w:szCs w:val="21"/>
                      <w:lang w:val="en-US" w:eastAsia="zh-CN"/>
                    </w:rPr>
                    <w:t>。</w:t>
                  </w:r>
                </w:p>
              </w:tc>
              <w:tc>
                <w:tcPr>
                  <w:tcW w:w="595" w:type="pct"/>
                  <w:vAlign w:val="center"/>
                </w:tcPr>
                <w:p w14:paraId="388454F9">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21FB8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5EF54257">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w:t>
                  </w:r>
                </w:p>
              </w:tc>
              <w:tc>
                <w:tcPr>
                  <w:tcW w:w="2383" w:type="pct"/>
                  <w:vAlign w:val="center"/>
                </w:tcPr>
                <w:p w14:paraId="040C0FB3">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在长江干支流、重要湖泊岸线一公里范围内新建、扩建化工园区和化工项目。禁止在长江干流岸线三公里范围内和重要支流岸线一公里范围内新建、改建、扩建尾矿库、冶炼渣库和磷石膏库，以提升安全、生态环境保护水平为目的的改建除外。</w:t>
                  </w:r>
                </w:p>
              </w:tc>
              <w:tc>
                <w:tcPr>
                  <w:tcW w:w="1721" w:type="pct"/>
                  <w:vAlign w:val="center"/>
                </w:tcPr>
                <w:p w14:paraId="0659CA54">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highlight w:val="none"/>
                      <w:lang w:val="en-US" w:eastAsia="zh-CN"/>
                    </w:rPr>
                    <w:t>本项目距离长江直线距离为</w:t>
                  </w:r>
                  <w:r>
                    <w:rPr>
                      <w:rFonts w:hint="eastAsia" w:ascii="Times New Roman" w:hAnsi="Times New Roman" w:eastAsia="宋体" w:cs="Times New Roman"/>
                      <w:szCs w:val="21"/>
                      <w:highlight w:val="none"/>
                      <w:lang w:val="en-US" w:eastAsia="zh-CN"/>
                    </w:rPr>
                    <w:t>1120</w:t>
                  </w:r>
                  <w:r>
                    <w:rPr>
                      <w:rFonts w:hint="default" w:ascii="Times New Roman" w:hAnsi="Times New Roman" w:eastAsia="宋体" w:cs="Times New Roman"/>
                      <w:szCs w:val="21"/>
                      <w:highlight w:val="none"/>
                      <w:lang w:val="en-US" w:eastAsia="zh-CN"/>
                    </w:rPr>
                    <w:t>m，不属于尾矿库、冶炼渣库和磷石膏库项目。</w:t>
                  </w:r>
                </w:p>
              </w:tc>
              <w:tc>
                <w:tcPr>
                  <w:tcW w:w="595" w:type="pct"/>
                  <w:vAlign w:val="center"/>
                </w:tcPr>
                <w:p w14:paraId="538F3AE0">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1E296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59E0CE94">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7</w:t>
                  </w:r>
                </w:p>
              </w:tc>
              <w:tc>
                <w:tcPr>
                  <w:tcW w:w="2383" w:type="pct"/>
                  <w:vAlign w:val="center"/>
                </w:tcPr>
                <w:p w14:paraId="3A0040C5">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禁止在合规园区外新建、扩建钢铁、石化、化工、焦化、建材、有色、制浆造纸等高污染项目。</w:t>
                  </w:r>
                </w:p>
              </w:tc>
              <w:tc>
                <w:tcPr>
                  <w:tcW w:w="1721" w:type="pct"/>
                  <w:vAlign w:val="center"/>
                </w:tcPr>
                <w:p w14:paraId="24325E5C">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本项目属于显示器件制造，不属于钢铁、石化、化工、焦化、建材、有色、制浆造纸等高污染项目。</w:t>
                  </w:r>
                </w:p>
              </w:tc>
              <w:tc>
                <w:tcPr>
                  <w:tcW w:w="595" w:type="pct"/>
                  <w:vAlign w:val="center"/>
                </w:tcPr>
                <w:p w14:paraId="6C734C02">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691BB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3B3AA7CC">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w:t>
                  </w:r>
                </w:p>
              </w:tc>
              <w:tc>
                <w:tcPr>
                  <w:tcW w:w="2383" w:type="pct"/>
                  <w:vAlign w:val="center"/>
                </w:tcPr>
                <w:p w14:paraId="0EEA5AEF">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禁止新建、扩建不符合国家石化、现代煤化工等产业布局规划的项目。</w:t>
                  </w:r>
                </w:p>
              </w:tc>
              <w:tc>
                <w:tcPr>
                  <w:tcW w:w="1721" w:type="pct"/>
                  <w:vAlign w:val="center"/>
                </w:tcPr>
                <w:p w14:paraId="08D1BA8C">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本项目为</w:t>
                  </w:r>
                  <w:r>
                    <w:rPr>
                      <w:rFonts w:hint="default" w:ascii="Times New Roman" w:hAnsi="Times New Roman" w:eastAsia="宋体" w:cs="Times New Roman"/>
                      <w:szCs w:val="21"/>
                      <w:highlight w:val="none"/>
                      <w:lang w:val="en-US" w:eastAsia="zh-CN"/>
                    </w:rPr>
                    <w:t>C3914工业控制计算机及系统制造</w:t>
                  </w:r>
                  <w:r>
                    <w:rPr>
                      <w:rFonts w:hint="default" w:ascii="Times New Roman" w:hAnsi="Times New Roman" w:eastAsia="宋体" w:cs="Times New Roman"/>
                      <w:szCs w:val="21"/>
                      <w:lang w:val="en-US" w:eastAsia="zh-CN"/>
                    </w:rPr>
                    <w:t>，不属于石化、现代煤化工等产业布局规划的项目。</w:t>
                  </w:r>
                </w:p>
              </w:tc>
              <w:tc>
                <w:tcPr>
                  <w:tcW w:w="595" w:type="pct"/>
                  <w:vAlign w:val="center"/>
                </w:tcPr>
                <w:p w14:paraId="65ED9F6D">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11889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3FFF5701">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9</w:t>
                  </w:r>
                </w:p>
              </w:tc>
              <w:tc>
                <w:tcPr>
                  <w:tcW w:w="2383" w:type="pct"/>
                  <w:vAlign w:val="center"/>
                </w:tcPr>
                <w:p w14:paraId="05EB66A6">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禁止新建、扩建法律法规和相关政策明令禁止的落后产能项目。禁止新建、扩建不符合国家产能置换要求的严重过剩产能行业的项目。禁止新建、扩建不符合要求的高耗能高排放项目。</w:t>
                  </w:r>
                </w:p>
              </w:tc>
              <w:tc>
                <w:tcPr>
                  <w:tcW w:w="1721" w:type="pct"/>
                  <w:vAlign w:val="center"/>
                </w:tcPr>
                <w:p w14:paraId="501AAA18">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本项目不属于落后产能项目、过剩产能行业的项目、高耗能高排放项目。</w:t>
                  </w:r>
                </w:p>
              </w:tc>
              <w:tc>
                <w:tcPr>
                  <w:tcW w:w="595" w:type="pct"/>
                  <w:vAlign w:val="center"/>
                </w:tcPr>
                <w:p w14:paraId="3D976043">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bl>
          <w:p w14:paraId="390C3F1A">
            <w:pPr>
              <w:pStyle w:val="21"/>
              <w:keepNext w:val="0"/>
              <w:keepLines w:val="0"/>
              <w:pageBreakBefore w:val="0"/>
              <w:widowControl w:val="0"/>
              <w:shd w:val="clear"/>
              <w:kinsoku/>
              <w:wordWrap/>
              <w:overflowPunct/>
              <w:topLinePunct w:val="0"/>
              <w:autoSpaceDE/>
              <w:autoSpaceDN/>
              <w:bidi w:val="0"/>
              <w:snapToGrid/>
              <w:spacing w:after="0" w:line="360" w:lineRule="auto"/>
              <w:textAlignment w:val="auto"/>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b/>
                <w:bCs/>
                <w:sz w:val="24"/>
                <w:lang w:val="en-US" w:eastAsia="zh-CN"/>
              </w:rPr>
              <w:t>8</w:t>
            </w:r>
            <w:r>
              <w:rPr>
                <w:rFonts w:hint="default" w:ascii="Times New Roman" w:hAnsi="Times New Roman" w:eastAsia="宋体" w:cs="Times New Roman"/>
                <w:b/>
                <w:bCs/>
                <w:sz w:val="24"/>
                <w:lang w:val="en-US" w:eastAsia="zh-CN"/>
              </w:rPr>
              <w:t>、</w:t>
            </w:r>
            <w:r>
              <w:rPr>
                <w:rFonts w:hint="default" w:ascii="Times New Roman" w:hAnsi="Times New Roman" w:eastAsia="宋体" w:cs="Times New Roman"/>
                <w:b/>
                <w:bCs/>
                <w:sz w:val="24"/>
              </w:rPr>
              <w:t>与</w:t>
            </w:r>
            <w:r>
              <w:rPr>
                <w:rFonts w:hint="default" w:ascii="Times New Roman" w:hAnsi="Times New Roman" w:eastAsia="宋体" w:cs="Times New Roman"/>
                <w:b/>
                <w:bCs/>
                <w:sz w:val="24"/>
                <w:lang w:eastAsia="zh-CN"/>
              </w:rPr>
              <w:t>《关于印发安徽省长江经济带发展负面清单实施细则</w:t>
            </w:r>
            <w:r>
              <w:rPr>
                <w:rFonts w:hint="eastAsia" w:ascii="Times New Roman" w:hAnsi="Times New Roman" w:eastAsia="宋体" w:cs="Times New Roman"/>
                <w:b/>
                <w:bCs/>
                <w:sz w:val="24"/>
                <w:lang w:eastAsia="zh-CN"/>
              </w:rPr>
              <w:t>（</w:t>
            </w:r>
            <w:r>
              <w:rPr>
                <w:rFonts w:hint="default" w:ascii="Times New Roman" w:hAnsi="Times New Roman" w:eastAsia="宋体" w:cs="Times New Roman"/>
                <w:b/>
                <w:bCs/>
                <w:sz w:val="24"/>
                <w:lang w:eastAsia="zh-CN"/>
              </w:rPr>
              <w:t>试行，2022年版</w:t>
            </w:r>
            <w:r>
              <w:rPr>
                <w:rFonts w:hint="eastAsia" w:ascii="Times New Roman" w:hAnsi="Times New Roman" w:eastAsia="宋体" w:cs="Times New Roman"/>
                <w:b/>
                <w:bCs/>
                <w:sz w:val="24"/>
                <w:lang w:eastAsia="zh-CN"/>
              </w:rPr>
              <w:t>）</w:t>
            </w:r>
            <w:r>
              <w:rPr>
                <w:rFonts w:hint="default" w:ascii="Times New Roman" w:hAnsi="Times New Roman" w:eastAsia="宋体" w:cs="Times New Roman"/>
                <w:b/>
                <w:bCs/>
                <w:sz w:val="24"/>
                <w:lang w:eastAsia="zh-CN"/>
              </w:rPr>
              <w:t>的通知》</w:t>
            </w:r>
            <w:r>
              <w:rPr>
                <w:rFonts w:hint="default" w:ascii="Times New Roman" w:hAnsi="Times New Roman" w:eastAsia="宋体" w:cs="Times New Roman"/>
                <w:b/>
                <w:bCs/>
                <w:sz w:val="24"/>
                <w:lang w:val="en-US" w:eastAsia="zh-CN"/>
              </w:rPr>
              <w:t>相符</w:t>
            </w:r>
            <w:r>
              <w:rPr>
                <w:rFonts w:hint="default" w:ascii="Times New Roman" w:hAnsi="Times New Roman" w:eastAsia="宋体" w:cs="Times New Roman"/>
                <w:b/>
                <w:bCs/>
                <w:sz w:val="24"/>
              </w:rPr>
              <w:t>性分析</w:t>
            </w:r>
          </w:p>
          <w:p w14:paraId="15F2F662">
            <w:pPr>
              <w:pStyle w:val="28"/>
              <w:keepNext w:val="0"/>
              <w:keepLines w:val="0"/>
              <w:pageBreakBefore w:val="0"/>
              <w:widowControl w:val="0"/>
              <w:shd w:val="clear"/>
              <w:kinsoku/>
              <w:wordWrap/>
              <w:overflowPunct/>
              <w:topLinePunct w:val="0"/>
              <w:bidi w:val="0"/>
              <w:snapToGrid/>
              <w:spacing w:line="360" w:lineRule="auto"/>
              <w:ind w:left="0" w:leftChars="0" w:firstLine="0" w:firstLineChars="0"/>
              <w:jc w:val="center"/>
              <w:rPr>
                <w:rFonts w:hint="default" w:ascii="Times New Roman" w:hAnsi="Times New Roman" w:eastAsia="黑体" w:cs="Times New Roman"/>
                <w:b w:val="0"/>
                <w:bCs/>
                <w:sz w:val="21"/>
                <w:szCs w:val="21"/>
                <w:lang w:val="en-US" w:eastAsia="zh-CN"/>
              </w:rPr>
            </w:pPr>
            <w:r>
              <w:rPr>
                <w:rFonts w:hint="default" w:ascii="Times New Roman" w:hAnsi="Times New Roman" w:eastAsia="黑体" w:cs="Times New Roman"/>
                <w:b w:val="0"/>
                <w:bCs/>
                <w:sz w:val="21"/>
                <w:szCs w:val="21"/>
              </w:rPr>
              <w:t>表</w:t>
            </w:r>
            <w:r>
              <w:rPr>
                <w:rFonts w:hint="default" w:ascii="Times New Roman" w:hAnsi="Times New Roman" w:eastAsia="黑体" w:cs="Times New Roman"/>
                <w:b w:val="0"/>
                <w:bCs/>
                <w:sz w:val="21"/>
                <w:szCs w:val="21"/>
                <w:lang w:val="en-US" w:eastAsia="zh-CN"/>
              </w:rPr>
              <w:t>1-</w:t>
            </w:r>
            <w:r>
              <w:rPr>
                <w:rFonts w:hint="eastAsia" w:ascii="Times New Roman" w:hAnsi="Times New Roman" w:eastAsia="黑体" w:cs="Times New Roman"/>
                <w:b w:val="0"/>
                <w:bCs/>
                <w:sz w:val="21"/>
                <w:szCs w:val="21"/>
                <w:lang w:val="en-US" w:eastAsia="zh-CN"/>
              </w:rPr>
              <w:t>5</w:t>
            </w:r>
            <w:r>
              <w:rPr>
                <w:rFonts w:hint="default" w:ascii="Times New Roman" w:hAnsi="Times New Roman" w:eastAsia="黑体" w:cs="Times New Roman"/>
                <w:b w:val="0"/>
                <w:bCs/>
                <w:sz w:val="21"/>
                <w:szCs w:val="21"/>
              </w:rPr>
              <w:t xml:space="preserve"> </w:t>
            </w:r>
            <w:r>
              <w:rPr>
                <w:rFonts w:hint="default" w:ascii="Times New Roman" w:hAnsi="Times New Roman" w:eastAsia="黑体" w:cs="Times New Roman"/>
                <w:b w:val="0"/>
                <w:bCs/>
                <w:sz w:val="21"/>
                <w:szCs w:val="21"/>
                <w:lang w:val="en-US" w:eastAsia="zh-CN"/>
              </w:rPr>
              <w:t>与</w:t>
            </w:r>
            <w:r>
              <w:rPr>
                <w:rFonts w:hint="default" w:ascii="Times New Roman" w:hAnsi="Times New Roman" w:eastAsia="黑体" w:cs="Times New Roman"/>
                <w:b w:val="0"/>
                <w:bCs/>
                <w:sz w:val="21"/>
                <w:szCs w:val="21"/>
                <w:lang w:eastAsia="zh-CN"/>
              </w:rPr>
              <w:t>《关于印发安徽省长江经济带发展负面清单实施细则</w:t>
            </w:r>
            <w:r>
              <w:rPr>
                <w:rFonts w:hint="eastAsia" w:ascii="Times New Roman" w:hAnsi="Times New Roman" w:eastAsia="黑体" w:cs="Times New Roman"/>
                <w:b w:val="0"/>
                <w:bCs/>
                <w:sz w:val="21"/>
                <w:szCs w:val="21"/>
                <w:lang w:eastAsia="zh-CN"/>
              </w:rPr>
              <w:t>（</w:t>
            </w:r>
            <w:r>
              <w:rPr>
                <w:rFonts w:hint="default" w:ascii="Times New Roman" w:hAnsi="Times New Roman" w:eastAsia="黑体" w:cs="Times New Roman"/>
                <w:b w:val="0"/>
                <w:bCs/>
                <w:sz w:val="21"/>
                <w:szCs w:val="21"/>
                <w:lang w:eastAsia="zh-CN"/>
              </w:rPr>
              <w:t>试行，2022年版</w:t>
            </w:r>
            <w:r>
              <w:rPr>
                <w:rFonts w:hint="eastAsia" w:ascii="Times New Roman" w:hAnsi="Times New Roman" w:eastAsia="黑体" w:cs="Times New Roman"/>
                <w:b w:val="0"/>
                <w:bCs/>
                <w:sz w:val="21"/>
                <w:szCs w:val="21"/>
                <w:lang w:eastAsia="zh-CN"/>
              </w:rPr>
              <w:t>）</w:t>
            </w:r>
            <w:r>
              <w:rPr>
                <w:rFonts w:hint="default" w:ascii="Times New Roman" w:hAnsi="Times New Roman" w:eastAsia="黑体" w:cs="Times New Roman"/>
                <w:b w:val="0"/>
                <w:bCs/>
                <w:sz w:val="21"/>
                <w:szCs w:val="21"/>
                <w:lang w:eastAsia="zh-CN"/>
              </w:rPr>
              <w:t>的通知》</w:t>
            </w:r>
            <w:r>
              <w:rPr>
                <w:rFonts w:hint="default" w:ascii="Times New Roman" w:hAnsi="Times New Roman" w:eastAsia="黑体" w:cs="Times New Roman"/>
                <w:b w:val="0"/>
                <w:bCs/>
                <w:sz w:val="21"/>
                <w:szCs w:val="21"/>
                <w:lang w:val="en-US" w:eastAsia="zh-CN"/>
              </w:rPr>
              <w:t>相符性分析</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0"/>
              <w:gridCol w:w="4002"/>
              <w:gridCol w:w="2721"/>
              <w:gridCol w:w="975"/>
            </w:tblGrid>
            <w:tr w14:paraId="44734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00" w:type="pct"/>
                  <w:vAlign w:val="center"/>
                </w:tcPr>
                <w:p w14:paraId="5D6BD16F">
                  <w:pPr>
                    <w:shd w:val="clear"/>
                    <w:spacing w:line="360" w:lineRule="exact"/>
                    <w:jc w:val="center"/>
                    <w:rPr>
                      <w:rFonts w:hint="default" w:ascii="Times New Roman" w:hAnsi="Times New Roman" w:eastAsia="宋体" w:cs="Times New Roman"/>
                      <w:b w:val="0"/>
                      <w:bCs w:val="0"/>
                      <w:szCs w:val="21"/>
                      <w:lang w:val="en-US" w:eastAsia="zh-CN"/>
                    </w:rPr>
                  </w:pPr>
                  <w:r>
                    <w:rPr>
                      <w:rFonts w:hint="default" w:ascii="Times New Roman" w:hAnsi="Times New Roman" w:eastAsia="宋体" w:cs="Times New Roman"/>
                      <w:b w:val="0"/>
                      <w:bCs w:val="0"/>
                      <w:szCs w:val="21"/>
                      <w:lang w:val="en-US" w:eastAsia="zh-CN"/>
                    </w:rPr>
                    <w:t>序号</w:t>
                  </w:r>
                </w:p>
              </w:tc>
              <w:tc>
                <w:tcPr>
                  <w:tcW w:w="2443" w:type="pct"/>
                  <w:vAlign w:val="center"/>
                </w:tcPr>
                <w:p w14:paraId="31B9DC34">
                  <w:pPr>
                    <w:shd w:val="clear"/>
                    <w:spacing w:line="360" w:lineRule="exact"/>
                    <w:jc w:val="center"/>
                    <w:rPr>
                      <w:rFonts w:hint="default" w:ascii="Times New Roman" w:hAnsi="Times New Roman" w:eastAsia="宋体" w:cs="Times New Roman"/>
                      <w:b w:val="0"/>
                      <w:bCs w:val="0"/>
                      <w:szCs w:val="21"/>
                      <w:lang w:val="en-US" w:eastAsia="zh-CN"/>
                    </w:rPr>
                  </w:pPr>
                  <w:r>
                    <w:rPr>
                      <w:rFonts w:hint="default" w:ascii="Times New Roman" w:hAnsi="Times New Roman" w:eastAsia="宋体" w:cs="Times New Roman"/>
                      <w:b w:val="0"/>
                      <w:bCs w:val="0"/>
                      <w:szCs w:val="21"/>
                      <w:lang w:val="en-US" w:eastAsia="zh-CN"/>
                    </w:rPr>
                    <w:t>安徽省长江经济带发展负面清单要求</w:t>
                  </w:r>
                </w:p>
              </w:tc>
              <w:tc>
                <w:tcPr>
                  <w:tcW w:w="1661" w:type="pct"/>
                  <w:vAlign w:val="center"/>
                </w:tcPr>
                <w:p w14:paraId="4E16950B">
                  <w:pPr>
                    <w:shd w:val="clear"/>
                    <w:spacing w:line="360" w:lineRule="exact"/>
                    <w:jc w:val="center"/>
                    <w:rPr>
                      <w:rFonts w:hint="default" w:ascii="Times New Roman" w:hAnsi="Times New Roman" w:eastAsia="宋体" w:cs="Times New Roman"/>
                      <w:b w:val="0"/>
                      <w:bCs w:val="0"/>
                      <w:szCs w:val="21"/>
                      <w:lang w:val="en-US" w:eastAsia="zh-CN"/>
                    </w:rPr>
                  </w:pPr>
                  <w:r>
                    <w:rPr>
                      <w:rFonts w:hint="default" w:ascii="Times New Roman" w:hAnsi="Times New Roman" w:eastAsia="宋体" w:cs="Times New Roman"/>
                      <w:b w:val="0"/>
                      <w:bCs w:val="0"/>
                      <w:szCs w:val="21"/>
                      <w:lang w:val="en-US" w:eastAsia="zh-CN"/>
                    </w:rPr>
                    <w:t>本项目情况</w:t>
                  </w:r>
                </w:p>
              </w:tc>
              <w:tc>
                <w:tcPr>
                  <w:tcW w:w="595" w:type="pct"/>
                  <w:vAlign w:val="center"/>
                </w:tcPr>
                <w:p w14:paraId="7BE50C19">
                  <w:pPr>
                    <w:shd w:val="clear"/>
                    <w:spacing w:line="360" w:lineRule="exact"/>
                    <w:jc w:val="center"/>
                    <w:rPr>
                      <w:rFonts w:hint="default" w:ascii="Times New Roman" w:hAnsi="Times New Roman" w:eastAsia="宋体" w:cs="Times New Roman"/>
                      <w:b w:val="0"/>
                      <w:bCs w:val="0"/>
                      <w:szCs w:val="21"/>
                      <w:lang w:val="en-US" w:eastAsia="zh-CN"/>
                    </w:rPr>
                  </w:pPr>
                  <w:r>
                    <w:rPr>
                      <w:rFonts w:hint="default" w:ascii="Times New Roman" w:hAnsi="Times New Roman" w:eastAsia="宋体" w:cs="Times New Roman"/>
                      <w:b w:val="0"/>
                      <w:bCs w:val="0"/>
                      <w:szCs w:val="21"/>
                      <w:lang w:val="en-US" w:eastAsia="zh-CN"/>
                    </w:rPr>
                    <w:t>相符性</w:t>
                  </w:r>
                </w:p>
              </w:tc>
            </w:tr>
            <w:tr w14:paraId="04328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6A333FAA">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2443" w:type="pct"/>
                  <w:vAlign w:val="center"/>
                </w:tcPr>
                <w:p w14:paraId="78645A5B">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建设不符合全国和省港口布局规划以及港口总体规划的码头项目。码头建设项目需要使用港口岸线的，项目单位应当按照国家和省港口岸线使用管理相关规定，办理港口岸线使用手续。未取得港口岸线使用许可的，不得开工建设。</w:t>
                  </w:r>
                </w:p>
              </w:tc>
              <w:tc>
                <w:tcPr>
                  <w:tcW w:w="1661" w:type="pct"/>
                  <w:vAlign w:val="center"/>
                </w:tcPr>
                <w:p w14:paraId="2581CA8B">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highlight w:val="none"/>
                      <w:lang w:val="en-US" w:eastAsia="zh-CN"/>
                    </w:rPr>
                    <w:t>本项目不属于重码头项目</w:t>
                  </w:r>
                  <w:r>
                    <w:rPr>
                      <w:rFonts w:hint="eastAsia" w:ascii="Times New Roman" w:hAnsi="Times New Roman" w:eastAsia="宋体" w:cs="Times New Roman"/>
                      <w:szCs w:val="21"/>
                      <w:highlight w:val="none"/>
                      <w:lang w:val="en-US" w:eastAsia="zh-CN"/>
                    </w:rPr>
                    <w:t>。</w:t>
                  </w:r>
                </w:p>
              </w:tc>
              <w:tc>
                <w:tcPr>
                  <w:tcW w:w="595" w:type="pct"/>
                  <w:vAlign w:val="center"/>
                </w:tcPr>
                <w:p w14:paraId="7051AB97">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73E10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44494B53">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2443" w:type="pct"/>
                  <w:vAlign w:val="center"/>
                </w:tcPr>
                <w:p w14:paraId="4AFE37BF">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在自然保护区核心区、缓冲区的岸线和河段范围内投资建设旅游和生产经营项目。禁止违反风景名胜区规划，在风景名胜区的岸线和河段范围内设立各类开发区，在核心景区的岸线和河段范围内建设宾馆、招待所、培训中心、疗养院以及与风景名胜资源保护无关的其他项目。</w:t>
                  </w:r>
                </w:p>
              </w:tc>
              <w:tc>
                <w:tcPr>
                  <w:tcW w:w="1661" w:type="pct"/>
                  <w:vAlign w:val="center"/>
                </w:tcPr>
                <w:p w14:paraId="235D1A40">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本项目位于皖江江南新兴产业集中区规划范围内，不在自然保护区核心区、缓冲区的岸线和河段范围内。</w:t>
                  </w:r>
                </w:p>
              </w:tc>
              <w:tc>
                <w:tcPr>
                  <w:tcW w:w="595" w:type="pct"/>
                  <w:vAlign w:val="center"/>
                </w:tcPr>
                <w:p w14:paraId="3CB25D89">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053E7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67A671D2">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3</w:t>
                  </w:r>
                </w:p>
              </w:tc>
              <w:tc>
                <w:tcPr>
                  <w:tcW w:w="2443" w:type="pct"/>
                  <w:vAlign w:val="center"/>
                </w:tcPr>
                <w:p w14:paraId="4153E035">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在饮用水水源一级保护区的岸线和河段范围内新建、改建、扩建与供水设施和保护水源无关的项目，以及网箱养殖、畜禽养殖、施用化肥农药的种植以及旅游等可能污染饮用水水体的投资建设项目，禁止设立工业废渣、生活垃圾和其他废弃物堆场，禁止设置排污口。</w:t>
                  </w:r>
                </w:p>
                <w:p w14:paraId="5F016300">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禁止在饮用水水源二级保护区的岸线和河段范围内新建、改建扩建排放污染物的项目，禁止设置排污口。</w:t>
                  </w:r>
                </w:p>
              </w:tc>
              <w:tc>
                <w:tcPr>
                  <w:tcW w:w="1661" w:type="pct"/>
                  <w:vAlign w:val="center"/>
                </w:tcPr>
                <w:p w14:paraId="795343F9">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highlight w:val="none"/>
                      <w:lang w:val="en-US" w:eastAsia="zh-CN"/>
                    </w:rPr>
                    <w:t>本项目位于皖江江南新兴产业集中区规划范围内，不在饮用水水源一、二级保护区的岸线和河段范围内。</w:t>
                  </w:r>
                </w:p>
              </w:tc>
              <w:tc>
                <w:tcPr>
                  <w:tcW w:w="595" w:type="pct"/>
                  <w:vAlign w:val="center"/>
                </w:tcPr>
                <w:p w14:paraId="00F40230">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0EFAF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34D29781">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w:t>
                  </w:r>
                </w:p>
              </w:tc>
              <w:tc>
                <w:tcPr>
                  <w:tcW w:w="2443" w:type="pct"/>
                  <w:vAlign w:val="center"/>
                </w:tcPr>
                <w:p w14:paraId="40FA5FA4">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禁止未经许可在长江</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安徽段</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千支流、湖泊新设、改设或扩大排污口</w:t>
                  </w:r>
                  <w:r>
                    <w:rPr>
                      <w:rFonts w:hint="eastAsia" w:ascii="Times New Roman" w:hAnsi="Times New Roman" w:eastAsia="宋体" w:cs="Times New Roman"/>
                      <w:szCs w:val="21"/>
                      <w:lang w:val="en-US" w:eastAsia="zh-CN"/>
                    </w:rPr>
                    <w:t>。</w:t>
                  </w:r>
                </w:p>
              </w:tc>
              <w:tc>
                <w:tcPr>
                  <w:tcW w:w="1661" w:type="pct"/>
                  <w:vAlign w:val="center"/>
                </w:tcPr>
                <w:p w14:paraId="32B97493">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本项目不涉及</w:t>
                  </w:r>
                  <w:r>
                    <w:rPr>
                      <w:rFonts w:hint="default" w:ascii="Times New Roman" w:hAnsi="Times New Roman" w:eastAsia="宋体" w:cs="Times New Roman"/>
                      <w:szCs w:val="21"/>
                      <w:lang w:val="en-US" w:eastAsia="zh-CN"/>
                    </w:rPr>
                    <w:t>在长江</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安徽段</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千支流、湖泊新设、改设或扩大排污口</w:t>
                  </w:r>
                  <w:r>
                    <w:rPr>
                      <w:rFonts w:hint="eastAsia" w:ascii="Times New Roman" w:hAnsi="Times New Roman" w:eastAsia="宋体" w:cs="Times New Roman"/>
                      <w:szCs w:val="21"/>
                      <w:lang w:val="en-US" w:eastAsia="zh-CN"/>
                    </w:rPr>
                    <w:t>。</w:t>
                  </w:r>
                </w:p>
              </w:tc>
              <w:tc>
                <w:tcPr>
                  <w:tcW w:w="595" w:type="pct"/>
                  <w:vAlign w:val="center"/>
                </w:tcPr>
                <w:p w14:paraId="473785E9">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32838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44C6E86D">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5</w:t>
                  </w:r>
                </w:p>
              </w:tc>
              <w:tc>
                <w:tcPr>
                  <w:tcW w:w="2443" w:type="pct"/>
                  <w:vAlign w:val="center"/>
                </w:tcPr>
                <w:p w14:paraId="01A5262B">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禁止在长江</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安徽段</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干支流、巢湖岸线一公里范围内新建、扩建化工园区和化工项目。已批未开工的项目，依法停止建设支持重新选址。已经开工建设的项目，严格进行检查评估，不符合岸线规划和环保、安全要求的，全部依法依规停建搬迁。</w:t>
                  </w:r>
                </w:p>
              </w:tc>
              <w:tc>
                <w:tcPr>
                  <w:tcW w:w="1661" w:type="pct"/>
                  <w:vAlign w:val="center"/>
                </w:tcPr>
                <w:p w14:paraId="103878FA">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highlight w:val="none"/>
                      <w:lang w:val="en-US" w:eastAsia="zh-CN"/>
                    </w:rPr>
                    <w:t>本项目为C3914工业控制计算机及系统制造，不属于化工项</w:t>
                  </w:r>
                  <w:r>
                    <w:rPr>
                      <w:rFonts w:hint="eastAsia" w:ascii="Times New Roman" w:hAnsi="Times New Roman" w:eastAsia="宋体" w:cs="Times New Roman"/>
                      <w:szCs w:val="21"/>
                      <w:highlight w:val="none"/>
                      <w:lang w:val="en-US" w:eastAsia="zh-CN"/>
                    </w:rPr>
                    <w:t>目。</w:t>
                  </w:r>
                </w:p>
              </w:tc>
              <w:tc>
                <w:tcPr>
                  <w:tcW w:w="595" w:type="pct"/>
                  <w:vAlign w:val="center"/>
                </w:tcPr>
                <w:p w14:paraId="79066C5A">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10B08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2D701C84">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6</w:t>
                  </w:r>
                </w:p>
              </w:tc>
              <w:tc>
                <w:tcPr>
                  <w:tcW w:w="2443" w:type="pct"/>
                  <w:vAlign w:val="center"/>
                </w:tcPr>
                <w:p w14:paraId="69C702CF">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禁止在长江</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安徽段</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干支流、巢湖岸线一公里范围内新建、扩建化工园区和化工项目。已批未开工的项目，依法停止建设支持重新选址。已经开工建设的项目，严格进行检查评估，不符合岸线规划和环保、安全要求的，全部依法依规停建搬迁。禁止在长江干流岸线三公里范围内和主要支流岸线一公里范围内新建、改建、扩建尾矿库、冶炼渣库和磷石膏库，以提升安全生态环境保护水平为目的的改建除外。</w:t>
                  </w:r>
                </w:p>
              </w:tc>
              <w:tc>
                <w:tcPr>
                  <w:tcW w:w="1661" w:type="pct"/>
                  <w:vAlign w:val="center"/>
                </w:tcPr>
                <w:p w14:paraId="095FCDDD">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highlight w:val="none"/>
                      <w:lang w:val="en-US" w:eastAsia="zh-CN"/>
                    </w:rPr>
                    <w:t>本项目距离长江直线距离为</w:t>
                  </w:r>
                  <w:r>
                    <w:rPr>
                      <w:rFonts w:hint="eastAsia" w:ascii="Times New Roman" w:hAnsi="Times New Roman" w:eastAsia="宋体" w:cs="Times New Roman"/>
                      <w:szCs w:val="21"/>
                      <w:highlight w:val="none"/>
                      <w:lang w:val="en-US" w:eastAsia="zh-CN"/>
                    </w:rPr>
                    <w:t>1120</w:t>
                  </w:r>
                  <w:r>
                    <w:rPr>
                      <w:rFonts w:hint="default" w:ascii="Times New Roman" w:hAnsi="Times New Roman" w:eastAsia="宋体" w:cs="Times New Roman"/>
                      <w:szCs w:val="21"/>
                      <w:highlight w:val="none"/>
                      <w:lang w:val="en-US" w:eastAsia="zh-CN"/>
                    </w:rPr>
                    <w:t>m，不属于尾矿库、冶炼渣库和磷石膏库项目</w:t>
                  </w:r>
                  <w:r>
                    <w:rPr>
                      <w:rFonts w:hint="eastAsia" w:ascii="Times New Roman" w:hAnsi="Times New Roman" w:eastAsia="宋体" w:cs="Times New Roman"/>
                      <w:szCs w:val="21"/>
                      <w:highlight w:val="none"/>
                      <w:lang w:val="en-US" w:eastAsia="zh-CN"/>
                    </w:rPr>
                    <w:t>。</w:t>
                  </w:r>
                </w:p>
              </w:tc>
              <w:tc>
                <w:tcPr>
                  <w:tcW w:w="595" w:type="pct"/>
                  <w:vAlign w:val="center"/>
                </w:tcPr>
                <w:p w14:paraId="1FC5D1B0">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706D4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0C145026">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7</w:t>
                  </w:r>
                </w:p>
              </w:tc>
              <w:tc>
                <w:tcPr>
                  <w:tcW w:w="2443" w:type="pct"/>
                  <w:vAlign w:val="center"/>
                </w:tcPr>
                <w:p w14:paraId="439D6F72">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禁止在合规园区外新建、扩建钢铁、石化、化工、焦化、建材、有色、制浆造纸等高污染项目</w:t>
                  </w:r>
                </w:p>
              </w:tc>
              <w:tc>
                <w:tcPr>
                  <w:tcW w:w="1661" w:type="pct"/>
                  <w:vAlign w:val="center"/>
                </w:tcPr>
                <w:p w14:paraId="57EEF06C">
                  <w:pPr>
                    <w:shd w:val="clear"/>
                    <w:spacing w:line="36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本项目不属于钢铁、石化、化工、焦化、建材、有色、制浆造纸等高污染项目</w:t>
                  </w:r>
                  <w:r>
                    <w:rPr>
                      <w:rFonts w:hint="eastAsia" w:ascii="Times New Roman" w:hAnsi="Times New Roman" w:eastAsia="宋体" w:cs="Times New Roman"/>
                      <w:szCs w:val="21"/>
                      <w:highlight w:val="none"/>
                      <w:lang w:val="en-US" w:eastAsia="zh-CN"/>
                    </w:rPr>
                    <w:t>。</w:t>
                  </w:r>
                </w:p>
              </w:tc>
              <w:tc>
                <w:tcPr>
                  <w:tcW w:w="595" w:type="pct"/>
                  <w:vAlign w:val="center"/>
                </w:tcPr>
                <w:p w14:paraId="6322C15C">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46CF7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749C82BE">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8</w:t>
                  </w:r>
                </w:p>
              </w:tc>
              <w:tc>
                <w:tcPr>
                  <w:tcW w:w="2443" w:type="pct"/>
                  <w:vAlign w:val="center"/>
                </w:tcPr>
                <w:p w14:paraId="17D8383F">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禁止新建、扩建不符合国家石化、现代煤化工等产业布局规划的项目。</w:t>
                  </w:r>
                </w:p>
              </w:tc>
              <w:tc>
                <w:tcPr>
                  <w:tcW w:w="1661" w:type="pct"/>
                  <w:vAlign w:val="center"/>
                </w:tcPr>
                <w:p w14:paraId="7981FD18">
                  <w:pPr>
                    <w:shd w:val="clear"/>
                    <w:spacing w:line="36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本项目不属于石化、现代煤化工项目</w:t>
                  </w:r>
                  <w:r>
                    <w:rPr>
                      <w:rFonts w:hint="eastAsia" w:ascii="Times New Roman" w:hAnsi="Times New Roman" w:eastAsia="宋体" w:cs="Times New Roman"/>
                      <w:szCs w:val="21"/>
                      <w:highlight w:val="none"/>
                      <w:lang w:val="en-US" w:eastAsia="zh-CN"/>
                    </w:rPr>
                    <w:t>。</w:t>
                  </w:r>
                </w:p>
              </w:tc>
              <w:tc>
                <w:tcPr>
                  <w:tcW w:w="595" w:type="pct"/>
                  <w:vAlign w:val="center"/>
                </w:tcPr>
                <w:p w14:paraId="73010696">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481D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655A7016">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9</w:t>
                  </w:r>
                </w:p>
              </w:tc>
              <w:tc>
                <w:tcPr>
                  <w:tcW w:w="2443" w:type="pct"/>
                  <w:vAlign w:val="center"/>
                </w:tcPr>
                <w:p w14:paraId="02CBF76D">
                  <w:pPr>
                    <w:shd w:val="clear"/>
                    <w:spacing w:line="360" w:lineRule="exact"/>
                    <w:jc w:val="both"/>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禁止新建、扩建法律法规和相关政策明令禁止的落后产能项目。</w:t>
                  </w:r>
                </w:p>
                <w:p w14:paraId="6A7675C3">
                  <w:pPr>
                    <w:shd w:val="clear"/>
                    <w:spacing w:line="360" w:lineRule="exact"/>
                    <w:jc w:val="both"/>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严格执行国家《产业结构调整指导目录》淘汰类和限制类有关规定，禁止投资建设属于淘汰类的项目，禁止投资新建属于限制类的项目。对属于限制类的现有生产能力，允许企业在一定期限内采取措施改造升级。</w:t>
                  </w:r>
                </w:p>
                <w:p w14:paraId="03E8446E">
                  <w:pPr>
                    <w:shd w:val="clear"/>
                    <w:spacing w:line="360" w:lineRule="exact"/>
                    <w:jc w:val="both"/>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禁止新建、扩建不符合国家产能置换要求的严重过剩产能行业的项目。禁止新建、扩建不符合要求的高耗能高排放项目。</w:t>
                  </w:r>
                </w:p>
              </w:tc>
              <w:tc>
                <w:tcPr>
                  <w:tcW w:w="1661" w:type="pct"/>
                  <w:vAlign w:val="center"/>
                </w:tcPr>
                <w:p w14:paraId="6A640365">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本</w:t>
                  </w:r>
                  <w:r>
                    <w:rPr>
                      <w:rFonts w:hint="default" w:ascii="Times New Roman" w:hAnsi="Times New Roman" w:eastAsia="宋体" w:cs="Times New Roman"/>
                      <w:szCs w:val="21"/>
                      <w:lang w:val="en-US" w:eastAsia="zh-CN"/>
                    </w:rPr>
                    <w:t>项目为《产业结构调整指导目录》中鼓励类项目，不属于产能落后项目，且对照《安徽省</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两高</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项目管理目录</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试行</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》，本项目不属于</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两高</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项目。</w:t>
                  </w:r>
                </w:p>
              </w:tc>
              <w:tc>
                <w:tcPr>
                  <w:tcW w:w="595" w:type="pct"/>
                  <w:vAlign w:val="center"/>
                </w:tcPr>
                <w:p w14:paraId="63491FE3">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bl>
          <w:p w14:paraId="7300BE75">
            <w:pPr>
              <w:pStyle w:val="21"/>
              <w:keepNext w:val="0"/>
              <w:keepLines w:val="0"/>
              <w:pageBreakBefore w:val="0"/>
              <w:widowControl w:val="0"/>
              <w:shd w:val="clear"/>
              <w:kinsoku/>
              <w:wordWrap/>
              <w:overflowPunct/>
              <w:topLinePunct w:val="0"/>
              <w:autoSpaceDE/>
              <w:autoSpaceDN/>
              <w:bidi w:val="0"/>
              <w:snapToGrid/>
              <w:spacing w:after="0" w:line="360" w:lineRule="auto"/>
              <w:textAlignment w:val="auto"/>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b/>
                <w:bCs/>
                <w:sz w:val="24"/>
                <w:lang w:val="en-US" w:eastAsia="zh-CN"/>
              </w:rPr>
              <w:t>9</w:t>
            </w:r>
            <w:r>
              <w:rPr>
                <w:rFonts w:hint="default" w:ascii="Times New Roman" w:hAnsi="Times New Roman" w:eastAsia="宋体" w:cs="Times New Roman"/>
                <w:b/>
                <w:bCs/>
                <w:sz w:val="24"/>
                <w:lang w:val="en-US" w:eastAsia="zh-CN"/>
              </w:rPr>
              <w:t>、</w:t>
            </w:r>
            <w:r>
              <w:rPr>
                <w:rFonts w:hint="default" w:ascii="Times New Roman" w:hAnsi="Times New Roman" w:eastAsia="宋体" w:cs="Times New Roman"/>
                <w:b/>
                <w:bCs/>
                <w:sz w:val="24"/>
              </w:rPr>
              <w:t>与</w:t>
            </w:r>
            <w:r>
              <w:rPr>
                <w:rFonts w:hint="default" w:ascii="Times New Roman" w:hAnsi="Times New Roman" w:eastAsia="宋体" w:cs="Times New Roman"/>
                <w:b/>
                <w:bCs/>
                <w:sz w:val="24"/>
                <w:lang w:eastAsia="zh-CN"/>
              </w:rPr>
              <w:t>《安徽省挥发性有机物污染整治工作方案》</w:t>
            </w:r>
            <w:r>
              <w:rPr>
                <w:rFonts w:hint="default" w:ascii="Times New Roman" w:hAnsi="Times New Roman" w:eastAsia="宋体" w:cs="Times New Roman"/>
                <w:b/>
                <w:bCs/>
                <w:sz w:val="24"/>
                <w:lang w:val="en-US" w:eastAsia="zh-CN"/>
              </w:rPr>
              <w:t>相符</w:t>
            </w:r>
            <w:r>
              <w:rPr>
                <w:rFonts w:hint="default" w:ascii="Times New Roman" w:hAnsi="Times New Roman" w:eastAsia="宋体" w:cs="Times New Roman"/>
                <w:b/>
                <w:bCs/>
                <w:sz w:val="24"/>
              </w:rPr>
              <w:t>性分析</w:t>
            </w:r>
          </w:p>
          <w:p w14:paraId="79B98E6A">
            <w:pPr>
              <w:pStyle w:val="28"/>
              <w:keepNext w:val="0"/>
              <w:keepLines w:val="0"/>
              <w:pageBreakBefore w:val="0"/>
              <w:widowControl w:val="0"/>
              <w:shd w:val="clear"/>
              <w:kinsoku/>
              <w:wordWrap/>
              <w:overflowPunct/>
              <w:topLinePunct w:val="0"/>
              <w:bidi w:val="0"/>
              <w:snapToGrid/>
              <w:spacing w:line="360" w:lineRule="auto"/>
              <w:ind w:left="0" w:leftChars="0" w:firstLine="0" w:firstLineChars="0"/>
              <w:jc w:val="center"/>
              <w:rPr>
                <w:rFonts w:hint="default" w:ascii="Times New Roman" w:hAnsi="Times New Roman" w:eastAsia="黑体" w:cs="Times New Roman"/>
                <w:b w:val="0"/>
                <w:bCs/>
                <w:sz w:val="21"/>
                <w:szCs w:val="21"/>
                <w:lang w:val="en-US" w:eastAsia="zh-CN"/>
              </w:rPr>
            </w:pPr>
            <w:r>
              <w:rPr>
                <w:rFonts w:hint="default" w:ascii="Times New Roman" w:hAnsi="Times New Roman" w:eastAsia="黑体" w:cs="Times New Roman"/>
                <w:b w:val="0"/>
                <w:bCs/>
                <w:sz w:val="21"/>
                <w:szCs w:val="21"/>
              </w:rPr>
              <w:t>表</w:t>
            </w:r>
            <w:r>
              <w:rPr>
                <w:rFonts w:hint="default" w:ascii="Times New Roman" w:hAnsi="Times New Roman" w:eastAsia="黑体" w:cs="Times New Roman"/>
                <w:b w:val="0"/>
                <w:bCs/>
                <w:sz w:val="21"/>
                <w:szCs w:val="21"/>
                <w:lang w:val="en-US" w:eastAsia="zh-CN"/>
              </w:rPr>
              <w:t>1-</w:t>
            </w:r>
            <w:r>
              <w:rPr>
                <w:rFonts w:hint="eastAsia" w:ascii="Times New Roman" w:hAnsi="Times New Roman" w:eastAsia="黑体" w:cs="Times New Roman"/>
                <w:b w:val="0"/>
                <w:bCs/>
                <w:sz w:val="21"/>
                <w:szCs w:val="21"/>
                <w:lang w:val="en-US" w:eastAsia="zh-CN"/>
              </w:rPr>
              <w:t>6</w:t>
            </w:r>
            <w:r>
              <w:rPr>
                <w:rFonts w:hint="default" w:ascii="Times New Roman" w:hAnsi="Times New Roman" w:eastAsia="黑体" w:cs="Times New Roman"/>
                <w:b w:val="0"/>
                <w:bCs/>
                <w:sz w:val="21"/>
                <w:szCs w:val="21"/>
              </w:rPr>
              <w:t xml:space="preserve"> </w:t>
            </w:r>
            <w:r>
              <w:rPr>
                <w:rFonts w:hint="default" w:ascii="Times New Roman" w:hAnsi="Times New Roman" w:eastAsia="黑体" w:cs="Times New Roman"/>
                <w:b w:val="0"/>
                <w:bCs/>
                <w:sz w:val="21"/>
                <w:szCs w:val="21"/>
                <w:lang w:val="en-US" w:eastAsia="zh-CN"/>
              </w:rPr>
              <w:t>与</w:t>
            </w:r>
            <w:r>
              <w:rPr>
                <w:rFonts w:hint="default" w:ascii="Times New Roman" w:hAnsi="Times New Roman" w:eastAsia="黑体" w:cs="Times New Roman"/>
                <w:b w:val="0"/>
                <w:bCs/>
                <w:sz w:val="21"/>
                <w:szCs w:val="21"/>
                <w:lang w:eastAsia="zh-CN"/>
              </w:rPr>
              <w:t>《安徽省挥发性有机物污染整治工作方案》</w:t>
            </w:r>
            <w:r>
              <w:rPr>
                <w:rFonts w:hint="default" w:ascii="Times New Roman" w:hAnsi="Times New Roman" w:eastAsia="黑体" w:cs="Times New Roman"/>
                <w:b w:val="0"/>
                <w:bCs/>
                <w:sz w:val="21"/>
                <w:szCs w:val="21"/>
                <w:lang w:val="en-US" w:eastAsia="zh-CN"/>
              </w:rPr>
              <w:t>相符性分析</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0"/>
              <w:gridCol w:w="4002"/>
              <w:gridCol w:w="2721"/>
              <w:gridCol w:w="975"/>
            </w:tblGrid>
            <w:tr w14:paraId="60B55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00" w:type="pct"/>
                  <w:vAlign w:val="center"/>
                </w:tcPr>
                <w:p w14:paraId="6871CDEF">
                  <w:pPr>
                    <w:shd w:val="clear"/>
                    <w:spacing w:line="360" w:lineRule="exact"/>
                    <w:jc w:val="center"/>
                    <w:rPr>
                      <w:rFonts w:hint="default" w:ascii="Times New Roman" w:hAnsi="Times New Roman" w:eastAsia="宋体" w:cs="Times New Roman"/>
                      <w:b w:val="0"/>
                      <w:bCs w:val="0"/>
                      <w:szCs w:val="21"/>
                      <w:lang w:val="en-US" w:eastAsia="zh-CN"/>
                    </w:rPr>
                  </w:pPr>
                  <w:r>
                    <w:rPr>
                      <w:rFonts w:hint="default" w:ascii="Times New Roman" w:hAnsi="Times New Roman" w:eastAsia="宋体" w:cs="Times New Roman"/>
                      <w:b w:val="0"/>
                      <w:bCs w:val="0"/>
                      <w:szCs w:val="21"/>
                      <w:lang w:val="en-US" w:eastAsia="zh-CN"/>
                    </w:rPr>
                    <w:t>序号</w:t>
                  </w:r>
                </w:p>
              </w:tc>
              <w:tc>
                <w:tcPr>
                  <w:tcW w:w="2443" w:type="pct"/>
                  <w:vAlign w:val="center"/>
                </w:tcPr>
                <w:p w14:paraId="51A9BE50">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方案</w:t>
                  </w:r>
                  <w:r>
                    <w:rPr>
                      <w:rFonts w:hint="default" w:ascii="Times New Roman" w:hAnsi="Times New Roman" w:eastAsia="宋体" w:cs="Times New Roman"/>
                      <w:b w:val="0"/>
                      <w:bCs w:val="0"/>
                      <w:szCs w:val="21"/>
                      <w:lang w:val="en-US" w:eastAsia="zh-CN"/>
                    </w:rPr>
                    <w:t>要求</w:t>
                  </w:r>
                </w:p>
              </w:tc>
              <w:tc>
                <w:tcPr>
                  <w:tcW w:w="1661" w:type="pct"/>
                  <w:vAlign w:val="center"/>
                </w:tcPr>
                <w:p w14:paraId="56B309C2">
                  <w:pPr>
                    <w:shd w:val="clear"/>
                    <w:spacing w:line="360" w:lineRule="exact"/>
                    <w:jc w:val="center"/>
                    <w:rPr>
                      <w:rFonts w:hint="default" w:ascii="Times New Roman" w:hAnsi="Times New Roman" w:eastAsia="宋体" w:cs="Times New Roman"/>
                      <w:b w:val="0"/>
                      <w:bCs w:val="0"/>
                      <w:szCs w:val="21"/>
                      <w:lang w:val="en-US" w:eastAsia="zh-CN"/>
                    </w:rPr>
                  </w:pPr>
                  <w:r>
                    <w:rPr>
                      <w:rFonts w:hint="default" w:ascii="Times New Roman" w:hAnsi="Times New Roman" w:eastAsia="宋体" w:cs="Times New Roman"/>
                      <w:b w:val="0"/>
                      <w:bCs w:val="0"/>
                      <w:szCs w:val="21"/>
                      <w:lang w:val="en-US" w:eastAsia="zh-CN"/>
                    </w:rPr>
                    <w:t>本项目情况</w:t>
                  </w:r>
                </w:p>
              </w:tc>
              <w:tc>
                <w:tcPr>
                  <w:tcW w:w="595" w:type="pct"/>
                  <w:vAlign w:val="center"/>
                </w:tcPr>
                <w:p w14:paraId="3AD6DB5D">
                  <w:pPr>
                    <w:shd w:val="clear"/>
                    <w:spacing w:line="360" w:lineRule="exact"/>
                    <w:jc w:val="center"/>
                    <w:rPr>
                      <w:rFonts w:hint="default" w:ascii="Times New Roman" w:hAnsi="Times New Roman" w:eastAsia="宋体" w:cs="Times New Roman"/>
                      <w:b w:val="0"/>
                      <w:bCs w:val="0"/>
                      <w:szCs w:val="21"/>
                      <w:lang w:val="en-US" w:eastAsia="zh-CN"/>
                    </w:rPr>
                  </w:pPr>
                  <w:r>
                    <w:rPr>
                      <w:rFonts w:hint="default" w:ascii="Times New Roman" w:hAnsi="Times New Roman" w:eastAsia="宋体" w:cs="Times New Roman"/>
                      <w:b w:val="0"/>
                      <w:bCs w:val="0"/>
                      <w:szCs w:val="21"/>
                      <w:lang w:val="en-US" w:eastAsia="zh-CN"/>
                    </w:rPr>
                    <w:t>相符性</w:t>
                  </w:r>
                </w:p>
              </w:tc>
            </w:tr>
            <w:tr w14:paraId="42D14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52231204">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2443" w:type="pct"/>
                  <w:vAlign w:val="center"/>
                </w:tcPr>
                <w:p w14:paraId="1503C63A">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（一）</w:t>
                  </w:r>
                  <w:r>
                    <w:rPr>
                      <w:rFonts w:hint="default" w:ascii="Times New Roman" w:hAnsi="Times New Roman" w:eastAsia="宋体" w:cs="Times New Roman"/>
                      <w:szCs w:val="21"/>
                      <w:lang w:val="en-US" w:eastAsia="zh-CN"/>
                    </w:rPr>
                    <w:t>优化产业布局。结合城市总体规划、主体功能区规划要求，优化调整VOC</w:t>
                  </w:r>
                  <w:r>
                    <w:rPr>
                      <w:rFonts w:hint="eastAsia" w:ascii="Times New Roman" w:hAnsi="Times New Roman" w:eastAsia="宋体" w:cs="Times New Roman"/>
                      <w:szCs w:val="21"/>
                      <w:vertAlign w:val="subscript"/>
                      <w:lang w:val="en-US" w:eastAsia="zh-CN"/>
                    </w:rPr>
                    <w:t>S</w:t>
                  </w:r>
                  <w:r>
                    <w:rPr>
                      <w:rFonts w:hint="default" w:ascii="Times New Roman" w:hAnsi="Times New Roman" w:eastAsia="宋体" w:cs="Times New Roman"/>
                      <w:szCs w:val="21"/>
                      <w:lang w:val="en-US" w:eastAsia="zh-CN"/>
                    </w:rPr>
                    <w:t>产业布局。在城市建成区、自然保护区、水源保护区、风景名胜区、森林公园、重要湿地生态敏感区和其他重要生态功能区实行强制性保护，禁止新建VOC</w:t>
                  </w:r>
                  <w:r>
                    <w:rPr>
                      <w:rFonts w:hint="eastAsia" w:ascii="Times New Roman" w:hAnsi="Times New Roman" w:eastAsia="宋体" w:cs="Times New Roman"/>
                      <w:szCs w:val="21"/>
                      <w:vertAlign w:val="subscript"/>
                      <w:lang w:val="en-US" w:eastAsia="zh-CN"/>
                    </w:rPr>
                    <w:t>S</w:t>
                  </w:r>
                  <w:r>
                    <w:rPr>
                      <w:rFonts w:hint="default" w:ascii="Times New Roman" w:hAnsi="Times New Roman" w:eastAsia="宋体" w:cs="Times New Roman"/>
                      <w:szCs w:val="21"/>
                      <w:lang w:val="en-US" w:eastAsia="zh-CN"/>
                    </w:rPr>
                    <w:t>高污染企业。在水源涵养区、水土保持区等生态功能区实施限制开发。</w:t>
                  </w:r>
                </w:p>
              </w:tc>
              <w:tc>
                <w:tcPr>
                  <w:tcW w:w="1661" w:type="pct"/>
                  <w:vAlign w:val="center"/>
                </w:tcPr>
                <w:p w14:paraId="18C4EB56">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本项目位于皖江江南新兴产业集中区，不在城市建成区自然保护区、水源保护区、风景名胜区、森林公园、重要湿地、生态敏感区和其他重要生态功能区内。</w:t>
                  </w:r>
                </w:p>
                <w:p w14:paraId="74CF2EB6">
                  <w:pPr>
                    <w:shd w:val="clear"/>
                    <w:spacing w:line="360" w:lineRule="exact"/>
                    <w:jc w:val="center"/>
                    <w:rPr>
                      <w:rFonts w:hint="default" w:ascii="Times New Roman" w:hAnsi="Times New Roman" w:eastAsia="宋体" w:cs="Times New Roman"/>
                      <w:szCs w:val="21"/>
                      <w:lang w:val="en-US" w:eastAsia="zh-CN"/>
                    </w:rPr>
                  </w:pPr>
                </w:p>
              </w:tc>
              <w:tc>
                <w:tcPr>
                  <w:tcW w:w="595" w:type="pct"/>
                  <w:vAlign w:val="center"/>
                </w:tcPr>
                <w:p w14:paraId="273EAD8E">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3D657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745B02B4">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w:t>
                  </w:r>
                </w:p>
              </w:tc>
              <w:tc>
                <w:tcPr>
                  <w:tcW w:w="2443" w:type="pct"/>
                  <w:vAlign w:val="center"/>
                </w:tcPr>
                <w:p w14:paraId="2BE633B6">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（二）</w:t>
                  </w:r>
                  <w:r>
                    <w:rPr>
                      <w:rFonts w:hint="default" w:ascii="Times New Roman" w:hAnsi="Times New Roman" w:eastAsia="宋体" w:cs="Times New Roman"/>
                      <w:szCs w:val="21"/>
                      <w:lang w:val="en-US" w:eastAsia="zh-CN"/>
                    </w:rPr>
                    <w:t>加快产业升级。</w:t>
                  </w:r>
                  <w:r>
                    <w:rPr>
                      <w:rFonts w:hint="eastAsia" w:ascii="Times New Roman" w:hAnsi="Times New Roman" w:eastAsia="宋体" w:cs="Times New Roman"/>
                      <w:szCs w:val="21"/>
                      <w:lang w:val="en-US" w:eastAsia="zh-CN"/>
                    </w:rPr>
                    <w:t>1.</w:t>
                  </w:r>
                  <w:r>
                    <w:rPr>
                      <w:rFonts w:hint="default" w:ascii="Times New Roman" w:hAnsi="Times New Roman" w:eastAsia="宋体" w:cs="Times New Roman"/>
                      <w:szCs w:val="21"/>
                      <w:lang w:val="en-US" w:eastAsia="zh-CN"/>
                    </w:rPr>
                    <w:t>加快淘汰落后产能。严格执行VOC</w:t>
                  </w:r>
                  <w:r>
                    <w:rPr>
                      <w:rFonts w:hint="eastAsia" w:ascii="Times New Roman" w:hAnsi="Times New Roman" w:eastAsia="宋体" w:cs="Times New Roman"/>
                      <w:szCs w:val="21"/>
                      <w:vertAlign w:val="subscript"/>
                      <w:lang w:val="en-US" w:eastAsia="zh-CN"/>
                    </w:rPr>
                    <w:t>S</w:t>
                  </w:r>
                  <w:r>
                    <w:rPr>
                      <w:rFonts w:hint="default" w:ascii="Times New Roman" w:hAnsi="Times New Roman" w:eastAsia="宋体" w:cs="Times New Roman"/>
                      <w:szCs w:val="21"/>
                      <w:lang w:val="en-US" w:eastAsia="zh-CN"/>
                    </w:rPr>
                    <w:t>重点行业相关产业政策，加快淘汰落后产品、技术和工艺装备，提前淘汰污染物排放强度大、产品附加值低环境信访多的落后产能，关闭能耗超标、污染物排放超标且治理无望的企业和生产线。</w:t>
                  </w:r>
                </w:p>
              </w:tc>
              <w:tc>
                <w:tcPr>
                  <w:tcW w:w="1661" w:type="pct"/>
                  <w:vAlign w:val="center"/>
                </w:tcPr>
                <w:p w14:paraId="098C439A">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本项目属于C3914工业控制计算机及系统制造，根据《产业结构调整指导目录》（2024年本），属于鼓励类</w:t>
                  </w:r>
                  <w:r>
                    <w:rPr>
                      <w:rFonts w:hint="eastAsia" w:ascii="Times New Roman" w:hAnsi="Times New Roman" w:eastAsia="宋体" w:cs="Times New Roman"/>
                      <w:szCs w:val="21"/>
                      <w:lang w:val="en-US" w:eastAsia="zh-CN"/>
                    </w:rPr>
                    <w:t>中</w:t>
                  </w:r>
                  <w:r>
                    <w:rPr>
                      <w:rFonts w:hint="default" w:ascii="Times New Roman" w:hAnsi="Times New Roman" w:eastAsia="宋体" w:cs="Times New Roman"/>
                      <w:szCs w:val="21"/>
                      <w:lang w:val="en-US" w:eastAsia="zh-CN"/>
                    </w:rPr>
                    <w:t>“二十八、信息产业”中“2、计算机及相关设备”。</w:t>
                  </w:r>
                </w:p>
                <w:p w14:paraId="71E4D17D">
                  <w:pPr>
                    <w:shd w:val="clear"/>
                    <w:spacing w:line="360" w:lineRule="exact"/>
                    <w:jc w:val="center"/>
                    <w:rPr>
                      <w:rFonts w:hint="default" w:ascii="Times New Roman" w:hAnsi="Times New Roman" w:eastAsia="宋体" w:cs="Times New Roman"/>
                      <w:szCs w:val="21"/>
                      <w:lang w:val="en-US" w:eastAsia="zh-CN"/>
                    </w:rPr>
                  </w:pPr>
                </w:p>
              </w:tc>
              <w:tc>
                <w:tcPr>
                  <w:tcW w:w="595" w:type="pct"/>
                  <w:vAlign w:val="center"/>
                </w:tcPr>
                <w:p w14:paraId="03C1EC23">
                  <w:pPr>
                    <w:shd w:val="clear"/>
                    <w:spacing w:line="360" w:lineRule="exact"/>
                    <w:jc w:val="center"/>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2D57F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14C58746">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3</w:t>
                  </w:r>
                </w:p>
              </w:tc>
              <w:tc>
                <w:tcPr>
                  <w:tcW w:w="2443" w:type="pct"/>
                  <w:vAlign w:val="center"/>
                </w:tcPr>
                <w:p w14:paraId="56080782">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（三）</w:t>
                  </w:r>
                  <w:r>
                    <w:rPr>
                      <w:rFonts w:hint="default" w:ascii="Times New Roman" w:hAnsi="Times New Roman" w:eastAsia="宋体" w:cs="Times New Roman"/>
                      <w:szCs w:val="21"/>
                      <w:lang w:val="en-US" w:eastAsia="zh-CN"/>
                    </w:rPr>
                    <w:t>严格建设项目准入。将控制挥发性有机物排放列入建设项目环境影响评价重要内容，严格环境准入，严控“两高行业新增产能。新建、迁建VOC</w:t>
                  </w:r>
                  <w:r>
                    <w:rPr>
                      <w:rFonts w:hint="eastAsia" w:ascii="Times New Roman" w:hAnsi="Times New Roman" w:eastAsia="宋体" w:cs="Times New Roman"/>
                      <w:szCs w:val="21"/>
                      <w:vertAlign w:val="subscript"/>
                      <w:lang w:val="en-US" w:eastAsia="zh-CN"/>
                    </w:rPr>
                    <w:t>S</w:t>
                  </w:r>
                  <w:r>
                    <w:rPr>
                      <w:rFonts w:hint="default" w:ascii="Times New Roman" w:hAnsi="Times New Roman" w:eastAsia="宋体" w:cs="Times New Roman"/>
                      <w:szCs w:val="21"/>
                      <w:lang w:val="en-US" w:eastAsia="zh-CN"/>
                    </w:rPr>
                    <w:t>排放量大的企业应入工业园区并符合规划要求，必须建设挥发性有机物污染治理设施，安装废气收集、回收或净化装置，原则上总净化效率不得低于90%。</w:t>
                  </w:r>
                </w:p>
              </w:tc>
              <w:tc>
                <w:tcPr>
                  <w:tcW w:w="1661" w:type="pct"/>
                  <w:vAlign w:val="center"/>
                </w:tcPr>
                <w:p w14:paraId="24D351BC">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本项目用地为园区工业用地，生产过程中废气</w:t>
                  </w:r>
                  <w:r>
                    <w:rPr>
                      <w:rFonts w:hint="eastAsia" w:ascii="Times New Roman" w:hAnsi="Times New Roman" w:eastAsia="宋体" w:cs="Times New Roman"/>
                      <w:szCs w:val="21"/>
                      <w:lang w:val="en-US" w:eastAsia="zh-CN"/>
                    </w:rPr>
                    <w:t>经集中收集后</w:t>
                  </w:r>
                  <w:r>
                    <w:rPr>
                      <w:rFonts w:hint="default" w:ascii="Times New Roman" w:hAnsi="Times New Roman" w:eastAsia="宋体" w:cs="Times New Roman"/>
                      <w:szCs w:val="21"/>
                      <w:lang w:val="en-US" w:eastAsia="zh-CN"/>
                    </w:rPr>
                    <w:t>通过</w:t>
                  </w:r>
                  <w:r>
                    <w:rPr>
                      <w:rFonts w:hint="eastAsia" w:ascii="Times New Roman" w:hAnsi="Times New Roman" w:eastAsia="宋体" w:cs="Times New Roman"/>
                      <w:szCs w:val="21"/>
                      <w:lang w:val="en-US" w:eastAsia="zh-CN"/>
                    </w:rPr>
                    <w:t>“滤筒除尘器+二级活性炭吸附”装置</w:t>
                  </w:r>
                  <w:r>
                    <w:rPr>
                      <w:rFonts w:hint="default" w:ascii="Times New Roman" w:hAnsi="Times New Roman" w:eastAsia="宋体" w:cs="Times New Roman"/>
                      <w:szCs w:val="21"/>
                      <w:lang w:val="en-US" w:eastAsia="zh-CN"/>
                    </w:rPr>
                    <w:t>处理，最后经</w:t>
                  </w:r>
                  <w:r>
                    <w:rPr>
                      <w:rFonts w:hint="eastAsia" w:ascii="Times New Roman" w:hAnsi="Times New Roman" w:eastAsia="宋体" w:cs="Times New Roman"/>
                      <w:szCs w:val="21"/>
                      <w:lang w:val="en-US" w:eastAsia="zh-CN"/>
                    </w:rPr>
                    <w:t>1根23</w:t>
                  </w:r>
                  <w:r>
                    <w:rPr>
                      <w:rFonts w:hint="default" w:ascii="Times New Roman" w:hAnsi="Times New Roman" w:eastAsia="宋体" w:cs="Times New Roman"/>
                      <w:szCs w:val="21"/>
                      <w:lang w:val="en-US" w:eastAsia="zh-CN"/>
                    </w:rPr>
                    <w:t>m高排气筒</w:t>
                  </w:r>
                  <w:r>
                    <w:rPr>
                      <w:rFonts w:hint="eastAsia" w:ascii="Times New Roman" w:hAnsi="Times New Roman" w:eastAsia="宋体" w:cs="Times New Roman"/>
                      <w:szCs w:val="21"/>
                      <w:lang w:val="en-US" w:eastAsia="zh-CN"/>
                    </w:rPr>
                    <w:t>（DA001）</w:t>
                  </w:r>
                  <w:r>
                    <w:rPr>
                      <w:rFonts w:hint="default" w:ascii="Times New Roman" w:hAnsi="Times New Roman" w:eastAsia="宋体" w:cs="Times New Roman"/>
                      <w:szCs w:val="21"/>
                      <w:lang w:val="en-US" w:eastAsia="zh-CN"/>
                    </w:rPr>
                    <w:t>排放，本评价要求建设单位有机废气治理措施处理效率达到 9</w:t>
                  </w:r>
                  <w:r>
                    <w:rPr>
                      <w:rFonts w:hint="eastAsia" w:ascii="Times New Roman" w:hAnsi="Times New Roman" w:eastAsia="宋体" w:cs="Times New Roman"/>
                      <w:szCs w:val="21"/>
                      <w:lang w:val="en-US" w:eastAsia="zh-CN"/>
                    </w:rPr>
                    <w:t>0</w:t>
                  </w:r>
                  <w:r>
                    <w:rPr>
                      <w:rFonts w:hint="default" w:ascii="Times New Roman" w:hAnsi="Times New Roman" w:eastAsia="宋体" w:cs="Times New Roman"/>
                      <w:szCs w:val="21"/>
                      <w:lang w:val="en-US" w:eastAsia="zh-CN"/>
                    </w:rPr>
                    <w:t>%。</w:t>
                  </w:r>
                </w:p>
              </w:tc>
              <w:tc>
                <w:tcPr>
                  <w:tcW w:w="595" w:type="pct"/>
                  <w:vAlign w:val="center"/>
                </w:tcPr>
                <w:p w14:paraId="72F93989">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bl>
          <w:p w14:paraId="2F60C093">
            <w:pPr>
              <w:pStyle w:val="21"/>
              <w:keepNext w:val="0"/>
              <w:keepLines w:val="0"/>
              <w:pageBreakBefore w:val="0"/>
              <w:widowControl w:val="0"/>
              <w:shd w:val="clear"/>
              <w:kinsoku/>
              <w:wordWrap/>
              <w:overflowPunct/>
              <w:topLinePunct w:val="0"/>
              <w:autoSpaceDE/>
              <w:autoSpaceDN/>
              <w:bidi w:val="0"/>
              <w:snapToGrid/>
              <w:spacing w:after="0" w:line="360" w:lineRule="auto"/>
              <w:jc w:val="center"/>
              <w:textAlignment w:val="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w:t>
            </w:r>
          </w:p>
          <w:p w14:paraId="1DBAE2B9">
            <w:pPr>
              <w:pStyle w:val="21"/>
              <w:keepNext w:val="0"/>
              <w:keepLines w:val="0"/>
              <w:pageBreakBefore w:val="0"/>
              <w:widowControl w:val="0"/>
              <w:shd w:val="clear"/>
              <w:kinsoku/>
              <w:wordWrap/>
              <w:overflowPunct/>
              <w:topLinePunct w:val="0"/>
              <w:autoSpaceDE/>
              <w:autoSpaceDN/>
              <w:bidi w:val="0"/>
              <w:snapToGrid/>
              <w:spacing w:after="0" w:line="360" w:lineRule="auto"/>
              <w:textAlignment w:val="auto"/>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b/>
                <w:bCs/>
                <w:sz w:val="24"/>
                <w:lang w:val="en-US" w:eastAsia="zh-CN"/>
              </w:rPr>
              <w:t>10</w:t>
            </w:r>
            <w:r>
              <w:rPr>
                <w:rFonts w:hint="default" w:ascii="Times New Roman" w:hAnsi="Times New Roman" w:eastAsia="宋体" w:cs="Times New Roman"/>
                <w:b/>
                <w:bCs/>
                <w:sz w:val="24"/>
                <w:lang w:val="en-US" w:eastAsia="zh-CN"/>
              </w:rPr>
              <w:t>、</w:t>
            </w:r>
            <w:r>
              <w:rPr>
                <w:rFonts w:hint="default" w:ascii="Times New Roman" w:hAnsi="Times New Roman" w:eastAsia="宋体" w:cs="Times New Roman"/>
                <w:b/>
                <w:bCs/>
                <w:sz w:val="24"/>
              </w:rPr>
              <w:t>与</w:t>
            </w:r>
            <w:r>
              <w:rPr>
                <w:rFonts w:hint="default" w:ascii="Times New Roman" w:hAnsi="Times New Roman" w:eastAsia="宋体" w:cs="Times New Roman"/>
                <w:b/>
                <w:bCs/>
                <w:sz w:val="24"/>
                <w:lang w:eastAsia="zh-CN"/>
              </w:rPr>
              <w:t>《挥发性有机物无组织排放控制标准》</w:t>
            </w:r>
            <w:r>
              <w:rPr>
                <w:rFonts w:hint="eastAsia" w:ascii="Times New Roman" w:hAnsi="Times New Roman" w:eastAsia="宋体" w:cs="Times New Roman"/>
                <w:b/>
                <w:bCs/>
                <w:sz w:val="24"/>
                <w:lang w:eastAsia="zh-CN"/>
              </w:rPr>
              <w:t>（GB 37822</w:t>
            </w:r>
            <w:r>
              <w:rPr>
                <w:rFonts w:hint="eastAsia" w:ascii="Times New Roman" w:hAnsi="Times New Roman" w:eastAsia="宋体" w:cs="Times New Roman"/>
                <w:b/>
                <w:bCs/>
                <w:sz w:val="24"/>
                <w:lang w:val="en-US" w:eastAsia="zh-CN"/>
              </w:rPr>
              <w:t>-</w:t>
            </w:r>
            <w:r>
              <w:rPr>
                <w:rFonts w:hint="eastAsia" w:ascii="Times New Roman" w:hAnsi="Times New Roman" w:eastAsia="宋体" w:cs="Times New Roman"/>
                <w:b/>
                <w:bCs/>
                <w:sz w:val="24"/>
                <w:lang w:eastAsia="zh-CN"/>
              </w:rPr>
              <w:t>2019）</w:t>
            </w:r>
            <w:r>
              <w:rPr>
                <w:rFonts w:hint="default" w:ascii="Times New Roman" w:hAnsi="Times New Roman" w:eastAsia="宋体" w:cs="Times New Roman"/>
                <w:b/>
                <w:bCs/>
                <w:sz w:val="24"/>
                <w:lang w:val="en-US" w:eastAsia="zh-CN"/>
              </w:rPr>
              <w:t>相符</w:t>
            </w:r>
            <w:r>
              <w:rPr>
                <w:rFonts w:hint="default" w:ascii="Times New Roman" w:hAnsi="Times New Roman" w:eastAsia="宋体" w:cs="Times New Roman"/>
                <w:b/>
                <w:bCs/>
                <w:sz w:val="24"/>
              </w:rPr>
              <w:t>性分析</w:t>
            </w:r>
          </w:p>
          <w:p w14:paraId="745AD847">
            <w:pPr>
              <w:pStyle w:val="28"/>
              <w:keepNext w:val="0"/>
              <w:keepLines w:val="0"/>
              <w:pageBreakBefore w:val="0"/>
              <w:widowControl w:val="0"/>
              <w:shd w:val="clear"/>
              <w:kinsoku/>
              <w:wordWrap/>
              <w:overflowPunct/>
              <w:topLinePunct w:val="0"/>
              <w:bidi w:val="0"/>
              <w:snapToGrid/>
              <w:spacing w:line="360" w:lineRule="auto"/>
              <w:rPr>
                <w:rFonts w:hint="default" w:ascii="Times New Roman" w:hAnsi="Times New Roman" w:eastAsia="黑体" w:cs="Times New Roman"/>
                <w:b w:val="0"/>
                <w:bCs/>
                <w:sz w:val="21"/>
                <w:szCs w:val="21"/>
                <w:lang w:val="en-US" w:eastAsia="zh-CN"/>
              </w:rPr>
            </w:pPr>
            <w:r>
              <w:rPr>
                <w:rFonts w:hint="default" w:ascii="Times New Roman" w:hAnsi="Times New Roman" w:eastAsia="黑体" w:cs="Times New Roman"/>
                <w:b w:val="0"/>
                <w:bCs/>
                <w:sz w:val="21"/>
                <w:szCs w:val="21"/>
              </w:rPr>
              <w:t>表</w:t>
            </w:r>
            <w:r>
              <w:rPr>
                <w:rFonts w:hint="default" w:ascii="Times New Roman" w:hAnsi="Times New Roman" w:eastAsia="黑体" w:cs="Times New Roman"/>
                <w:b w:val="0"/>
                <w:bCs/>
                <w:sz w:val="21"/>
                <w:szCs w:val="21"/>
                <w:lang w:val="en-US" w:eastAsia="zh-CN"/>
              </w:rPr>
              <w:t>1-</w:t>
            </w:r>
            <w:r>
              <w:rPr>
                <w:rFonts w:hint="eastAsia" w:ascii="Times New Roman" w:hAnsi="Times New Roman" w:eastAsia="黑体" w:cs="Times New Roman"/>
                <w:b w:val="0"/>
                <w:bCs/>
                <w:sz w:val="21"/>
                <w:szCs w:val="21"/>
                <w:lang w:val="en-US" w:eastAsia="zh-CN"/>
              </w:rPr>
              <w:t>7</w:t>
            </w:r>
            <w:r>
              <w:rPr>
                <w:rFonts w:hint="default" w:ascii="Times New Roman" w:hAnsi="Times New Roman" w:eastAsia="黑体" w:cs="Times New Roman"/>
                <w:b w:val="0"/>
                <w:bCs/>
                <w:sz w:val="21"/>
                <w:szCs w:val="21"/>
              </w:rPr>
              <w:t xml:space="preserve"> </w:t>
            </w:r>
            <w:r>
              <w:rPr>
                <w:rFonts w:hint="default" w:ascii="Times New Roman" w:hAnsi="Times New Roman" w:eastAsia="黑体" w:cs="Times New Roman"/>
                <w:b w:val="0"/>
                <w:bCs/>
                <w:sz w:val="21"/>
                <w:szCs w:val="21"/>
                <w:lang w:val="en-US" w:eastAsia="zh-CN"/>
              </w:rPr>
              <w:t>与</w:t>
            </w:r>
            <w:r>
              <w:rPr>
                <w:rFonts w:hint="default" w:ascii="Times New Roman" w:hAnsi="Times New Roman" w:eastAsia="黑体" w:cs="Times New Roman"/>
                <w:b w:val="0"/>
                <w:bCs/>
                <w:sz w:val="21"/>
                <w:szCs w:val="21"/>
                <w:lang w:eastAsia="zh-CN"/>
              </w:rPr>
              <w:t>《挥发性有机物无组织排放控制标准》（GB 37822-2019）</w:t>
            </w:r>
            <w:r>
              <w:rPr>
                <w:rFonts w:hint="default" w:ascii="Times New Roman" w:hAnsi="Times New Roman" w:eastAsia="黑体" w:cs="Times New Roman"/>
                <w:b w:val="0"/>
                <w:bCs/>
                <w:sz w:val="21"/>
                <w:szCs w:val="21"/>
                <w:lang w:val="en-US" w:eastAsia="zh-CN"/>
              </w:rPr>
              <w:t>相符性分析</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0"/>
              <w:gridCol w:w="4002"/>
              <w:gridCol w:w="2721"/>
              <w:gridCol w:w="975"/>
            </w:tblGrid>
            <w:tr w14:paraId="68EDF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00" w:type="pct"/>
                  <w:vAlign w:val="center"/>
                </w:tcPr>
                <w:p w14:paraId="3AD0B983">
                  <w:pPr>
                    <w:shd w:val="clear"/>
                    <w:spacing w:line="360" w:lineRule="exact"/>
                    <w:jc w:val="center"/>
                    <w:rPr>
                      <w:rFonts w:hint="default" w:ascii="Times New Roman" w:hAnsi="Times New Roman" w:eastAsia="宋体" w:cs="Times New Roman"/>
                      <w:b w:val="0"/>
                      <w:bCs w:val="0"/>
                      <w:szCs w:val="21"/>
                      <w:lang w:val="en-US" w:eastAsia="zh-CN"/>
                    </w:rPr>
                  </w:pPr>
                  <w:r>
                    <w:rPr>
                      <w:rFonts w:hint="default" w:ascii="Times New Roman" w:hAnsi="Times New Roman" w:eastAsia="宋体" w:cs="Times New Roman"/>
                      <w:b w:val="0"/>
                      <w:bCs w:val="0"/>
                      <w:szCs w:val="21"/>
                      <w:lang w:val="en-US" w:eastAsia="zh-CN"/>
                    </w:rPr>
                    <w:t>序号</w:t>
                  </w:r>
                </w:p>
              </w:tc>
              <w:tc>
                <w:tcPr>
                  <w:tcW w:w="2443" w:type="pct"/>
                  <w:vAlign w:val="center"/>
                </w:tcPr>
                <w:p w14:paraId="0B4D7552">
                  <w:pPr>
                    <w:shd w:val="clear"/>
                    <w:spacing w:line="360" w:lineRule="exact"/>
                    <w:jc w:val="center"/>
                    <w:rPr>
                      <w:rFonts w:hint="default" w:ascii="Times New Roman" w:hAnsi="Times New Roman" w:eastAsia="宋体" w:cs="Times New Roman"/>
                      <w:b w:val="0"/>
                      <w:bCs w:val="0"/>
                      <w:szCs w:val="21"/>
                      <w:lang w:val="en-US" w:eastAsia="zh-CN"/>
                    </w:rPr>
                  </w:pPr>
                  <w:r>
                    <w:rPr>
                      <w:rFonts w:hint="eastAsia" w:ascii="Times New Roman" w:hAnsi="Times New Roman" w:eastAsia="宋体" w:cs="Times New Roman"/>
                      <w:b w:val="0"/>
                      <w:bCs w:val="0"/>
                      <w:szCs w:val="21"/>
                      <w:lang w:val="en-US" w:eastAsia="zh-CN"/>
                    </w:rPr>
                    <w:t>方案</w:t>
                  </w:r>
                  <w:r>
                    <w:rPr>
                      <w:rFonts w:hint="default" w:ascii="Times New Roman" w:hAnsi="Times New Roman" w:eastAsia="宋体" w:cs="Times New Roman"/>
                      <w:b w:val="0"/>
                      <w:bCs w:val="0"/>
                      <w:szCs w:val="21"/>
                      <w:lang w:val="en-US" w:eastAsia="zh-CN"/>
                    </w:rPr>
                    <w:t>要求</w:t>
                  </w:r>
                </w:p>
              </w:tc>
              <w:tc>
                <w:tcPr>
                  <w:tcW w:w="1661" w:type="pct"/>
                  <w:vAlign w:val="center"/>
                </w:tcPr>
                <w:p w14:paraId="50DD9F7E">
                  <w:pPr>
                    <w:shd w:val="clear"/>
                    <w:spacing w:line="360" w:lineRule="exact"/>
                    <w:jc w:val="center"/>
                    <w:rPr>
                      <w:rFonts w:hint="default" w:ascii="Times New Roman" w:hAnsi="Times New Roman" w:eastAsia="宋体" w:cs="Times New Roman"/>
                      <w:b w:val="0"/>
                      <w:bCs w:val="0"/>
                      <w:szCs w:val="21"/>
                      <w:lang w:val="en-US" w:eastAsia="zh-CN"/>
                    </w:rPr>
                  </w:pPr>
                  <w:r>
                    <w:rPr>
                      <w:rFonts w:hint="default" w:ascii="Times New Roman" w:hAnsi="Times New Roman" w:eastAsia="宋体" w:cs="Times New Roman"/>
                      <w:b w:val="0"/>
                      <w:bCs w:val="0"/>
                      <w:szCs w:val="21"/>
                      <w:lang w:val="en-US" w:eastAsia="zh-CN"/>
                    </w:rPr>
                    <w:t>本项目情况</w:t>
                  </w:r>
                </w:p>
              </w:tc>
              <w:tc>
                <w:tcPr>
                  <w:tcW w:w="595" w:type="pct"/>
                  <w:vAlign w:val="center"/>
                </w:tcPr>
                <w:p w14:paraId="7AB0805E">
                  <w:pPr>
                    <w:shd w:val="clear"/>
                    <w:spacing w:line="360" w:lineRule="exact"/>
                    <w:jc w:val="center"/>
                    <w:rPr>
                      <w:rFonts w:hint="default" w:ascii="Times New Roman" w:hAnsi="Times New Roman" w:eastAsia="宋体" w:cs="Times New Roman"/>
                      <w:b w:val="0"/>
                      <w:bCs w:val="0"/>
                      <w:szCs w:val="21"/>
                      <w:lang w:val="en-US" w:eastAsia="zh-CN"/>
                    </w:rPr>
                  </w:pPr>
                  <w:r>
                    <w:rPr>
                      <w:rFonts w:hint="default" w:ascii="Times New Roman" w:hAnsi="Times New Roman" w:eastAsia="宋体" w:cs="Times New Roman"/>
                      <w:b w:val="0"/>
                      <w:bCs w:val="0"/>
                      <w:szCs w:val="21"/>
                      <w:lang w:val="en-US" w:eastAsia="zh-CN"/>
                    </w:rPr>
                    <w:t>相符性</w:t>
                  </w:r>
                </w:p>
              </w:tc>
            </w:tr>
            <w:tr w14:paraId="4DF70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422AADA6">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2443" w:type="pct"/>
                  <w:vAlign w:val="center"/>
                </w:tcPr>
                <w:p w14:paraId="001737C3">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VOC</w:t>
                  </w:r>
                  <w:r>
                    <w:rPr>
                      <w:rFonts w:hint="eastAsia" w:ascii="Times New Roman" w:hAnsi="Times New Roman" w:eastAsia="宋体" w:cs="Times New Roman"/>
                      <w:szCs w:val="21"/>
                      <w:vertAlign w:val="subscript"/>
                      <w:lang w:val="en-US" w:eastAsia="zh-CN"/>
                    </w:rPr>
                    <w:t>S</w:t>
                  </w:r>
                  <w:r>
                    <w:rPr>
                      <w:rFonts w:hint="default" w:ascii="Times New Roman" w:hAnsi="Times New Roman" w:eastAsia="宋体" w:cs="Times New Roman"/>
                      <w:szCs w:val="21"/>
                      <w:lang w:val="en-US" w:eastAsia="zh-CN"/>
                    </w:rPr>
                    <w:t>物料应储存于密闭的容器、包装袋、储罐、储库、料仓中；盛装VOC</w:t>
                  </w:r>
                  <w:r>
                    <w:rPr>
                      <w:rFonts w:hint="eastAsia" w:ascii="Times New Roman" w:hAnsi="Times New Roman" w:eastAsia="宋体" w:cs="Times New Roman"/>
                      <w:szCs w:val="21"/>
                      <w:vertAlign w:val="subscript"/>
                      <w:lang w:val="en-US" w:eastAsia="zh-CN"/>
                    </w:rPr>
                    <w:t>S</w:t>
                  </w:r>
                  <w:r>
                    <w:rPr>
                      <w:rFonts w:hint="default" w:ascii="Times New Roman" w:hAnsi="Times New Roman" w:eastAsia="宋体" w:cs="Times New Roman"/>
                      <w:szCs w:val="21"/>
                      <w:lang w:val="en-US" w:eastAsia="zh-CN"/>
                    </w:rPr>
                    <w:t>物料的容器或包装袋应存放于室内，或存放于设置有雨棚、遮阳和防渗设施的专用场地。非取用状态时应加盖、封口，保持密闭。</w:t>
                  </w:r>
                </w:p>
              </w:tc>
              <w:tc>
                <w:tcPr>
                  <w:tcW w:w="1661" w:type="pct"/>
                  <w:vAlign w:val="center"/>
                </w:tcPr>
                <w:p w14:paraId="13D65AEA">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本项目挥发性有机物原料贮存于密闭容器里，室内贮存</w:t>
                  </w:r>
                  <w:r>
                    <w:rPr>
                      <w:rFonts w:hint="eastAsia" w:ascii="Times New Roman" w:hAnsi="Times New Roman" w:eastAsia="宋体" w:cs="Times New Roman"/>
                      <w:szCs w:val="21"/>
                      <w:lang w:val="en-US" w:eastAsia="zh-CN"/>
                    </w:rPr>
                    <w:t>。</w:t>
                  </w:r>
                </w:p>
              </w:tc>
              <w:tc>
                <w:tcPr>
                  <w:tcW w:w="595" w:type="pct"/>
                  <w:vAlign w:val="center"/>
                </w:tcPr>
                <w:p w14:paraId="6D7DECC9">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34F57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77A88408">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w:t>
                  </w:r>
                </w:p>
              </w:tc>
              <w:tc>
                <w:tcPr>
                  <w:tcW w:w="2443" w:type="pct"/>
                  <w:vAlign w:val="center"/>
                </w:tcPr>
                <w:p w14:paraId="046C6155">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cs="Times New Roman"/>
                      <w:color w:val="auto"/>
                      <w:kern w:val="2"/>
                      <w:sz w:val="21"/>
                      <w:szCs w:val="21"/>
                      <w:highlight w:val="none"/>
                      <w:lang w:val="en-US" w:eastAsia="zh-CN"/>
                    </w:rPr>
                    <w:t>液态</w:t>
                  </w:r>
                  <w:r>
                    <w:rPr>
                      <w:rFonts w:hint="default" w:ascii="Times New Roman" w:hAnsi="Times New Roman" w:eastAsia="宋体" w:cs="Times New Roman"/>
                      <w:szCs w:val="21"/>
                      <w:lang w:val="en-US" w:eastAsia="zh-CN"/>
                    </w:rPr>
                    <w:t>VOC</w:t>
                  </w:r>
                  <w:r>
                    <w:rPr>
                      <w:rFonts w:hint="eastAsia" w:ascii="Times New Roman" w:hAnsi="Times New Roman" w:eastAsia="宋体" w:cs="Times New Roman"/>
                      <w:szCs w:val="21"/>
                      <w:vertAlign w:val="subscript"/>
                      <w:lang w:val="en-US" w:eastAsia="zh-CN"/>
                    </w:rPr>
                    <w:t>S</w:t>
                  </w:r>
                  <w:r>
                    <w:rPr>
                      <w:rFonts w:hint="default" w:ascii="Times New Roman" w:hAnsi="Times New Roman" w:cs="Times New Roman"/>
                      <w:color w:val="auto"/>
                      <w:kern w:val="2"/>
                      <w:sz w:val="21"/>
                      <w:szCs w:val="21"/>
                      <w:highlight w:val="none"/>
                      <w:lang w:val="en-US" w:eastAsia="zh-CN"/>
                    </w:rPr>
                    <w:t>物料应采用密闭管道输送。采用非管道输送方式转移液态</w:t>
                  </w:r>
                  <w:r>
                    <w:rPr>
                      <w:rFonts w:hint="default" w:ascii="Times New Roman" w:hAnsi="Times New Roman" w:eastAsia="宋体" w:cs="Times New Roman"/>
                      <w:szCs w:val="21"/>
                      <w:lang w:val="en-US" w:eastAsia="zh-CN"/>
                    </w:rPr>
                    <w:t>VOC</w:t>
                  </w:r>
                  <w:r>
                    <w:rPr>
                      <w:rFonts w:hint="eastAsia" w:ascii="Times New Roman" w:hAnsi="Times New Roman" w:eastAsia="宋体" w:cs="Times New Roman"/>
                      <w:szCs w:val="21"/>
                      <w:vertAlign w:val="subscript"/>
                      <w:lang w:val="en-US" w:eastAsia="zh-CN"/>
                    </w:rPr>
                    <w:t>S</w:t>
                  </w:r>
                  <w:r>
                    <w:rPr>
                      <w:rFonts w:hint="default" w:ascii="Times New Roman" w:hAnsi="Times New Roman" w:cs="Times New Roman"/>
                      <w:color w:val="auto"/>
                      <w:kern w:val="2"/>
                      <w:sz w:val="21"/>
                      <w:szCs w:val="21"/>
                      <w:highlight w:val="none"/>
                      <w:lang w:val="en-US" w:eastAsia="zh-CN"/>
                    </w:rPr>
                    <w:t>物料时，应采用密闭容器、罐车。</w:t>
                  </w:r>
                </w:p>
              </w:tc>
              <w:tc>
                <w:tcPr>
                  <w:tcW w:w="1661" w:type="pct"/>
                  <w:vAlign w:val="center"/>
                </w:tcPr>
                <w:p w14:paraId="33FBB3E4">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项目液态挥发性有机物原料运输过程中全程密闭</w:t>
                  </w:r>
                  <w:r>
                    <w:rPr>
                      <w:rFonts w:hint="eastAsia" w:ascii="Times New Roman" w:hAnsi="Times New Roman" w:eastAsia="宋体" w:cs="Times New Roman"/>
                      <w:szCs w:val="21"/>
                      <w:lang w:val="en-US" w:eastAsia="zh-CN"/>
                    </w:rPr>
                    <w:t>。</w:t>
                  </w:r>
                </w:p>
              </w:tc>
              <w:tc>
                <w:tcPr>
                  <w:tcW w:w="595" w:type="pct"/>
                  <w:vAlign w:val="center"/>
                </w:tcPr>
                <w:p w14:paraId="417BDE0F">
                  <w:pPr>
                    <w:shd w:val="clear"/>
                    <w:spacing w:line="360" w:lineRule="exact"/>
                    <w:jc w:val="center"/>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r w14:paraId="4E2BD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6206DC7F">
                  <w:pPr>
                    <w:shd w:val="clear"/>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3</w:t>
                  </w:r>
                </w:p>
              </w:tc>
              <w:tc>
                <w:tcPr>
                  <w:tcW w:w="2443" w:type="pct"/>
                  <w:vAlign w:val="center"/>
                </w:tcPr>
                <w:p w14:paraId="119B55E5">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液态VOC</w:t>
                  </w:r>
                  <w:r>
                    <w:rPr>
                      <w:rFonts w:hint="eastAsia" w:ascii="Times New Roman" w:hAnsi="Times New Roman" w:eastAsia="宋体" w:cs="Times New Roman"/>
                      <w:szCs w:val="21"/>
                      <w:vertAlign w:val="subscript"/>
                      <w:lang w:val="en-US" w:eastAsia="zh-CN"/>
                    </w:rPr>
                    <w:t>S</w:t>
                  </w:r>
                  <w:r>
                    <w:rPr>
                      <w:rFonts w:hint="default" w:ascii="Times New Roman" w:hAnsi="Times New Roman" w:eastAsia="宋体" w:cs="Times New Roman"/>
                      <w:szCs w:val="21"/>
                      <w:lang w:val="en-US" w:eastAsia="zh-CN"/>
                    </w:rPr>
                    <w:t>物料应采用密闭管道输送或高位槽</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罐</w:t>
                  </w:r>
                  <w:r>
                    <w:rPr>
                      <w:rFonts w:hint="eastAsia" w:ascii="Times New Roman" w:hAnsi="Times New Roman" w:eastAsia="宋体" w:cs="Times New Roman"/>
                      <w:szCs w:val="21"/>
                      <w:lang w:val="en-US" w:eastAsia="zh-CN"/>
                    </w:rPr>
                    <w:t>）</w:t>
                  </w:r>
                  <w:r>
                    <w:rPr>
                      <w:rFonts w:hint="default" w:ascii="Times New Roman" w:hAnsi="Times New Roman" w:eastAsia="宋体" w:cs="Times New Roman"/>
                      <w:szCs w:val="21"/>
                      <w:lang w:val="en-US" w:eastAsia="zh-CN"/>
                    </w:rPr>
                    <w:t>、桶泵等给料方式密闭投加，无法密闭的应在密闭室内操作，或进行局部气体收集，废气应排至VOC</w:t>
                  </w:r>
                  <w:r>
                    <w:rPr>
                      <w:rFonts w:hint="eastAsia" w:ascii="Times New Roman" w:hAnsi="Times New Roman" w:eastAsia="宋体" w:cs="Times New Roman"/>
                      <w:szCs w:val="21"/>
                      <w:vertAlign w:val="subscript"/>
                      <w:lang w:val="en-US" w:eastAsia="zh-CN"/>
                    </w:rPr>
                    <w:t>S</w:t>
                  </w:r>
                  <w:r>
                    <w:rPr>
                      <w:rFonts w:hint="default" w:ascii="Times New Roman" w:hAnsi="Times New Roman" w:eastAsia="宋体" w:cs="Times New Roman"/>
                      <w:szCs w:val="21"/>
                      <w:lang w:val="en-US" w:eastAsia="zh-CN"/>
                    </w:rPr>
                    <w:t>废气收集处理系统。</w:t>
                  </w:r>
                </w:p>
              </w:tc>
              <w:tc>
                <w:tcPr>
                  <w:tcW w:w="1661" w:type="pct"/>
                  <w:vAlign w:val="center"/>
                </w:tcPr>
                <w:p w14:paraId="5FF1BAAE">
                  <w:pPr>
                    <w:shd w:val="clear"/>
                    <w:spacing w:line="360" w:lineRule="exact"/>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项目液态挥发性有机物使用位于密闭生产车间，产生的废气</w:t>
                  </w:r>
                  <w:r>
                    <w:rPr>
                      <w:rFonts w:hint="eastAsia" w:ascii="Times New Roman" w:hAnsi="Times New Roman" w:eastAsia="宋体" w:cs="Times New Roman"/>
                      <w:szCs w:val="21"/>
                      <w:lang w:val="en-US" w:eastAsia="zh-CN"/>
                    </w:rPr>
                    <w:t>经集中收集后</w:t>
                  </w:r>
                  <w:r>
                    <w:rPr>
                      <w:rFonts w:hint="default" w:ascii="Times New Roman" w:hAnsi="Times New Roman" w:eastAsia="宋体" w:cs="Times New Roman"/>
                      <w:szCs w:val="21"/>
                      <w:lang w:val="en-US" w:eastAsia="zh-CN"/>
                    </w:rPr>
                    <w:t>通过</w:t>
                  </w:r>
                  <w:r>
                    <w:rPr>
                      <w:rFonts w:hint="eastAsia" w:ascii="Times New Roman" w:hAnsi="Times New Roman" w:eastAsia="宋体" w:cs="Times New Roman"/>
                      <w:szCs w:val="21"/>
                      <w:lang w:val="en-US" w:eastAsia="zh-CN"/>
                    </w:rPr>
                    <w:t>“滤筒除尘器+二级活性炭吸附”装置</w:t>
                  </w:r>
                  <w:r>
                    <w:rPr>
                      <w:rFonts w:hint="default" w:ascii="Times New Roman" w:hAnsi="Times New Roman" w:eastAsia="宋体" w:cs="Times New Roman"/>
                      <w:szCs w:val="21"/>
                      <w:lang w:val="en-US" w:eastAsia="zh-CN"/>
                    </w:rPr>
                    <w:t>处理，最后经</w:t>
                  </w:r>
                  <w:r>
                    <w:rPr>
                      <w:rFonts w:hint="eastAsia" w:ascii="Times New Roman" w:hAnsi="Times New Roman" w:eastAsia="宋体" w:cs="Times New Roman"/>
                      <w:szCs w:val="21"/>
                      <w:lang w:val="en-US" w:eastAsia="zh-CN"/>
                    </w:rPr>
                    <w:t>1根23</w:t>
                  </w:r>
                  <w:r>
                    <w:rPr>
                      <w:rFonts w:hint="default" w:ascii="Times New Roman" w:hAnsi="Times New Roman" w:eastAsia="宋体" w:cs="Times New Roman"/>
                      <w:szCs w:val="21"/>
                      <w:lang w:val="en-US" w:eastAsia="zh-CN"/>
                    </w:rPr>
                    <w:t>m高排气筒</w:t>
                  </w:r>
                  <w:r>
                    <w:rPr>
                      <w:rFonts w:hint="eastAsia" w:ascii="Times New Roman" w:hAnsi="Times New Roman" w:eastAsia="宋体" w:cs="Times New Roman"/>
                      <w:szCs w:val="21"/>
                      <w:lang w:val="en-US" w:eastAsia="zh-CN"/>
                    </w:rPr>
                    <w:t>（DA001）</w:t>
                  </w:r>
                  <w:r>
                    <w:rPr>
                      <w:rFonts w:hint="default" w:ascii="Times New Roman" w:hAnsi="Times New Roman" w:eastAsia="宋体" w:cs="Times New Roman"/>
                      <w:szCs w:val="21"/>
                      <w:lang w:val="en-US" w:eastAsia="zh-CN"/>
                    </w:rPr>
                    <w:t>排放</w:t>
                  </w:r>
                  <w:r>
                    <w:rPr>
                      <w:rFonts w:hint="eastAsia" w:ascii="Times New Roman" w:hAnsi="Times New Roman" w:eastAsia="宋体" w:cs="Times New Roman"/>
                      <w:szCs w:val="21"/>
                      <w:lang w:val="en-US" w:eastAsia="zh-CN"/>
                    </w:rPr>
                    <w:t>。</w:t>
                  </w:r>
                </w:p>
              </w:tc>
              <w:tc>
                <w:tcPr>
                  <w:tcW w:w="595" w:type="pct"/>
                  <w:vAlign w:val="center"/>
                </w:tcPr>
                <w:p w14:paraId="56067C29">
                  <w:pPr>
                    <w:shd w:val="clear"/>
                    <w:spacing w:line="360" w:lineRule="exact"/>
                    <w:jc w:val="center"/>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符合</w:t>
                  </w:r>
                </w:p>
              </w:tc>
            </w:tr>
          </w:tbl>
          <w:p w14:paraId="09CD5251">
            <w:pPr>
              <w:pStyle w:val="21"/>
              <w:keepNext w:val="0"/>
              <w:keepLines w:val="0"/>
              <w:pageBreakBefore w:val="0"/>
              <w:widowControl w:val="0"/>
              <w:shd w:val="clear"/>
              <w:kinsoku/>
              <w:wordWrap/>
              <w:overflowPunct/>
              <w:topLinePunct w:val="0"/>
              <w:autoSpaceDE/>
              <w:autoSpaceDN/>
              <w:bidi w:val="0"/>
              <w:snapToGrid/>
              <w:spacing w:after="0" w:line="360" w:lineRule="auto"/>
              <w:jc w:val="center"/>
              <w:textAlignment w:val="auto"/>
              <w:rPr>
                <w:rFonts w:hint="eastAsia" w:ascii="Times New Roman" w:hAnsi="Times New Roman" w:eastAsia="宋体" w:cs="Times New Roman"/>
                <w:b w:val="0"/>
                <w:bCs w:val="0"/>
                <w:sz w:val="24"/>
                <w:szCs w:val="24"/>
                <w:vertAlign w:val="baseline"/>
                <w:lang w:eastAsia="zh-CN"/>
              </w:rPr>
            </w:pPr>
          </w:p>
          <w:p w14:paraId="1E2F9658">
            <w:pPr>
              <w:pStyle w:val="21"/>
              <w:keepNext w:val="0"/>
              <w:keepLines w:val="0"/>
              <w:pageBreakBefore w:val="0"/>
              <w:widowControl w:val="0"/>
              <w:shd w:val="clear"/>
              <w:kinsoku/>
              <w:wordWrap/>
              <w:overflowPunct/>
              <w:topLinePunct w:val="0"/>
              <w:autoSpaceDE/>
              <w:autoSpaceDN/>
              <w:bidi w:val="0"/>
              <w:snapToGrid/>
              <w:spacing w:after="0" w:line="360" w:lineRule="auto"/>
              <w:jc w:val="center"/>
              <w:textAlignment w:val="auto"/>
              <w:rPr>
                <w:rFonts w:hint="eastAsia" w:ascii="Times New Roman" w:hAnsi="Times New Roman" w:eastAsia="宋体" w:cs="Times New Roman"/>
                <w:b w:val="0"/>
                <w:bCs w:val="0"/>
                <w:sz w:val="24"/>
                <w:szCs w:val="24"/>
                <w:vertAlign w:val="baseline"/>
                <w:lang w:eastAsia="zh-CN"/>
              </w:rPr>
            </w:pPr>
          </w:p>
          <w:p w14:paraId="07FE0304">
            <w:pPr>
              <w:pStyle w:val="21"/>
              <w:keepNext w:val="0"/>
              <w:keepLines w:val="0"/>
              <w:pageBreakBefore w:val="0"/>
              <w:widowControl w:val="0"/>
              <w:shd w:val="clear"/>
              <w:kinsoku/>
              <w:wordWrap/>
              <w:overflowPunct/>
              <w:topLinePunct w:val="0"/>
              <w:autoSpaceDE/>
              <w:autoSpaceDN/>
              <w:bidi w:val="0"/>
              <w:snapToGrid/>
              <w:spacing w:after="0" w:line="360" w:lineRule="auto"/>
              <w:jc w:val="center"/>
              <w:textAlignment w:val="auto"/>
              <w:rPr>
                <w:rFonts w:hint="eastAsia" w:ascii="Times New Roman" w:hAnsi="Times New Roman" w:eastAsia="宋体" w:cs="Times New Roman"/>
                <w:b w:val="0"/>
                <w:bCs w:val="0"/>
                <w:sz w:val="24"/>
                <w:szCs w:val="24"/>
                <w:vertAlign w:val="baseline"/>
                <w:lang w:eastAsia="zh-CN"/>
              </w:rPr>
            </w:pPr>
          </w:p>
          <w:p w14:paraId="2898A7DD">
            <w:pPr>
              <w:pStyle w:val="21"/>
              <w:keepNext w:val="0"/>
              <w:keepLines w:val="0"/>
              <w:pageBreakBefore w:val="0"/>
              <w:widowControl w:val="0"/>
              <w:shd w:val="clear"/>
              <w:kinsoku/>
              <w:wordWrap/>
              <w:overflowPunct/>
              <w:topLinePunct w:val="0"/>
              <w:autoSpaceDE/>
              <w:autoSpaceDN/>
              <w:bidi w:val="0"/>
              <w:snapToGrid/>
              <w:spacing w:after="0" w:line="360" w:lineRule="auto"/>
              <w:jc w:val="center"/>
              <w:textAlignment w:val="auto"/>
              <w:rPr>
                <w:rFonts w:hint="eastAsia" w:ascii="Times New Roman" w:hAnsi="Times New Roman" w:eastAsia="宋体" w:cs="Times New Roman"/>
                <w:b w:val="0"/>
                <w:bCs w:val="0"/>
                <w:sz w:val="24"/>
                <w:szCs w:val="24"/>
                <w:vertAlign w:val="baseline"/>
                <w:lang w:eastAsia="zh-CN"/>
              </w:rPr>
            </w:pPr>
          </w:p>
          <w:p w14:paraId="3758C7EE">
            <w:pPr>
              <w:pStyle w:val="21"/>
              <w:keepNext w:val="0"/>
              <w:keepLines w:val="0"/>
              <w:pageBreakBefore w:val="0"/>
              <w:widowControl w:val="0"/>
              <w:shd w:val="clear"/>
              <w:kinsoku/>
              <w:wordWrap/>
              <w:overflowPunct/>
              <w:topLinePunct w:val="0"/>
              <w:autoSpaceDE/>
              <w:autoSpaceDN/>
              <w:bidi w:val="0"/>
              <w:snapToGrid/>
              <w:spacing w:after="0" w:line="360" w:lineRule="auto"/>
              <w:jc w:val="center"/>
              <w:textAlignment w:val="auto"/>
              <w:rPr>
                <w:rFonts w:hint="eastAsia" w:ascii="Times New Roman" w:hAnsi="Times New Roman" w:eastAsia="宋体" w:cs="Times New Roman"/>
                <w:b w:val="0"/>
                <w:bCs w:val="0"/>
                <w:sz w:val="24"/>
                <w:szCs w:val="24"/>
                <w:vertAlign w:val="baseline"/>
                <w:lang w:eastAsia="zh-CN"/>
              </w:rPr>
            </w:pPr>
          </w:p>
          <w:p w14:paraId="6242EC04">
            <w:pPr>
              <w:pStyle w:val="21"/>
              <w:keepNext w:val="0"/>
              <w:keepLines w:val="0"/>
              <w:pageBreakBefore w:val="0"/>
              <w:widowControl w:val="0"/>
              <w:shd w:val="clear"/>
              <w:kinsoku/>
              <w:wordWrap/>
              <w:overflowPunct/>
              <w:topLinePunct w:val="0"/>
              <w:autoSpaceDE/>
              <w:autoSpaceDN/>
              <w:bidi w:val="0"/>
              <w:snapToGrid/>
              <w:spacing w:after="0" w:line="360" w:lineRule="auto"/>
              <w:jc w:val="center"/>
              <w:textAlignment w:val="auto"/>
              <w:rPr>
                <w:rFonts w:hint="eastAsia" w:ascii="Times New Roman" w:hAnsi="Times New Roman" w:eastAsia="宋体" w:cs="Times New Roman"/>
                <w:b w:val="0"/>
                <w:bCs w:val="0"/>
                <w:sz w:val="24"/>
                <w:szCs w:val="24"/>
                <w:vertAlign w:val="baseline"/>
                <w:lang w:eastAsia="zh-CN"/>
              </w:rPr>
            </w:pPr>
          </w:p>
          <w:p w14:paraId="2BEEB3EC">
            <w:pPr>
              <w:pStyle w:val="21"/>
              <w:keepNext w:val="0"/>
              <w:keepLines w:val="0"/>
              <w:pageBreakBefore w:val="0"/>
              <w:widowControl w:val="0"/>
              <w:shd w:val="clear"/>
              <w:kinsoku/>
              <w:wordWrap/>
              <w:overflowPunct/>
              <w:topLinePunct w:val="0"/>
              <w:autoSpaceDE/>
              <w:autoSpaceDN/>
              <w:bidi w:val="0"/>
              <w:snapToGrid/>
              <w:spacing w:after="0" w:line="360" w:lineRule="auto"/>
              <w:jc w:val="center"/>
              <w:textAlignment w:val="auto"/>
              <w:rPr>
                <w:rFonts w:hint="eastAsia" w:ascii="Times New Roman" w:hAnsi="Times New Roman" w:eastAsia="宋体" w:cs="Times New Roman"/>
                <w:b w:val="0"/>
                <w:bCs w:val="0"/>
                <w:sz w:val="24"/>
                <w:szCs w:val="24"/>
                <w:vertAlign w:val="baseline"/>
                <w:lang w:eastAsia="zh-CN"/>
              </w:rPr>
            </w:pPr>
          </w:p>
          <w:p w14:paraId="4BAD730C">
            <w:pPr>
              <w:pStyle w:val="21"/>
              <w:keepNext w:val="0"/>
              <w:keepLines w:val="0"/>
              <w:pageBreakBefore w:val="0"/>
              <w:widowControl w:val="0"/>
              <w:shd w:val="clear"/>
              <w:kinsoku/>
              <w:wordWrap/>
              <w:overflowPunct/>
              <w:topLinePunct w:val="0"/>
              <w:autoSpaceDE/>
              <w:autoSpaceDN/>
              <w:bidi w:val="0"/>
              <w:snapToGrid/>
              <w:spacing w:after="0" w:line="360" w:lineRule="auto"/>
              <w:jc w:val="center"/>
              <w:textAlignment w:val="auto"/>
              <w:rPr>
                <w:rFonts w:hint="eastAsia" w:ascii="Times New Roman" w:hAnsi="Times New Roman" w:eastAsia="宋体" w:cs="Times New Roman"/>
                <w:b w:val="0"/>
                <w:bCs w:val="0"/>
                <w:sz w:val="24"/>
                <w:szCs w:val="24"/>
                <w:vertAlign w:val="baseline"/>
                <w:lang w:eastAsia="zh-CN"/>
              </w:rPr>
            </w:pPr>
          </w:p>
          <w:p w14:paraId="3EC695E0">
            <w:pPr>
              <w:pStyle w:val="21"/>
              <w:keepNext w:val="0"/>
              <w:keepLines w:val="0"/>
              <w:pageBreakBefore w:val="0"/>
              <w:widowControl w:val="0"/>
              <w:shd w:val="clear"/>
              <w:kinsoku/>
              <w:wordWrap/>
              <w:overflowPunct/>
              <w:topLinePunct w:val="0"/>
              <w:autoSpaceDE/>
              <w:autoSpaceDN/>
              <w:bidi w:val="0"/>
              <w:snapToGrid/>
              <w:spacing w:after="0" w:line="360" w:lineRule="auto"/>
              <w:jc w:val="center"/>
              <w:textAlignment w:val="auto"/>
              <w:rPr>
                <w:rFonts w:hint="eastAsia" w:ascii="Times New Roman" w:hAnsi="Times New Roman" w:eastAsia="宋体" w:cs="Times New Roman"/>
                <w:b w:val="0"/>
                <w:bCs w:val="0"/>
                <w:sz w:val="24"/>
                <w:szCs w:val="24"/>
                <w:vertAlign w:val="baseline"/>
                <w:lang w:eastAsia="zh-CN"/>
              </w:rPr>
            </w:pPr>
          </w:p>
          <w:p w14:paraId="7D7664D8">
            <w:pPr>
              <w:pStyle w:val="21"/>
              <w:keepNext w:val="0"/>
              <w:keepLines w:val="0"/>
              <w:pageBreakBefore w:val="0"/>
              <w:widowControl w:val="0"/>
              <w:shd w:val="clear"/>
              <w:kinsoku/>
              <w:wordWrap/>
              <w:overflowPunct/>
              <w:topLinePunct w:val="0"/>
              <w:autoSpaceDE/>
              <w:autoSpaceDN/>
              <w:bidi w:val="0"/>
              <w:snapToGrid/>
              <w:spacing w:after="0" w:line="360" w:lineRule="auto"/>
              <w:jc w:val="center"/>
              <w:textAlignment w:val="auto"/>
              <w:rPr>
                <w:rFonts w:hint="eastAsia" w:ascii="Times New Roman" w:hAnsi="Times New Roman" w:eastAsia="宋体" w:cs="Times New Roman"/>
                <w:b w:val="0"/>
                <w:bCs w:val="0"/>
                <w:sz w:val="24"/>
                <w:szCs w:val="24"/>
                <w:vertAlign w:val="baseline"/>
                <w:lang w:eastAsia="zh-CN"/>
              </w:rPr>
            </w:pPr>
          </w:p>
          <w:p w14:paraId="1481FACF">
            <w:pPr>
              <w:pStyle w:val="21"/>
              <w:keepNext w:val="0"/>
              <w:keepLines w:val="0"/>
              <w:pageBreakBefore w:val="0"/>
              <w:widowControl w:val="0"/>
              <w:shd w:val="clear"/>
              <w:kinsoku/>
              <w:wordWrap/>
              <w:overflowPunct/>
              <w:topLinePunct w:val="0"/>
              <w:autoSpaceDE/>
              <w:autoSpaceDN/>
              <w:bidi w:val="0"/>
              <w:snapToGrid/>
              <w:spacing w:after="0" w:line="360" w:lineRule="auto"/>
              <w:jc w:val="center"/>
              <w:textAlignment w:val="auto"/>
              <w:rPr>
                <w:rFonts w:hint="eastAsia" w:ascii="Times New Roman" w:hAnsi="Times New Roman" w:eastAsia="宋体" w:cs="Times New Roman"/>
                <w:b w:val="0"/>
                <w:bCs w:val="0"/>
                <w:sz w:val="24"/>
                <w:szCs w:val="24"/>
                <w:vertAlign w:val="baseline"/>
                <w:lang w:eastAsia="zh-CN"/>
              </w:rPr>
            </w:pPr>
          </w:p>
          <w:p w14:paraId="5D5A6450">
            <w:pPr>
              <w:pStyle w:val="21"/>
              <w:keepNext w:val="0"/>
              <w:keepLines w:val="0"/>
              <w:pageBreakBefore w:val="0"/>
              <w:widowControl w:val="0"/>
              <w:shd w:val="clear"/>
              <w:kinsoku/>
              <w:wordWrap/>
              <w:overflowPunct/>
              <w:topLinePunct w:val="0"/>
              <w:autoSpaceDE/>
              <w:autoSpaceDN/>
              <w:bidi w:val="0"/>
              <w:snapToGrid/>
              <w:spacing w:after="0" w:line="360" w:lineRule="auto"/>
              <w:jc w:val="center"/>
              <w:textAlignment w:val="auto"/>
              <w:rPr>
                <w:rFonts w:hint="eastAsia" w:ascii="Times New Roman" w:hAnsi="Times New Roman" w:eastAsia="宋体" w:cs="Times New Roman"/>
                <w:b w:val="0"/>
                <w:bCs w:val="0"/>
                <w:sz w:val="24"/>
                <w:szCs w:val="24"/>
                <w:vertAlign w:val="baseline"/>
                <w:lang w:eastAsia="zh-CN"/>
              </w:rPr>
            </w:pPr>
          </w:p>
          <w:p w14:paraId="48B394A5">
            <w:pPr>
              <w:pStyle w:val="21"/>
              <w:keepNext w:val="0"/>
              <w:keepLines w:val="0"/>
              <w:pageBreakBefore w:val="0"/>
              <w:widowControl w:val="0"/>
              <w:shd w:val="clear"/>
              <w:kinsoku/>
              <w:wordWrap/>
              <w:overflowPunct/>
              <w:topLinePunct w:val="0"/>
              <w:autoSpaceDE/>
              <w:autoSpaceDN/>
              <w:bidi w:val="0"/>
              <w:snapToGrid/>
              <w:spacing w:after="0" w:line="360" w:lineRule="auto"/>
              <w:jc w:val="center"/>
              <w:textAlignment w:val="auto"/>
              <w:rPr>
                <w:rFonts w:hint="eastAsia" w:ascii="Times New Roman" w:hAnsi="Times New Roman" w:eastAsia="宋体" w:cs="Times New Roman"/>
                <w:b w:val="0"/>
                <w:bCs w:val="0"/>
                <w:sz w:val="24"/>
                <w:szCs w:val="24"/>
                <w:vertAlign w:val="baseline"/>
                <w:lang w:eastAsia="zh-CN"/>
              </w:rPr>
            </w:pPr>
          </w:p>
          <w:p w14:paraId="28EAB6B4">
            <w:pPr>
              <w:pStyle w:val="21"/>
              <w:keepNext w:val="0"/>
              <w:keepLines w:val="0"/>
              <w:pageBreakBefore w:val="0"/>
              <w:widowControl w:val="0"/>
              <w:shd w:val="clear"/>
              <w:kinsoku/>
              <w:wordWrap/>
              <w:overflowPunct/>
              <w:topLinePunct w:val="0"/>
              <w:autoSpaceDE/>
              <w:autoSpaceDN/>
              <w:bidi w:val="0"/>
              <w:snapToGrid/>
              <w:spacing w:after="0" w:line="360" w:lineRule="auto"/>
              <w:jc w:val="both"/>
              <w:textAlignment w:val="auto"/>
              <w:rPr>
                <w:rFonts w:hint="eastAsia" w:ascii="Times New Roman" w:hAnsi="Times New Roman" w:eastAsia="宋体" w:cs="Times New Roman"/>
                <w:b w:val="0"/>
                <w:bCs w:val="0"/>
                <w:sz w:val="24"/>
                <w:szCs w:val="24"/>
                <w:vertAlign w:val="baseline"/>
                <w:lang w:eastAsia="zh-CN"/>
              </w:rPr>
            </w:pPr>
          </w:p>
        </w:tc>
      </w:tr>
    </w:tbl>
    <w:p w14:paraId="00D1BA4A">
      <w:pPr>
        <w:spacing w:line="480" w:lineRule="auto"/>
        <w:jc w:val="left"/>
        <w:rPr>
          <w:rFonts w:hint="eastAsia" w:ascii="Times New Roman" w:hAnsi="Times New Roman" w:eastAsia="宋体" w:cs="Times New Roman"/>
          <w:b/>
          <w:bCs/>
          <w:sz w:val="28"/>
          <w:szCs w:val="28"/>
        </w:rPr>
        <w:sectPr>
          <w:pgSz w:w="11906" w:h="16838"/>
          <w:pgMar w:top="1417" w:right="1417" w:bottom="1417" w:left="1417" w:header="851" w:footer="992" w:gutter="0"/>
          <w:pgNumType w:fmt="decimal"/>
          <w:cols w:space="425" w:num="1"/>
          <w:docGrid w:type="lines" w:linePitch="312" w:charSpace="0"/>
        </w:sectPr>
      </w:pPr>
    </w:p>
    <w:p w14:paraId="6C37A898">
      <w:pPr>
        <w:spacing w:line="360" w:lineRule="auto"/>
        <w:jc w:val="left"/>
        <w:outlineLvl w:val="0"/>
        <w:rPr>
          <w:rFonts w:hint="default" w:ascii="Times New Roman" w:hAnsi="Times New Roman" w:eastAsia="黑体" w:cs="Times New Roman"/>
          <w:b w:val="0"/>
          <w:bCs w:val="0"/>
          <w:sz w:val="30"/>
          <w:szCs w:val="30"/>
        </w:rPr>
      </w:pPr>
      <w:r>
        <w:rPr>
          <w:rFonts w:hint="default" w:ascii="Times New Roman" w:hAnsi="Times New Roman" w:eastAsia="黑体" w:cs="Times New Roman"/>
          <w:b w:val="0"/>
          <w:bCs w:val="0"/>
          <w:sz w:val="30"/>
          <w:szCs w:val="30"/>
        </w:rPr>
        <w:t>二、建设项目工程分析</w:t>
      </w: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8380"/>
      </w:tblGrid>
      <w:tr w14:paraId="1C62E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88" w:type="pct"/>
            <w:shd w:val="clear" w:color="auto" w:fill="auto"/>
            <w:vAlign w:val="center"/>
          </w:tcPr>
          <w:p w14:paraId="5DF22670">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建设内容</w:t>
            </w:r>
          </w:p>
        </w:tc>
        <w:tc>
          <w:tcPr>
            <w:tcW w:w="4511" w:type="pct"/>
            <w:shd w:val="clear" w:color="auto" w:fill="auto"/>
            <w:vAlign w:val="center"/>
          </w:tcPr>
          <w:p w14:paraId="46196E86">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default" w:ascii="Times New Roman" w:hAnsi="Times New Roman" w:eastAsia="宋体" w:cs="Times New Roman"/>
                <w:b/>
                <w:bCs/>
                <w:sz w:val="24"/>
              </w:rPr>
            </w:pPr>
            <w:r>
              <w:rPr>
                <w:rFonts w:hint="default" w:ascii="Times New Roman" w:hAnsi="Times New Roman" w:eastAsia="宋体" w:cs="Times New Roman"/>
                <w:b/>
                <w:bCs/>
                <w:sz w:val="24"/>
              </w:rPr>
              <w:t>1、项目背景</w:t>
            </w:r>
          </w:p>
          <w:p w14:paraId="53126E84">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嵌入式计算技术是国家信息技术产业的重要组成部分，对于提高国家的信息化水平和产业竞争力具有重要意义。国家出台了一系列政策支持嵌入式计算技术的研发和产业发展，例如《国家中长期科学和技术发展规划纲要</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2006</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2020年</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明确提出要加强嵌入式系统技术的研究和开发，提高我国信息技术产业的自主创新能力。此外，国家还通过设立专项基金、税收优惠等方式鼓励企业加大对嵌入式计算技术的研发投入。建设嵌入式计算主板项目，符合国家的产业发展战略，能够得到国家政策的支持和保障。经过多年的发展，我国在嵌入式计算技术领域已经取得了一定的成果，积累了丰富的技术经验和人才资源。在芯片设计、操作系统、软件开发等方面，我国已经具备了一定的自主研发能力。</w:t>
            </w:r>
          </w:p>
          <w:p w14:paraId="661742DC">
            <w:pPr>
              <w:keepNext w:val="0"/>
              <w:keepLines w:val="0"/>
              <w:pageBreakBefore w:val="0"/>
              <w:widowControl w:val="0"/>
              <w:shd w:val="clear"/>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在此背景下，安徽松果科技有限公司租用</w:t>
            </w:r>
            <w:r>
              <w:rPr>
                <w:rFonts w:hint="default" w:ascii="Times New Roman" w:hAnsi="Times New Roman" w:eastAsia="宋体" w:cs="Times New Roman"/>
                <w:sz w:val="24"/>
                <w:lang w:val="en-US" w:eastAsia="zh-CN"/>
              </w:rPr>
              <w:t>安徽省池州市江南产业集中区皖能电子信息产业园5幢4层，拟投资15000万元</w:t>
            </w:r>
            <w:r>
              <w:rPr>
                <w:rFonts w:hint="eastAsia" w:ascii="Times New Roman" w:hAnsi="Times New Roman" w:eastAsia="宋体" w:cs="Times New Roman"/>
                <w:sz w:val="24"/>
                <w:lang w:val="en-US" w:eastAsia="zh-CN"/>
              </w:rPr>
              <w:t>建设“XX</w:t>
            </w:r>
            <w:r>
              <w:rPr>
                <w:rFonts w:hint="eastAsia" w:ascii="Times New Roman" w:hAnsi="Times New Roman" w:eastAsia="宋体" w:cs="Times New Roman"/>
                <w:sz w:val="24"/>
                <w:highlight w:val="none"/>
                <w:lang w:val="en-US" w:eastAsia="zh-CN"/>
              </w:rPr>
              <w:t>测控装备项目</w:t>
            </w:r>
            <w:r>
              <w:rPr>
                <w:rFonts w:hint="eastAsia" w:ascii="Times New Roman" w:hAnsi="Times New Roman" w:eastAsia="宋体" w:cs="Times New Roman"/>
                <w:sz w:val="24"/>
                <w:lang w:val="en-US" w:eastAsia="zh-CN"/>
              </w:rPr>
              <w:t>”</w:t>
            </w:r>
            <w:r>
              <w:rPr>
                <w:rFonts w:hint="eastAsia" w:ascii="Times New Roman" w:hAnsi="Times New Roman" w:eastAsia="宋体" w:cs="Times New Roman"/>
                <w:sz w:val="24"/>
                <w:highlight w:val="none"/>
                <w:lang w:val="en-US" w:eastAsia="zh-CN"/>
              </w:rPr>
              <w:t>，设计</w:t>
            </w:r>
            <w:r>
              <w:rPr>
                <w:rFonts w:hint="default" w:ascii="Times New Roman" w:hAnsi="Times New Roman" w:eastAsia="宋体" w:cs="Times New Roman"/>
                <w:sz w:val="24"/>
                <w:highlight w:val="none"/>
                <w:lang w:val="en-US" w:eastAsia="zh-CN"/>
              </w:rPr>
              <w:t>建成后</w:t>
            </w:r>
            <w:r>
              <w:rPr>
                <w:rFonts w:hint="eastAsia" w:ascii="Times New Roman" w:hAnsi="Times New Roman" w:eastAsia="宋体" w:cs="Times New Roman"/>
                <w:sz w:val="24"/>
                <w:highlight w:val="none"/>
                <w:lang w:val="en-US" w:eastAsia="zh-CN"/>
              </w:rPr>
              <w:t>达到年产50000块嵌入式计算机板类及2000台整机装备类的生产规模，</w:t>
            </w:r>
            <w:r>
              <w:rPr>
                <w:rFonts w:hint="default" w:ascii="Times New Roman" w:hAnsi="Times New Roman" w:eastAsia="宋体" w:cs="Times New Roman"/>
                <w:sz w:val="24"/>
                <w:highlight w:val="none"/>
                <w:lang w:val="en-US" w:eastAsia="zh-CN"/>
              </w:rPr>
              <w:t>项目地理位置图见附图1。</w:t>
            </w:r>
            <w:r>
              <w:rPr>
                <w:rFonts w:hint="default" w:ascii="Times New Roman" w:hAnsi="Times New Roman" w:eastAsia="宋体" w:cs="Times New Roman"/>
                <w:sz w:val="24"/>
                <w:highlight w:val="none"/>
              </w:rPr>
              <w:t>本项目已取得</w:t>
            </w:r>
            <w:r>
              <w:rPr>
                <w:rFonts w:hint="eastAsia" w:ascii="Times New Roman" w:hAnsi="Times New Roman" w:eastAsia="宋体" w:cs="Times New Roman"/>
                <w:sz w:val="24"/>
                <w:highlight w:val="none"/>
                <w:lang w:val="en-US" w:eastAsia="zh-CN"/>
              </w:rPr>
              <w:t>皖江江南新兴产业集中区产业发展部</w:t>
            </w:r>
            <w:r>
              <w:rPr>
                <w:rFonts w:hint="default" w:ascii="Times New Roman" w:hAnsi="Times New Roman" w:eastAsia="宋体" w:cs="Times New Roman"/>
                <w:sz w:val="24"/>
                <w:highlight w:val="none"/>
              </w:rPr>
              <w:t>关于项目的备案，同意本项目的建设，备案编码：</w:t>
            </w:r>
            <w:r>
              <w:rPr>
                <w:rFonts w:hint="eastAsia" w:ascii="Times New Roman" w:hAnsi="Times New Roman" w:eastAsia="宋体" w:cs="Times New Roman"/>
                <w:sz w:val="24"/>
                <w:highlight w:val="none"/>
                <w:lang w:val="en-US" w:eastAsia="zh-CN"/>
              </w:rPr>
              <w:t>2505-341763-04-05-407727。</w:t>
            </w:r>
          </w:p>
          <w:p w14:paraId="2184B9EB">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auto"/>
              <w:rPr>
                <w:rFonts w:hint="default" w:ascii="Times New Roman" w:hAnsi="Times New Roman" w:eastAsia="宋体" w:cs="Times New Roman"/>
                <w:sz w:val="24"/>
                <w:shd w:val="clear"/>
                <w:lang w:val="en-US" w:eastAsia="zh-CN"/>
              </w:rPr>
            </w:pPr>
            <w:r>
              <w:rPr>
                <w:rFonts w:hint="default" w:ascii="Times New Roman" w:hAnsi="Times New Roman" w:eastAsia="宋体" w:cs="Times New Roman"/>
                <w:sz w:val="24"/>
              </w:rPr>
              <w:t>根据《中华人民共和国环境保护法》、《中华人民共和国环境影响评价法》和《建设项目环境保护管理条例》等有关文件，</w:t>
            </w:r>
            <w:r>
              <w:rPr>
                <w:rFonts w:hint="eastAsia" w:ascii="Times New Roman" w:hAnsi="Times New Roman" w:eastAsia="宋体" w:cs="Times New Roman"/>
                <w:sz w:val="24"/>
                <w:highlight w:val="none"/>
                <w:lang w:val="en-US" w:eastAsia="zh-CN"/>
              </w:rPr>
              <w:t>安徽松果科技有限公司</w:t>
            </w:r>
            <w:r>
              <w:rPr>
                <w:rFonts w:hint="default" w:ascii="Times New Roman" w:hAnsi="Times New Roman" w:eastAsia="宋体" w:cs="Times New Roman"/>
                <w:color w:val="auto"/>
                <w:sz w:val="24"/>
                <w:highlight w:val="none"/>
              </w:rPr>
              <w:t>于202</w:t>
            </w:r>
            <w:r>
              <w:rPr>
                <w:rFonts w:hint="eastAsia" w:ascii="Times New Roman" w:hAnsi="Times New Roman" w:eastAsia="宋体" w:cs="Times New Roman"/>
                <w:color w:val="auto"/>
                <w:sz w:val="24"/>
                <w:highlight w:val="none"/>
                <w:lang w:val="en-US" w:eastAsia="zh-CN"/>
              </w:rPr>
              <w:t>5</w:t>
            </w:r>
            <w:r>
              <w:rPr>
                <w:rFonts w:hint="default" w:ascii="Times New Roman" w:hAnsi="Times New Roman" w:eastAsia="宋体" w:cs="Times New Roman"/>
                <w:color w:val="auto"/>
                <w:sz w:val="24"/>
                <w:highlight w:val="none"/>
              </w:rPr>
              <w:t>年</w:t>
            </w:r>
            <w:r>
              <w:rPr>
                <w:rFonts w:hint="eastAsia" w:ascii="Times New Roman" w:hAnsi="Times New Roman" w:eastAsia="宋体" w:cs="Times New Roman"/>
                <w:color w:val="auto"/>
                <w:sz w:val="24"/>
                <w:highlight w:val="none"/>
                <w:lang w:val="en-US" w:eastAsia="zh-CN"/>
              </w:rPr>
              <w:t>6</w:t>
            </w:r>
            <w:r>
              <w:rPr>
                <w:rFonts w:hint="default" w:ascii="Times New Roman" w:hAnsi="Times New Roman" w:eastAsia="宋体" w:cs="Times New Roman"/>
                <w:color w:val="auto"/>
                <w:sz w:val="24"/>
                <w:highlight w:val="none"/>
              </w:rPr>
              <w:t>月</w:t>
            </w:r>
            <w:r>
              <w:rPr>
                <w:rFonts w:hint="eastAsia" w:ascii="Times New Roman" w:hAnsi="Times New Roman" w:eastAsia="宋体" w:cs="Times New Roman"/>
                <w:color w:val="auto"/>
                <w:sz w:val="24"/>
                <w:highlight w:val="none"/>
                <w:lang w:val="en-US" w:eastAsia="zh-CN"/>
              </w:rPr>
              <w:t>30</w:t>
            </w:r>
            <w:r>
              <w:rPr>
                <w:rFonts w:hint="default" w:ascii="Times New Roman" w:hAnsi="Times New Roman" w:eastAsia="宋体" w:cs="Times New Roman"/>
                <w:color w:val="auto"/>
                <w:sz w:val="24"/>
                <w:highlight w:val="none"/>
              </w:rPr>
              <w:t>日</w:t>
            </w:r>
            <w:r>
              <w:rPr>
                <w:rFonts w:hint="default" w:ascii="Times New Roman" w:hAnsi="Times New Roman" w:eastAsia="宋体" w:cs="Times New Roman"/>
                <w:sz w:val="24"/>
                <w:highlight w:val="none"/>
              </w:rPr>
              <w:t>委托</w:t>
            </w:r>
            <w:r>
              <w:rPr>
                <w:rFonts w:hint="eastAsia" w:ascii="Times New Roman" w:hAnsi="Times New Roman"/>
                <w:color w:val="auto"/>
                <w:sz w:val="24"/>
                <w:lang w:eastAsia="zh-CN"/>
              </w:rPr>
              <w:t>安徽重晨生态科技有限责任公司</w:t>
            </w:r>
            <w:r>
              <w:rPr>
                <w:rFonts w:hint="default" w:ascii="Times New Roman" w:hAnsi="Times New Roman" w:eastAsia="宋体" w:cs="Times New Roman"/>
                <w:sz w:val="24"/>
              </w:rPr>
              <w:t>承担该项目的环境影响评价工作。</w:t>
            </w:r>
            <w:r>
              <w:rPr>
                <w:rFonts w:hint="default" w:ascii="Times New Roman" w:hAnsi="Times New Roman" w:eastAsia="宋体" w:cs="Times New Roman"/>
                <w:sz w:val="24"/>
                <w:shd w:val="clear"/>
              </w:rPr>
              <w:t>接受委托后，我公司组织有关技术人员进行现场踏勘与调查，收集了相关资料并进行了整理分析。对照《国民经济行业分类（GB/T4754-2017）》</w:t>
            </w:r>
            <w:r>
              <w:rPr>
                <w:rFonts w:hint="eastAsia" w:ascii="Times New Roman" w:hAnsi="Times New Roman" w:eastAsia="宋体" w:cs="Times New Roman"/>
                <w:sz w:val="24"/>
                <w:shd w:val="clear"/>
                <w:lang w:eastAsia="zh-CN"/>
              </w:rPr>
              <w:t>（</w:t>
            </w:r>
            <w:r>
              <w:rPr>
                <w:rFonts w:hint="default" w:ascii="Times New Roman" w:hAnsi="Times New Roman" w:eastAsia="宋体" w:cs="Times New Roman"/>
                <w:sz w:val="24"/>
                <w:shd w:val="clear"/>
              </w:rPr>
              <w:t>2019年修订版</w:t>
            </w:r>
            <w:r>
              <w:rPr>
                <w:rFonts w:hint="eastAsia" w:ascii="Times New Roman" w:hAnsi="Times New Roman" w:eastAsia="宋体" w:cs="Times New Roman"/>
                <w:sz w:val="24"/>
                <w:shd w:val="clear"/>
                <w:lang w:eastAsia="zh-CN"/>
              </w:rPr>
              <w:t>）</w:t>
            </w:r>
            <w:r>
              <w:rPr>
                <w:rFonts w:hint="default" w:ascii="Times New Roman" w:hAnsi="Times New Roman" w:eastAsia="宋体" w:cs="Times New Roman"/>
                <w:sz w:val="24"/>
                <w:shd w:val="clear"/>
              </w:rPr>
              <w:t>，本项目属于C3914工业控制计算机及系统制造，依据《建设项目环境影响评价分类管理名录》（</w:t>
            </w:r>
            <w:r>
              <w:rPr>
                <w:rFonts w:hint="default" w:ascii="Times New Roman" w:hAnsi="Times New Roman" w:cs="Times New Roman"/>
                <w:sz w:val="24"/>
                <w:shd w:val="clear"/>
              </w:rPr>
              <w:t>2021年版），本项目属于</w:t>
            </w:r>
            <w:r>
              <w:rPr>
                <w:rFonts w:hint="eastAsia" w:ascii="Times New Roman" w:hAnsi="Times New Roman" w:cs="Times New Roman"/>
                <w:sz w:val="24"/>
                <w:shd w:val="clear"/>
                <w:lang w:val="en-US" w:eastAsia="zh-CN"/>
              </w:rPr>
              <w:t>三十六</w:t>
            </w:r>
            <w:r>
              <w:rPr>
                <w:rFonts w:hint="default" w:ascii="Times New Roman" w:hAnsi="Times New Roman" w:cs="Times New Roman"/>
                <w:sz w:val="24"/>
                <w:shd w:val="clear"/>
              </w:rPr>
              <w:t>、</w:t>
            </w:r>
            <w:r>
              <w:rPr>
                <w:rFonts w:hint="eastAsia" w:ascii="Times New Roman" w:hAnsi="Times New Roman" w:cs="Times New Roman"/>
                <w:sz w:val="24"/>
                <w:shd w:val="clear"/>
                <w:lang w:val="en-US" w:eastAsia="zh-CN"/>
              </w:rPr>
              <w:t>计算机、通信和其他电子设备制造</w:t>
            </w:r>
            <w:r>
              <w:rPr>
                <w:rFonts w:hint="default" w:ascii="Times New Roman" w:hAnsi="Times New Roman" w:cs="Times New Roman"/>
                <w:sz w:val="24"/>
                <w:shd w:val="clear"/>
                <w:lang w:val="en-US" w:eastAsia="zh-CN"/>
              </w:rPr>
              <w:t>业</w:t>
            </w:r>
            <w:r>
              <w:rPr>
                <w:rFonts w:hint="default" w:ascii="Times New Roman" w:hAnsi="Times New Roman" w:cs="Times New Roman"/>
                <w:sz w:val="24"/>
                <w:shd w:val="clear"/>
              </w:rPr>
              <w:t xml:space="preserve"> </w:t>
            </w:r>
            <w:r>
              <w:rPr>
                <w:rFonts w:hint="eastAsia" w:ascii="Times New Roman" w:hAnsi="Times New Roman" w:cs="Times New Roman"/>
                <w:sz w:val="24"/>
                <w:shd w:val="clear"/>
                <w:lang w:val="en-US" w:eastAsia="zh-CN"/>
              </w:rPr>
              <w:t>78</w:t>
            </w:r>
            <w:r>
              <w:rPr>
                <w:rFonts w:hint="default" w:ascii="Times New Roman" w:hAnsi="Times New Roman" w:cs="Times New Roman"/>
                <w:sz w:val="24"/>
                <w:shd w:val="clear"/>
              </w:rPr>
              <w:t xml:space="preserve"> </w:t>
            </w:r>
            <w:r>
              <w:rPr>
                <w:rFonts w:hint="eastAsia" w:ascii="Times New Roman" w:hAnsi="Times New Roman" w:cs="Times New Roman"/>
                <w:sz w:val="24"/>
                <w:shd w:val="clear"/>
                <w:lang w:val="en-US" w:eastAsia="zh-CN"/>
              </w:rPr>
              <w:t>计算机制造391</w:t>
            </w:r>
            <w:r>
              <w:rPr>
                <w:rFonts w:hint="default" w:ascii="Times New Roman" w:hAnsi="Times New Roman" w:cs="Times New Roman"/>
                <w:sz w:val="24"/>
                <w:shd w:val="clear"/>
                <w:lang w:val="en-US" w:eastAsia="zh-CN"/>
              </w:rPr>
              <w:t>中</w:t>
            </w:r>
            <w:r>
              <w:rPr>
                <w:rFonts w:hint="default" w:ascii="Times New Roman" w:hAnsi="Times New Roman" w:cs="Times New Roman"/>
                <w:sz w:val="24"/>
                <w:shd w:val="clear"/>
              </w:rPr>
              <w:t>的</w:t>
            </w:r>
            <w:r>
              <w:rPr>
                <w:rFonts w:hint="eastAsia" w:ascii="Times New Roman" w:hAnsi="Times New Roman" w:cs="Times New Roman"/>
                <w:sz w:val="24"/>
                <w:shd w:val="clear"/>
                <w:lang w:eastAsia="zh-CN"/>
              </w:rPr>
              <w:t>“显示器件制造；集成电路制造；使用有机溶剂的；有酸洗的；以上均不含仅分割、焊接、组装的”</w:t>
            </w:r>
            <w:r>
              <w:rPr>
                <w:rFonts w:hint="default" w:ascii="Times New Roman" w:hAnsi="Times New Roman" w:eastAsia="宋体" w:cs="Times New Roman"/>
                <w:sz w:val="24"/>
                <w:shd w:val="clear"/>
              </w:rPr>
              <w:t>，应编制环境影响报告表</w:t>
            </w:r>
            <w:r>
              <w:rPr>
                <w:rFonts w:hint="default" w:ascii="Times New Roman" w:hAnsi="Times New Roman" w:eastAsia="宋体" w:cs="Times New Roman"/>
                <w:color w:val="auto"/>
                <w:sz w:val="24"/>
                <w:shd w:val="clear"/>
              </w:rPr>
              <w:t>。</w:t>
            </w:r>
            <w:r>
              <w:rPr>
                <w:rFonts w:hint="eastAsia" w:ascii="Times New Roman" w:hAnsi="Times New Roman" w:eastAsia="宋体" w:cs="Times New Roman"/>
                <w:color w:val="auto"/>
                <w:sz w:val="24"/>
                <w:shd w:val="clear"/>
                <w:lang w:val="en-US" w:eastAsia="zh-CN"/>
              </w:rPr>
              <w:t>具体判定依据见下表：</w:t>
            </w:r>
          </w:p>
          <w:p w14:paraId="6411AB36">
            <w:pPr>
              <w:keepNext w:val="0"/>
              <w:keepLines w:val="0"/>
              <w:pageBreakBefore w:val="0"/>
              <w:widowControl w:val="0"/>
              <w:kinsoku/>
              <w:wordWrap/>
              <w:overflowPunct/>
              <w:topLinePunct w:val="0"/>
              <w:autoSpaceDE/>
              <w:autoSpaceDN/>
              <w:bidi w:val="0"/>
              <w:adjustRightInd w:val="0"/>
              <w:snapToGrid/>
              <w:spacing w:line="360" w:lineRule="auto"/>
              <w:jc w:val="center"/>
              <w:textAlignment w:val="auto"/>
              <w:rPr>
                <w:rFonts w:hint="default" w:ascii="Times New Roman" w:hAnsi="Times New Roman" w:eastAsia="黑体" w:cs="Times New Roman"/>
                <w:sz w:val="21"/>
                <w:szCs w:val="21"/>
                <w:lang w:eastAsia="zh-CN"/>
              </w:rPr>
            </w:pPr>
          </w:p>
          <w:p w14:paraId="3E05D675">
            <w:pPr>
              <w:keepNext w:val="0"/>
              <w:keepLines w:val="0"/>
              <w:pageBreakBefore w:val="0"/>
              <w:widowControl w:val="0"/>
              <w:kinsoku/>
              <w:wordWrap/>
              <w:overflowPunct/>
              <w:topLinePunct w:val="0"/>
              <w:autoSpaceDE/>
              <w:autoSpaceDN/>
              <w:bidi w:val="0"/>
              <w:adjustRightInd w:val="0"/>
              <w:snapToGrid/>
              <w:spacing w:line="360" w:lineRule="auto"/>
              <w:jc w:val="center"/>
              <w:textAlignment w:val="auto"/>
              <w:rPr>
                <w:rFonts w:hint="default" w:ascii="Times New Roman" w:hAnsi="Times New Roman" w:eastAsia="黑体" w:cs="Times New Roman"/>
                <w:b/>
                <w:bCs/>
                <w:sz w:val="21"/>
                <w:szCs w:val="21"/>
                <w:vertAlign w:val="baseline"/>
                <w:lang w:eastAsia="zh-CN"/>
              </w:rPr>
            </w:pPr>
            <w:r>
              <w:rPr>
                <w:rFonts w:hint="default" w:ascii="Times New Roman" w:hAnsi="Times New Roman" w:eastAsia="黑体" w:cs="Times New Roman"/>
                <w:sz w:val="21"/>
                <w:szCs w:val="21"/>
                <w:lang w:eastAsia="zh-CN"/>
              </w:rPr>
              <w:t>表</w:t>
            </w:r>
            <w:r>
              <w:rPr>
                <w:rFonts w:hint="eastAsia" w:ascii="Times New Roman" w:hAnsi="Times New Roman" w:eastAsia="黑体" w:cs="Times New Roman"/>
                <w:sz w:val="21"/>
                <w:szCs w:val="21"/>
                <w:lang w:val="en-US" w:eastAsia="zh-CN"/>
              </w:rPr>
              <w:t>2-1</w:t>
            </w:r>
            <w:r>
              <w:rPr>
                <w:rFonts w:hint="default" w:ascii="Times New Roman" w:hAnsi="Times New Roman" w:eastAsia="黑体" w:cs="Times New Roman"/>
                <w:sz w:val="21"/>
                <w:szCs w:val="21"/>
                <w:lang w:eastAsia="zh-CN"/>
              </w:rPr>
              <w:t xml:space="preserve"> 建设项目环境影响评价分类管理名录对照表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5"/>
              <w:gridCol w:w="1393"/>
              <w:gridCol w:w="3589"/>
              <w:gridCol w:w="1384"/>
            </w:tblGrid>
            <w:tr w14:paraId="070DD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4" w:type="pct"/>
                  <w:shd w:val="clear" w:color="auto" w:fill="auto"/>
                  <w:vAlign w:val="center"/>
                </w:tcPr>
                <w:p w14:paraId="7DF8C4C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eastAsia" w:ascii="Times New Roman" w:hAnsi="Times New Roman" w:eastAsia="宋体" w:cs="Times New Roman"/>
                      <w:b w:val="0"/>
                      <w:bCs w:val="0"/>
                      <w:sz w:val="21"/>
                      <w:szCs w:val="21"/>
                      <w:vertAlign w:val="baseline"/>
                      <w:lang w:val="en-US" w:eastAsia="zh-CN"/>
                    </w:rPr>
                    <w:t>项目类别</w:t>
                  </w:r>
                </w:p>
              </w:tc>
              <w:tc>
                <w:tcPr>
                  <w:tcW w:w="854" w:type="pct"/>
                  <w:shd w:val="clear" w:color="auto" w:fill="auto"/>
                  <w:vAlign w:val="center"/>
                </w:tcPr>
                <w:p w14:paraId="59BEA2ED">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eastAsia" w:ascii="Times New Roman" w:hAnsi="Times New Roman" w:eastAsia="宋体" w:cs="Times New Roman"/>
                      <w:b w:val="0"/>
                      <w:bCs w:val="0"/>
                      <w:sz w:val="21"/>
                      <w:szCs w:val="21"/>
                      <w:vertAlign w:val="baseline"/>
                      <w:lang w:val="en-US" w:eastAsia="zh-CN"/>
                    </w:rPr>
                    <w:t>报告书</w:t>
                  </w:r>
                </w:p>
              </w:tc>
              <w:tc>
                <w:tcPr>
                  <w:tcW w:w="2201" w:type="pct"/>
                  <w:shd w:val="clear" w:color="auto" w:fill="auto"/>
                  <w:vAlign w:val="center"/>
                </w:tcPr>
                <w:p w14:paraId="523A5F6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eastAsia" w:ascii="Times New Roman" w:hAnsi="Times New Roman" w:eastAsia="宋体" w:cs="Times New Roman"/>
                      <w:b w:val="0"/>
                      <w:bCs w:val="0"/>
                      <w:sz w:val="21"/>
                      <w:szCs w:val="21"/>
                      <w:vertAlign w:val="baseline"/>
                      <w:lang w:val="en-US" w:eastAsia="zh-CN"/>
                    </w:rPr>
                    <w:t>报告表</w:t>
                  </w:r>
                </w:p>
              </w:tc>
              <w:tc>
                <w:tcPr>
                  <w:tcW w:w="848" w:type="pct"/>
                  <w:shd w:val="clear" w:color="auto" w:fill="auto"/>
                  <w:vAlign w:val="center"/>
                </w:tcPr>
                <w:p w14:paraId="03507BA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登记表</w:t>
                  </w:r>
                </w:p>
              </w:tc>
            </w:tr>
            <w:tr w14:paraId="4D8EE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14:paraId="3C58858B">
                  <w:pPr>
                    <w:keepNext w:val="0"/>
                    <w:keepLines w:val="0"/>
                    <w:pageBreakBefore w:val="0"/>
                    <w:widowControl w:val="0"/>
                    <w:kinsoku/>
                    <w:wordWrap/>
                    <w:overflowPunct/>
                    <w:topLinePunct w:val="0"/>
                    <w:autoSpaceDE/>
                    <w:autoSpaceDN/>
                    <w:bidi w:val="0"/>
                    <w:adjustRightInd w:val="0"/>
                    <w:snapToGrid w:val="0"/>
                    <w:spacing w:line="360" w:lineRule="exact"/>
                    <w:jc w:val="left"/>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三十</w:t>
                  </w:r>
                  <w:r>
                    <w:rPr>
                      <w:rFonts w:hint="eastAsia" w:ascii="Times New Roman" w:hAnsi="Times New Roman" w:eastAsia="宋体" w:cs="Times New Roman"/>
                      <w:b w:val="0"/>
                      <w:bCs w:val="0"/>
                      <w:sz w:val="21"/>
                      <w:szCs w:val="21"/>
                      <w:vertAlign w:val="baseline"/>
                      <w:lang w:val="en-US" w:eastAsia="zh-CN"/>
                    </w:rPr>
                    <w:t>六</w:t>
                  </w:r>
                  <w:r>
                    <w:rPr>
                      <w:rFonts w:hint="default" w:ascii="Times New Roman" w:hAnsi="Times New Roman" w:eastAsia="宋体" w:cs="Times New Roman"/>
                      <w:b w:val="0"/>
                      <w:bCs w:val="0"/>
                      <w:sz w:val="21"/>
                      <w:szCs w:val="21"/>
                      <w:vertAlign w:val="baseline"/>
                      <w:lang w:val="en-US" w:eastAsia="zh-CN"/>
                    </w:rPr>
                    <w:t>、计算机、通信和其他电子设备制造业39</w:t>
                  </w:r>
                </w:p>
              </w:tc>
            </w:tr>
            <w:tr w14:paraId="0F943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4" w:type="pct"/>
                  <w:shd w:val="clear" w:color="auto" w:fill="auto"/>
                  <w:vAlign w:val="center"/>
                </w:tcPr>
                <w:p w14:paraId="21CC4B16">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eastAsia" w:ascii="Times New Roman" w:hAnsi="Times New Roman" w:eastAsia="宋体" w:cs="Times New Roman"/>
                      <w:b w:val="0"/>
                      <w:bCs w:val="0"/>
                      <w:sz w:val="21"/>
                      <w:szCs w:val="21"/>
                      <w:vertAlign w:val="baseline"/>
                      <w:lang w:val="en-US" w:eastAsia="zh-CN"/>
                    </w:rPr>
                    <w:t>计算机制造391</w:t>
                  </w:r>
                </w:p>
              </w:tc>
              <w:tc>
                <w:tcPr>
                  <w:tcW w:w="854" w:type="pct"/>
                  <w:shd w:val="clear" w:color="auto" w:fill="auto"/>
                  <w:vAlign w:val="center"/>
                </w:tcPr>
                <w:p w14:paraId="17386006">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eastAsia" w:ascii="Times New Roman" w:hAnsi="Times New Roman" w:eastAsia="宋体" w:cs="Times New Roman"/>
                      <w:b w:val="0"/>
                      <w:bCs w:val="0"/>
                      <w:sz w:val="21"/>
                      <w:szCs w:val="21"/>
                      <w:vertAlign w:val="baseline"/>
                      <w:lang w:val="en-US" w:eastAsia="zh-CN"/>
                    </w:rPr>
                    <w:t>/</w:t>
                  </w:r>
                </w:p>
              </w:tc>
              <w:tc>
                <w:tcPr>
                  <w:tcW w:w="2201" w:type="pct"/>
                  <w:shd w:val="clear" w:color="auto" w:fill="auto"/>
                  <w:vAlign w:val="center"/>
                </w:tcPr>
                <w:p w14:paraId="19C05A97">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显示器件制造</w:t>
                  </w:r>
                  <w:r>
                    <w:rPr>
                      <w:rFonts w:hint="eastAsia" w:ascii="Times New Roman" w:hAnsi="Times New Roman" w:eastAsia="宋体" w:cs="Times New Roman"/>
                      <w:b w:val="0"/>
                      <w:bCs w:val="0"/>
                      <w:sz w:val="21"/>
                      <w:szCs w:val="21"/>
                      <w:vertAlign w:val="baseline"/>
                      <w:lang w:val="en-US" w:eastAsia="zh-CN"/>
                    </w:rPr>
                    <w:t>；</w:t>
                  </w:r>
                  <w:r>
                    <w:rPr>
                      <w:rFonts w:hint="default" w:ascii="Times New Roman" w:hAnsi="Times New Roman" w:eastAsia="宋体" w:cs="Times New Roman"/>
                      <w:b w:val="0"/>
                      <w:bCs w:val="0"/>
                      <w:sz w:val="21"/>
                      <w:szCs w:val="21"/>
                      <w:vertAlign w:val="baseline"/>
                      <w:lang w:val="en-US" w:eastAsia="zh-CN"/>
                    </w:rPr>
                    <w:t>集成电路制造</w:t>
                  </w:r>
                  <w:r>
                    <w:rPr>
                      <w:rFonts w:hint="eastAsia" w:ascii="Times New Roman" w:hAnsi="Times New Roman" w:eastAsia="宋体" w:cs="Times New Roman"/>
                      <w:b w:val="0"/>
                      <w:bCs w:val="0"/>
                      <w:sz w:val="21"/>
                      <w:szCs w:val="21"/>
                      <w:vertAlign w:val="baseline"/>
                      <w:lang w:val="en-US" w:eastAsia="zh-CN"/>
                    </w:rPr>
                    <w:t>；</w:t>
                  </w:r>
                  <w:r>
                    <w:rPr>
                      <w:rFonts w:hint="default" w:ascii="Times New Roman" w:hAnsi="Times New Roman" w:eastAsia="宋体" w:cs="Times New Roman"/>
                      <w:b w:val="0"/>
                      <w:bCs w:val="0"/>
                      <w:sz w:val="21"/>
                      <w:szCs w:val="21"/>
                      <w:vertAlign w:val="baseline"/>
                      <w:lang w:val="en-US" w:eastAsia="zh-CN"/>
                    </w:rPr>
                    <w:t>使用有机溶剂的</w:t>
                  </w:r>
                  <w:r>
                    <w:rPr>
                      <w:rFonts w:hint="eastAsia" w:ascii="Times New Roman" w:hAnsi="Times New Roman" w:eastAsia="宋体" w:cs="Times New Roman"/>
                      <w:b w:val="0"/>
                      <w:bCs w:val="0"/>
                      <w:sz w:val="21"/>
                      <w:szCs w:val="21"/>
                      <w:vertAlign w:val="baseline"/>
                      <w:lang w:val="en-US" w:eastAsia="zh-CN"/>
                    </w:rPr>
                    <w:t>；</w:t>
                  </w:r>
                  <w:r>
                    <w:rPr>
                      <w:rFonts w:hint="default" w:ascii="Times New Roman" w:hAnsi="Times New Roman" w:eastAsia="宋体" w:cs="Times New Roman"/>
                      <w:b w:val="0"/>
                      <w:bCs w:val="0"/>
                      <w:sz w:val="21"/>
                      <w:szCs w:val="21"/>
                      <w:vertAlign w:val="baseline"/>
                      <w:lang w:val="en-US" w:eastAsia="zh-CN"/>
                    </w:rPr>
                    <w:t>有酸洗的</w:t>
                  </w:r>
                </w:p>
                <w:p w14:paraId="286F3D0A">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default" w:ascii="Times New Roman" w:hAnsi="Times New Roman" w:eastAsia="宋体" w:cs="Times New Roman"/>
                      <w:b w:val="0"/>
                      <w:bCs w:val="0"/>
                      <w:sz w:val="21"/>
                      <w:szCs w:val="21"/>
                      <w:vertAlign w:val="baseline"/>
                      <w:lang w:val="en-US" w:eastAsia="zh-CN"/>
                    </w:rPr>
                    <w:t>以上均不含仅分割、焊接、组装的</w:t>
                  </w:r>
                </w:p>
              </w:tc>
              <w:tc>
                <w:tcPr>
                  <w:tcW w:w="848" w:type="pct"/>
                  <w:shd w:val="clear" w:color="auto" w:fill="auto"/>
                  <w:vAlign w:val="center"/>
                </w:tcPr>
                <w:p w14:paraId="566D492D">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pPr>
                  <w:r>
                    <w:rPr>
                      <w:rFonts w:hint="eastAsia" w:ascii="Times New Roman" w:hAnsi="Times New Roman" w:eastAsia="宋体" w:cs="Times New Roman"/>
                      <w:b w:val="0"/>
                      <w:bCs w:val="0"/>
                      <w:sz w:val="21"/>
                      <w:szCs w:val="21"/>
                      <w:vertAlign w:val="baseline"/>
                      <w:lang w:val="en-US" w:eastAsia="zh-CN"/>
                    </w:rPr>
                    <w:t>/</w:t>
                  </w:r>
                </w:p>
              </w:tc>
            </w:tr>
          </w:tbl>
          <w:p w14:paraId="7D0C30F2">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eastAsia="zh-CN"/>
              </w:rPr>
              <w:t>对照《固定污染源排污许可分类管理名录》（2019年版）中相关内容，</w:t>
            </w:r>
            <w:r>
              <w:rPr>
                <w:rFonts w:hint="default" w:ascii="Times New Roman" w:hAnsi="Times New Roman" w:eastAsia="宋体" w:cs="Times New Roman"/>
                <w:b w:val="0"/>
                <w:bCs w:val="0"/>
                <w:sz w:val="24"/>
              </w:rPr>
              <w:t>本项目属于排污许可中</w:t>
            </w:r>
            <w:r>
              <w:rPr>
                <w:rFonts w:hint="eastAsia" w:ascii="Times New Roman" w:hAnsi="Times New Roman" w:eastAsia="宋体" w:cs="Times New Roman"/>
                <w:b w:val="0"/>
                <w:bCs w:val="0"/>
                <w:sz w:val="24"/>
                <w:lang w:val="en-US" w:eastAsia="zh-CN"/>
              </w:rPr>
              <w:t>登记</w:t>
            </w:r>
            <w:r>
              <w:rPr>
                <w:rFonts w:hint="default" w:ascii="Times New Roman" w:hAnsi="Times New Roman" w:eastAsia="宋体" w:cs="Times New Roman"/>
                <w:b w:val="0"/>
                <w:bCs w:val="0"/>
                <w:sz w:val="24"/>
              </w:rPr>
              <w:t>管理</w:t>
            </w:r>
            <w:r>
              <w:rPr>
                <w:rFonts w:hint="eastAsia" w:ascii="Times New Roman" w:hAnsi="Times New Roman" w:eastAsia="宋体" w:cs="Times New Roman"/>
                <w:b w:val="0"/>
                <w:bCs w:val="0"/>
                <w:sz w:val="24"/>
                <w:lang w:eastAsia="zh-CN"/>
              </w:rPr>
              <w:t>。</w:t>
            </w:r>
            <w:r>
              <w:rPr>
                <w:rFonts w:hint="eastAsia" w:ascii="Times New Roman" w:hAnsi="Times New Roman" w:eastAsia="宋体" w:cs="Times New Roman"/>
                <w:b w:val="0"/>
                <w:bCs w:val="0"/>
                <w:sz w:val="24"/>
                <w:lang w:val="en-US" w:eastAsia="zh-CN"/>
              </w:rPr>
              <w:t>判定依据详见表2-2。</w:t>
            </w:r>
          </w:p>
          <w:p w14:paraId="3FFBE401">
            <w:pPr>
              <w:keepNext w:val="0"/>
              <w:keepLines w:val="0"/>
              <w:pageBreakBefore w:val="0"/>
              <w:widowControl w:val="0"/>
              <w:kinsoku/>
              <w:wordWrap/>
              <w:overflowPunct/>
              <w:topLinePunct w:val="0"/>
              <w:autoSpaceDE/>
              <w:autoSpaceDN/>
              <w:bidi w:val="0"/>
              <w:adjustRightInd w:val="0"/>
              <w:snapToGrid/>
              <w:spacing w:line="360" w:lineRule="auto"/>
              <w:jc w:val="center"/>
              <w:textAlignment w:val="auto"/>
              <w:rPr>
                <w:rFonts w:hint="default" w:ascii="Times New Roman" w:hAnsi="Times New Roman" w:eastAsia="黑体" w:cs="Times New Roman"/>
                <w:b/>
                <w:bCs/>
                <w:sz w:val="21"/>
                <w:szCs w:val="21"/>
                <w:vertAlign w:val="baseline"/>
                <w:lang w:eastAsia="zh-CN"/>
              </w:rPr>
            </w:pPr>
            <w:r>
              <w:rPr>
                <w:rFonts w:hint="default" w:ascii="Times New Roman" w:hAnsi="Times New Roman" w:eastAsia="黑体" w:cs="Times New Roman"/>
                <w:sz w:val="21"/>
                <w:szCs w:val="21"/>
                <w:lang w:eastAsia="zh-CN"/>
              </w:rPr>
              <w:t>表</w:t>
            </w:r>
            <w:r>
              <w:rPr>
                <w:rFonts w:hint="eastAsia" w:ascii="Times New Roman" w:hAnsi="Times New Roman" w:eastAsia="黑体" w:cs="Times New Roman"/>
                <w:sz w:val="21"/>
                <w:szCs w:val="21"/>
                <w:lang w:val="en-US" w:eastAsia="zh-CN"/>
              </w:rPr>
              <w:t>2-2</w:t>
            </w:r>
            <w:r>
              <w:rPr>
                <w:rFonts w:hint="default" w:ascii="Times New Roman" w:hAnsi="Times New Roman" w:eastAsia="黑体" w:cs="Times New Roman"/>
                <w:sz w:val="21"/>
                <w:szCs w:val="21"/>
                <w:lang w:eastAsia="zh-CN"/>
              </w:rPr>
              <w:t xml:space="preserve"> 固定污染源排污许可分类管理名录对照表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8"/>
              <w:gridCol w:w="2687"/>
              <w:gridCol w:w="1358"/>
              <w:gridCol w:w="2344"/>
              <w:gridCol w:w="1184"/>
            </w:tblGrid>
            <w:tr w14:paraId="56AAE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 w:type="pct"/>
                  <w:vAlign w:val="center"/>
                </w:tcPr>
                <w:p w14:paraId="45F0C314">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序号</w:t>
                  </w:r>
                </w:p>
              </w:tc>
              <w:tc>
                <w:tcPr>
                  <w:tcW w:w="1648" w:type="pct"/>
                  <w:vAlign w:val="center"/>
                </w:tcPr>
                <w:p w14:paraId="766177B0">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行业类别</w:t>
                  </w:r>
                </w:p>
              </w:tc>
              <w:tc>
                <w:tcPr>
                  <w:tcW w:w="833" w:type="pct"/>
                  <w:vAlign w:val="center"/>
                </w:tcPr>
                <w:p w14:paraId="777A883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重点管理</w:t>
                  </w:r>
                </w:p>
              </w:tc>
              <w:tc>
                <w:tcPr>
                  <w:tcW w:w="1438" w:type="pct"/>
                  <w:vAlign w:val="center"/>
                </w:tcPr>
                <w:p w14:paraId="3928A53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简化管理</w:t>
                  </w:r>
                </w:p>
              </w:tc>
              <w:tc>
                <w:tcPr>
                  <w:tcW w:w="725" w:type="pct"/>
                  <w:vAlign w:val="center"/>
                </w:tcPr>
                <w:p w14:paraId="260B9F8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登记管理</w:t>
                  </w:r>
                </w:p>
              </w:tc>
            </w:tr>
            <w:tr w14:paraId="676A4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vAlign w:val="center"/>
                </w:tcPr>
                <w:p w14:paraId="191251A9">
                  <w:pPr>
                    <w:keepNext w:val="0"/>
                    <w:keepLines w:val="0"/>
                    <w:pageBreakBefore w:val="0"/>
                    <w:widowControl w:val="0"/>
                    <w:kinsoku/>
                    <w:wordWrap/>
                    <w:overflowPunct/>
                    <w:topLinePunct w:val="0"/>
                    <w:autoSpaceDE/>
                    <w:autoSpaceDN/>
                    <w:bidi w:val="0"/>
                    <w:adjustRightInd w:val="0"/>
                    <w:snapToGrid w:val="0"/>
                    <w:spacing w:line="360" w:lineRule="exact"/>
                    <w:jc w:val="left"/>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三十四、计算机、通信和其他电子设备制造业39</w:t>
                  </w:r>
                </w:p>
              </w:tc>
            </w:tr>
            <w:tr w14:paraId="2E0DE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 w:type="pct"/>
                  <w:vAlign w:val="center"/>
                </w:tcPr>
                <w:p w14:paraId="44E8E2BD">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89</w:t>
                  </w:r>
                </w:p>
              </w:tc>
              <w:tc>
                <w:tcPr>
                  <w:tcW w:w="1648" w:type="pct"/>
                  <w:vAlign w:val="center"/>
                </w:tcPr>
                <w:p w14:paraId="4CB7C01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计算机制造 391，电子器件制造 397，电子元件及电子专用材料制造 398</w:t>
                  </w:r>
                  <w:r>
                    <w:rPr>
                      <w:rFonts w:hint="eastAsia" w:ascii="Times New Roman" w:hAnsi="Times New Roman" w:eastAsia="宋体" w:cs="Times New Roman"/>
                      <w:b w:val="0"/>
                      <w:bCs w:val="0"/>
                      <w:sz w:val="21"/>
                      <w:szCs w:val="21"/>
                      <w:vertAlign w:val="baseline"/>
                      <w:lang w:val="en-US" w:eastAsia="zh-CN"/>
                    </w:rPr>
                    <w:t>，</w:t>
                  </w:r>
                  <w:r>
                    <w:rPr>
                      <w:rFonts w:hint="default" w:ascii="Times New Roman" w:hAnsi="Times New Roman" w:eastAsia="宋体" w:cs="Times New Roman"/>
                      <w:b w:val="0"/>
                      <w:bCs w:val="0"/>
                      <w:sz w:val="21"/>
                      <w:szCs w:val="21"/>
                      <w:vertAlign w:val="baseline"/>
                      <w:lang w:val="en-US" w:eastAsia="zh-CN"/>
                    </w:rPr>
                    <w:t>其他电子设备制造 399</w:t>
                  </w:r>
                </w:p>
              </w:tc>
              <w:tc>
                <w:tcPr>
                  <w:tcW w:w="833" w:type="pct"/>
                  <w:vAlign w:val="center"/>
                </w:tcPr>
                <w:p w14:paraId="240CA874">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 w:val="0"/>
                      <w:bCs w:val="0"/>
                      <w:sz w:val="21"/>
                      <w:szCs w:val="21"/>
                      <w:vertAlign w:val="baseline"/>
                      <w:lang w:eastAsia="zh-CN"/>
                    </w:rPr>
                  </w:pPr>
                  <w:r>
                    <w:rPr>
                      <w:rFonts w:hint="eastAsia" w:ascii="Times New Roman" w:hAnsi="Times New Roman" w:eastAsia="宋体" w:cs="Times New Roman"/>
                      <w:b w:val="0"/>
                      <w:bCs w:val="0"/>
                      <w:sz w:val="21"/>
                      <w:szCs w:val="21"/>
                      <w:vertAlign w:val="baseline"/>
                      <w:lang w:val="en-US" w:eastAsia="zh-CN"/>
                    </w:rPr>
                    <w:t>纳入重点排污单位名录的</w:t>
                  </w:r>
                </w:p>
              </w:tc>
              <w:tc>
                <w:tcPr>
                  <w:tcW w:w="1438" w:type="pct"/>
                  <w:vAlign w:val="center"/>
                </w:tcPr>
                <w:p w14:paraId="416B8E61">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eastAsia="zh-CN"/>
                    </w:rPr>
                    <w:t>除重点管理以外的年使用10吨及以上溶剂型涂料</w:t>
                  </w:r>
                  <w:r>
                    <w:rPr>
                      <w:rFonts w:hint="eastAsia" w:ascii="Times New Roman" w:hAnsi="Times New Roman" w:eastAsia="宋体" w:cs="Times New Roman"/>
                      <w:b w:val="0"/>
                      <w:bCs w:val="0"/>
                      <w:sz w:val="21"/>
                      <w:szCs w:val="21"/>
                      <w:vertAlign w:val="baseline"/>
                      <w:lang w:eastAsia="zh-CN"/>
                    </w:rPr>
                    <w:t>（</w:t>
                  </w:r>
                  <w:r>
                    <w:rPr>
                      <w:rFonts w:hint="default" w:ascii="Times New Roman" w:hAnsi="Times New Roman" w:eastAsia="宋体" w:cs="Times New Roman"/>
                      <w:b w:val="0"/>
                      <w:bCs w:val="0"/>
                      <w:sz w:val="21"/>
                      <w:szCs w:val="21"/>
                      <w:vertAlign w:val="baseline"/>
                      <w:lang w:eastAsia="zh-CN"/>
                    </w:rPr>
                    <w:t>含稀释剂</w:t>
                  </w:r>
                  <w:r>
                    <w:rPr>
                      <w:rFonts w:hint="eastAsia" w:ascii="Times New Roman" w:hAnsi="Times New Roman" w:eastAsia="宋体" w:cs="Times New Roman"/>
                      <w:b w:val="0"/>
                      <w:bCs w:val="0"/>
                      <w:sz w:val="21"/>
                      <w:szCs w:val="21"/>
                      <w:vertAlign w:val="baseline"/>
                      <w:lang w:eastAsia="zh-CN"/>
                    </w:rPr>
                    <w:t>）</w:t>
                  </w:r>
                  <w:r>
                    <w:rPr>
                      <w:rFonts w:hint="default" w:ascii="Times New Roman" w:hAnsi="Times New Roman" w:eastAsia="宋体" w:cs="Times New Roman"/>
                      <w:b w:val="0"/>
                      <w:bCs w:val="0"/>
                      <w:sz w:val="21"/>
                      <w:szCs w:val="21"/>
                      <w:vertAlign w:val="baseline"/>
                      <w:lang w:eastAsia="zh-CN"/>
                    </w:rPr>
                    <w:t>的</w:t>
                  </w:r>
                </w:p>
              </w:tc>
              <w:tc>
                <w:tcPr>
                  <w:tcW w:w="725" w:type="pct"/>
                  <w:vAlign w:val="center"/>
                </w:tcPr>
                <w:p w14:paraId="4FED7B3A">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pPr>
                  <w:r>
                    <w:rPr>
                      <w:rFonts w:hint="eastAsia" w:ascii="Times New Roman" w:hAnsi="Times New Roman" w:eastAsia="宋体" w:cs="Times New Roman"/>
                      <w:b w:val="0"/>
                      <w:bCs w:val="0"/>
                      <w:sz w:val="21"/>
                      <w:szCs w:val="21"/>
                      <w:vertAlign w:val="baseline"/>
                      <w:lang w:val="en-US" w:eastAsia="zh-CN"/>
                    </w:rPr>
                    <w:t>其他</w:t>
                  </w:r>
                </w:p>
              </w:tc>
            </w:tr>
          </w:tbl>
          <w:p w14:paraId="5F31C9BF">
            <w:pPr>
              <w:keepNext w:val="0"/>
              <w:keepLines w:val="0"/>
              <w:pageBreakBefore w:val="0"/>
              <w:widowControl w:val="0"/>
              <w:shd w:val="clear"/>
              <w:kinsoku/>
              <w:wordWrap/>
              <w:overflowPunct/>
              <w:topLinePunct w:val="0"/>
              <w:autoSpaceDE/>
              <w:autoSpaceDN/>
              <w:bidi w:val="0"/>
              <w:adjustRightInd w:val="0"/>
              <w:snapToGrid/>
              <w:spacing w:line="360" w:lineRule="auto"/>
              <w:textAlignment w:val="auto"/>
              <w:rPr>
                <w:rFonts w:hint="eastAsia" w:ascii="Times New Roman" w:hAnsi="Times New Roman" w:eastAsia="宋体" w:cs="Times New Roman"/>
                <w:b/>
                <w:bCs/>
                <w:sz w:val="24"/>
                <w:lang w:eastAsia="zh-CN"/>
              </w:rPr>
            </w:pPr>
            <w:r>
              <w:rPr>
                <w:rFonts w:hint="default" w:ascii="Times New Roman" w:hAnsi="Times New Roman" w:eastAsia="宋体" w:cs="Times New Roman"/>
                <w:b/>
                <w:bCs/>
                <w:sz w:val="24"/>
              </w:rPr>
              <w:t>2、工程</w:t>
            </w:r>
            <w:r>
              <w:rPr>
                <w:rFonts w:hint="eastAsia" w:ascii="Times New Roman" w:hAnsi="Times New Roman" w:eastAsia="宋体" w:cs="Times New Roman"/>
                <w:b/>
                <w:bCs/>
                <w:sz w:val="24"/>
                <w:lang w:val="en-US" w:eastAsia="zh-CN"/>
              </w:rPr>
              <w:t>组成</w:t>
            </w:r>
          </w:p>
          <w:p w14:paraId="42FC1850">
            <w:pPr>
              <w:keepNext w:val="0"/>
              <w:keepLines w:val="0"/>
              <w:pageBreakBefore w:val="0"/>
              <w:widowControl w:val="0"/>
              <w:shd w:val="clear"/>
              <w:kinsoku/>
              <w:wordWrap/>
              <w:overflowPunct/>
              <w:topLinePunct w:val="0"/>
              <w:autoSpaceDE/>
              <w:autoSpaceDN/>
              <w:bidi w:val="0"/>
              <w:adjustRightInd w:val="0"/>
              <w:snapToGrid/>
              <w:spacing w:line="360" w:lineRule="auto"/>
              <w:ind w:firstLine="480" w:firstLineChars="200"/>
              <w:jc w:val="both"/>
              <w:textAlignment w:val="auto"/>
              <w:rPr>
                <w:rFonts w:hint="default" w:ascii="Times New Roman" w:hAnsi="Times New Roman" w:eastAsia="宋体" w:cs="Times New Roman"/>
                <w:sz w:val="24"/>
              </w:rPr>
            </w:pPr>
            <w:r>
              <w:rPr>
                <w:rFonts w:hint="eastAsia" w:ascii="Times New Roman" w:hAnsi="Times New Roman" w:eastAsia="宋体" w:cs="Times New Roman"/>
                <w:sz w:val="24"/>
                <w:lang w:val="en-US" w:eastAsia="zh-CN"/>
              </w:rPr>
              <w:t>本项目租赁安徽省池州市江南产业集中区皖能电子信息产业园5幢4层，总建筑面积2420.48平方米。主要建设松果科技生产测试中心，生产制造XX测控领域嵌入式计算机产品，生产测试中心包含SMT车间、焊接车间、电装车间和环境实验室，购置上板机、自动接驳机、印刷机、SPI、贴片机、自动回流焊机、AOI等加工设备，主要加工嵌入式计算机板和整机设备产品。</w:t>
            </w:r>
            <w:r>
              <w:rPr>
                <w:rFonts w:hint="default" w:ascii="Times New Roman" w:hAnsi="Times New Roman" w:eastAsia="宋体" w:cs="Times New Roman"/>
                <w:sz w:val="24"/>
              </w:rPr>
              <w:t>项目主要工程内容及规模见表</w:t>
            </w:r>
            <w:r>
              <w:rPr>
                <w:rFonts w:hint="eastAsia" w:ascii="Times New Roman" w:hAnsi="Times New Roman" w:eastAsia="宋体" w:cs="Times New Roman"/>
                <w:sz w:val="24"/>
                <w:lang w:val="en-US" w:eastAsia="zh-CN"/>
              </w:rPr>
              <w:t>2-3</w:t>
            </w:r>
            <w:r>
              <w:rPr>
                <w:rFonts w:hint="default" w:ascii="Times New Roman" w:hAnsi="Times New Roman" w:eastAsia="宋体" w:cs="Times New Roman"/>
                <w:sz w:val="24"/>
              </w:rPr>
              <w:t>。</w:t>
            </w:r>
          </w:p>
          <w:p w14:paraId="6F10FECE">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1"/>
                <w:szCs w:val="21"/>
              </w:rPr>
              <w:t>表</w:t>
            </w:r>
            <w:r>
              <w:rPr>
                <w:rFonts w:hint="eastAsia" w:ascii="Times New Roman" w:hAnsi="Times New Roman" w:eastAsia="黑体" w:cs="Times New Roman"/>
                <w:sz w:val="21"/>
                <w:szCs w:val="21"/>
                <w:lang w:val="en-US" w:eastAsia="zh-CN"/>
              </w:rPr>
              <w:t>2-3</w:t>
            </w:r>
            <w:r>
              <w:rPr>
                <w:rFonts w:hint="default" w:ascii="Times New Roman" w:hAnsi="Times New Roman" w:eastAsia="黑体" w:cs="Times New Roman"/>
                <w:sz w:val="21"/>
                <w:szCs w:val="21"/>
              </w:rPr>
              <w:t xml:space="preserve"> 项目</w:t>
            </w:r>
            <w:r>
              <w:rPr>
                <w:rFonts w:hint="eastAsia" w:ascii="Times New Roman" w:hAnsi="Times New Roman" w:eastAsia="黑体" w:cs="Times New Roman"/>
                <w:sz w:val="21"/>
                <w:szCs w:val="21"/>
                <w:lang w:val="en-US" w:eastAsia="zh-CN"/>
              </w:rPr>
              <w:t>工程内容</w:t>
            </w:r>
            <w:r>
              <w:rPr>
                <w:rFonts w:hint="default" w:ascii="Times New Roman" w:hAnsi="Times New Roman" w:eastAsia="黑体" w:cs="Times New Roman"/>
                <w:sz w:val="21"/>
                <w:szCs w:val="21"/>
              </w:rPr>
              <w:t>一览表</w:t>
            </w:r>
          </w:p>
          <w:tbl>
            <w:tblPr>
              <w:tblStyle w:val="24"/>
              <w:tblW w:w="498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51" w:type="dxa"/>
                <w:bottom w:w="0" w:type="dxa"/>
                <w:right w:w="51" w:type="dxa"/>
              </w:tblCellMar>
            </w:tblPr>
            <w:tblGrid>
              <w:gridCol w:w="805"/>
              <w:gridCol w:w="1005"/>
              <w:gridCol w:w="6317"/>
            </w:tblGrid>
            <w:tr w14:paraId="2BD13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51" w:type="dxa"/>
                  <w:bottom w:w="0" w:type="dxa"/>
                  <w:right w:w="51" w:type="dxa"/>
                </w:tblCellMar>
              </w:tblPrEx>
              <w:trPr>
                <w:trHeight w:val="340" w:hRule="atLeast"/>
                <w:jc w:val="center"/>
              </w:trPr>
              <w:tc>
                <w:tcPr>
                  <w:tcW w:w="495" w:type="pct"/>
                  <w:shd w:val="clear" w:color="auto" w:fill="auto"/>
                  <w:vAlign w:val="center"/>
                </w:tcPr>
                <w:p w14:paraId="14D0883D">
                  <w:pPr>
                    <w:pStyle w:val="12"/>
                    <w:shd w:val="clear"/>
                    <w:adjustRightInd w:val="0"/>
                    <w:spacing w:before="0" w:line="360" w:lineRule="exact"/>
                    <w:ind w:left="69" w:hanging="69" w:hangingChars="33"/>
                    <w:jc w:val="center"/>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工程</w:t>
                  </w:r>
                </w:p>
                <w:p w14:paraId="6D6FFA05">
                  <w:pPr>
                    <w:pStyle w:val="12"/>
                    <w:shd w:val="clear"/>
                    <w:adjustRightInd w:val="0"/>
                    <w:spacing w:before="0" w:line="360" w:lineRule="exact"/>
                    <w:ind w:left="69" w:hanging="69" w:hangingChars="33"/>
                    <w:jc w:val="center"/>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类别</w:t>
                  </w:r>
                </w:p>
              </w:tc>
              <w:tc>
                <w:tcPr>
                  <w:tcW w:w="618" w:type="pct"/>
                  <w:shd w:val="clear" w:color="auto" w:fill="auto"/>
                  <w:vAlign w:val="center"/>
                </w:tcPr>
                <w:p w14:paraId="1EB09377">
                  <w:pPr>
                    <w:pStyle w:val="12"/>
                    <w:shd w:val="clear"/>
                    <w:adjustRightInd w:val="0"/>
                    <w:spacing w:before="0" w:line="360" w:lineRule="exact"/>
                    <w:ind w:left="40" w:hanging="39" w:hangingChars="19"/>
                    <w:jc w:val="center"/>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单项</w:t>
                  </w:r>
                </w:p>
                <w:p w14:paraId="55D97C83">
                  <w:pPr>
                    <w:pStyle w:val="12"/>
                    <w:shd w:val="clear"/>
                    <w:adjustRightInd w:val="0"/>
                    <w:spacing w:before="0" w:line="360" w:lineRule="exact"/>
                    <w:ind w:left="40" w:hanging="39" w:hangingChars="19"/>
                    <w:jc w:val="center"/>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工程</w:t>
                  </w:r>
                </w:p>
              </w:tc>
              <w:tc>
                <w:tcPr>
                  <w:tcW w:w="3886" w:type="pct"/>
                  <w:shd w:val="clear" w:color="auto" w:fill="auto"/>
                  <w:vAlign w:val="center"/>
                </w:tcPr>
                <w:p w14:paraId="23F01B61">
                  <w:pPr>
                    <w:pStyle w:val="12"/>
                    <w:shd w:val="clear"/>
                    <w:adjustRightInd w:val="0"/>
                    <w:spacing w:before="0" w:line="360" w:lineRule="exact"/>
                    <w:ind w:firstLine="0"/>
                    <w:jc w:val="center"/>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工程内容及规模</w:t>
                  </w:r>
                </w:p>
              </w:tc>
            </w:tr>
            <w:tr w14:paraId="2330D5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340" w:hRule="atLeast"/>
                <w:jc w:val="center"/>
              </w:trPr>
              <w:tc>
                <w:tcPr>
                  <w:tcW w:w="495" w:type="pct"/>
                  <w:vMerge w:val="restart"/>
                  <w:shd w:val="clear" w:color="auto" w:fill="auto"/>
                  <w:vAlign w:val="center"/>
                </w:tcPr>
                <w:p w14:paraId="383EDC71">
                  <w:pPr>
                    <w:pStyle w:val="12"/>
                    <w:shd w:val="clear"/>
                    <w:adjustRightInd w:val="0"/>
                    <w:spacing w:before="0" w:line="360" w:lineRule="exact"/>
                    <w:ind w:left="69" w:hanging="69" w:hangingChars="33"/>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主体</w:t>
                  </w:r>
                </w:p>
                <w:p w14:paraId="4364302B">
                  <w:pPr>
                    <w:pStyle w:val="12"/>
                    <w:shd w:val="clear"/>
                    <w:adjustRightInd w:val="0"/>
                    <w:spacing w:before="0" w:line="360" w:lineRule="exact"/>
                    <w:ind w:left="69" w:hanging="69" w:hangingChars="33"/>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工程</w:t>
                  </w:r>
                </w:p>
              </w:tc>
              <w:tc>
                <w:tcPr>
                  <w:tcW w:w="618" w:type="pct"/>
                  <w:shd w:val="clear" w:color="auto" w:fill="auto"/>
                  <w:vAlign w:val="center"/>
                </w:tcPr>
                <w:p w14:paraId="42BA5E9B">
                  <w:pPr>
                    <w:shd w:val="clear"/>
                    <w:adjustRightInd w:val="0"/>
                    <w:snapToGrid w:val="0"/>
                    <w:spacing w:line="360" w:lineRule="exact"/>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SMT车间</w:t>
                  </w:r>
                </w:p>
              </w:tc>
              <w:tc>
                <w:tcPr>
                  <w:tcW w:w="3886" w:type="pct"/>
                  <w:shd w:val="clear" w:color="auto" w:fill="auto"/>
                  <w:vAlign w:val="center"/>
                </w:tcPr>
                <w:p w14:paraId="5BCA31C4">
                  <w:pPr>
                    <w:pStyle w:val="15"/>
                    <w:shd w:val="clear"/>
                    <w:snapToGrid w:val="0"/>
                    <w:spacing w:before="0" w:line="360" w:lineRule="exact"/>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位于生产区的中部区域，建筑面积约400m</w:t>
                  </w:r>
                  <w:r>
                    <w:rPr>
                      <w:rFonts w:hint="eastAsia" w:ascii="Times New Roman" w:hAnsi="Times New Roman" w:eastAsia="宋体" w:cs="Times New Roman"/>
                      <w:szCs w:val="21"/>
                      <w:highlight w:val="none"/>
                      <w:vertAlign w:val="superscript"/>
                      <w:lang w:val="en-US" w:eastAsia="zh-CN"/>
                    </w:rPr>
                    <w:t>2</w:t>
                  </w:r>
                  <w:r>
                    <w:rPr>
                      <w:rFonts w:hint="eastAsia" w:ascii="Times New Roman" w:hAnsi="Times New Roman" w:eastAsia="宋体" w:cs="Times New Roman"/>
                      <w:szCs w:val="21"/>
                      <w:highlight w:val="none"/>
                      <w:lang w:val="en-US" w:eastAsia="zh-CN"/>
                    </w:rPr>
                    <w:t>，布置上板机、自动接驳机、印刷机、SPI、贴片机、自动回流焊机、AOI等加工设备。</w:t>
                  </w:r>
                </w:p>
              </w:tc>
            </w:tr>
            <w:tr w14:paraId="5C0C2B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340" w:hRule="atLeast"/>
                <w:jc w:val="center"/>
              </w:trPr>
              <w:tc>
                <w:tcPr>
                  <w:tcW w:w="495" w:type="pct"/>
                  <w:vMerge w:val="continue"/>
                  <w:shd w:val="clear" w:color="auto" w:fill="auto"/>
                  <w:vAlign w:val="center"/>
                </w:tcPr>
                <w:p w14:paraId="67F0A17D">
                  <w:pPr>
                    <w:pStyle w:val="12"/>
                    <w:shd w:val="clear"/>
                    <w:adjustRightInd w:val="0"/>
                    <w:spacing w:before="0" w:line="360" w:lineRule="exact"/>
                    <w:ind w:left="69" w:hanging="69" w:hangingChars="33"/>
                    <w:jc w:val="center"/>
                    <w:rPr>
                      <w:rFonts w:hint="default" w:ascii="Times New Roman" w:hAnsi="Times New Roman" w:eastAsia="宋体" w:cs="Times New Roman"/>
                      <w:sz w:val="21"/>
                      <w:szCs w:val="21"/>
                      <w:highlight w:val="none"/>
                    </w:rPr>
                  </w:pPr>
                </w:p>
              </w:tc>
              <w:tc>
                <w:tcPr>
                  <w:tcW w:w="618" w:type="pct"/>
                  <w:shd w:val="clear" w:color="auto" w:fill="auto"/>
                  <w:vAlign w:val="center"/>
                </w:tcPr>
                <w:p w14:paraId="7F871436">
                  <w:pPr>
                    <w:shd w:val="clear"/>
                    <w:adjustRightInd w:val="0"/>
                    <w:snapToGrid w:val="0"/>
                    <w:spacing w:line="360" w:lineRule="exact"/>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焊接</w:t>
                  </w:r>
                </w:p>
                <w:p w14:paraId="28AA44DF">
                  <w:pPr>
                    <w:shd w:val="clear"/>
                    <w:adjustRightInd w:val="0"/>
                    <w:snapToGrid w:val="0"/>
                    <w:spacing w:line="360" w:lineRule="exact"/>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车间</w:t>
                  </w:r>
                </w:p>
              </w:tc>
              <w:tc>
                <w:tcPr>
                  <w:tcW w:w="3886" w:type="pct"/>
                  <w:shd w:val="clear" w:color="auto" w:fill="auto"/>
                  <w:vAlign w:val="center"/>
                </w:tcPr>
                <w:p w14:paraId="04EF7106">
                  <w:pPr>
                    <w:pStyle w:val="15"/>
                    <w:shd w:val="clear"/>
                    <w:snapToGrid w:val="0"/>
                    <w:spacing w:before="0" w:line="360" w:lineRule="exact"/>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位于SMT车间的东侧，建筑面积约43m</w:t>
                  </w:r>
                  <w:r>
                    <w:rPr>
                      <w:rFonts w:hint="eastAsia" w:ascii="Times New Roman" w:hAnsi="Times New Roman" w:eastAsia="宋体" w:cs="Times New Roman"/>
                      <w:szCs w:val="21"/>
                      <w:highlight w:val="none"/>
                      <w:vertAlign w:val="superscript"/>
                      <w:lang w:val="en-US" w:eastAsia="zh-CN"/>
                    </w:rPr>
                    <w:t>2</w:t>
                  </w:r>
                  <w:r>
                    <w:rPr>
                      <w:rFonts w:hint="eastAsia" w:ascii="Times New Roman" w:hAnsi="Times New Roman" w:eastAsia="宋体" w:cs="Times New Roman"/>
                      <w:szCs w:val="21"/>
                      <w:highlight w:val="none"/>
                      <w:lang w:val="en-US" w:eastAsia="zh-CN"/>
                    </w:rPr>
                    <w:t>，设置4个工位，主要对产品进行焊接。</w:t>
                  </w:r>
                </w:p>
              </w:tc>
            </w:tr>
            <w:tr w14:paraId="5604C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340" w:hRule="atLeast"/>
                <w:jc w:val="center"/>
              </w:trPr>
              <w:tc>
                <w:tcPr>
                  <w:tcW w:w="495" w:type="pct"/>
                  <w:vMerge w:val="continue"/>
                  <w:shd w:val="clear" w:color="auto" w:fill="auto"/>
                  <w:vAlign w:val="center"/>
                </w:tcPr>
                <w:p w14:paraId="30B36BC8">
                  <w:pPr>
                    <w:pStyle w:val="12"/>
                    <w:shd w:val="clear"/>
                    <w:adjustRightInd w:val="0"/>
                    <w:spacing w:before="0" w:line="360" w:lineRule="exact"/>
                    <w:ind w:left="69" w:hanging="69" w:hangingChars="33"/>
                    <w:jc w:val="center"/>
                    <w:rPr>
                      <w:rFonts w:hint="default" w:ascii="Times New Roman" w:hAnsi="Times New Roman" w:eastAsia="宋体" w:cs="Times New Roman"/>
                      <w:sz w:val="21"/>
                      <w:szCs w:val="21"/>
                      <w:highlight w:val="none"/>
                    </w:rPr>
                  </w:pPr>
                </w:p>
              </w:tc>
              <w:tc>
                <w:tcPr>
                  <w:tcW w:w="618" w:type="pct"/>
                  <w:shd w:val="clear" w:color="auto" w:fill="auto"/>
                  <w:vAlign w:val="center"/>
                </w:tcPr>
                <w:p w14:paraId="4B458C83">
                  <w:pPr>
                    <w:shd w:val="clear"/>
                    <w:adjustRightInd w:val="0"/>
                    <w:snapToGrid w:val="0"/>
                    <w:spacing w:line="360" w:lineRule="exact"/>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电装间</w:t>
                  </w:r>
                </w:p>
              </w:tc>
              <w:tc>
                <w:tcPr>
                  <w:tcW w:w="3886" w:type="pct"/>
                  <w:shd w:val="clear" w:color="auto" w:fill="auto"/>
                  <w:vAlign w:val="center"/>
                </w:tcPr>
                <w:p w14:paraId="63A193B5">
                  <w:pPr>
                    <w:pStyle w:val="15"/>
                    <w:shd w:val="clear"/>
                    <w:snapToGrid w:val="0"/>
                    <w:spacing w:before="0" w:line="360" w:lineRule="exact"/>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位于SMT车间的西北侧，建筑面积约124m</w:t>
                  </w:r>
                  <w:r>
                    <w:rPr>
                      <w:rFonts w:hint="eastAsia" w:ascii="Times New Roman" w:hAnsi="Times New Roman" w:eastAsia="宋体" w:cs="Times New Roman"/>
                      <w:szCs w:val="21"/>
                      <w:highlight w:val="none"/>
                      <w:vertAlign w:val="superscript"/>
                      <w:lang w:val="en-US" w:eastAsia="zh-CN"/>
                    </w:rPr>
                    <w:t>2</w:t>
                  </w:r>
                  <w:r>
                    <w:rPr>
                      <w:rFonts w:hint="eastAsia" w:ascii="Times New Roman" w:hAnsi="Times New Roman" w:eastAsia="宋体" w:cs="Times New Roman"/>
                      <w:szCs w:val="21"/>
                      <w:highlight w:val="none"/>
                      <w:lang w:val="en-US" w:eastAsia="zh-CN"/>
                    </w:rPr>
                    <w:t>，主要对产品进行装配。</w:t>
                  </w:r>
                </w:p>
              </w:tc>
            </w:tr>
            <w:tr w14:paraId="18886C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340" w:hRule="atLeast"/>
                <w:jc w:val="center"/>
              </w:trPr>
              <w:tc>
                <w:tcPr>
                  <w:tcW w:w="495" w:type="pct"/>
                  <w:vMerge w:val="continue"/>
                  <w:shd w:val="clear" w:color="auto" w:fill="auto"/>
                  <w:vAlign w:val="center"/>
                </w:tcPr>
                <w:p w14:paraId="3CBB69F4">
                  <w:pPr>
                    <w:pStyle w:val="12"/>
                    <w:shd w:val="clear"/>
                    <w:adjustRightInd w:val="0"/>
                    <w:spacing w:before="0" w:line="360" w:lineRule="exact"/>
                    <w:ind w:left="69" w:hanging="69" w:hangingChars="33"/>
                    <w:jc w:val="center"/>
                    <w:rPr>
                      <w:rFonts w:hint="default" w:ascii="Times New Roman" w:hAnsi="Times New Roman" w:eastAsia="宋体" w:cs="Times New Roman"/>
                      <w:sz w:val="21"/>
                      <w:szCs w:val="21"/>
                      <w:highlight w:val="none"/>
                    </w:rPr>
                  </w:pPr>
                </w:p>
              </w:tc>
              <w:tc>
                <w:tcPr>
                  <w:tcW w:w="618" w:type="pct"/>
                  <w:shd w:val="clear" w:color="auto" w:fill="auto"/>
                  <w:vAlign w:val="center"/>
                </w:tcPr>
                <w:p w14:paraId="44661CD7">
                  <w:pPr>
                    <w:shd w:val="clear"/>
                    <w:adjustRightInd w:val="0"/>
                    <w:snapToGrid w:val="0"/>
                    <w:spacing w:line="360" w:lineRule="exact"/>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测试间</w:t>
                  </w:r>
                </w:p>
              </w:tc>
              <w:tc>
                <w:tcPr>
                  <w:tcW w:w="3886" w:type="pct"/>
                  <w:shd w:val="clear" w:color="auto" w:fill="auto"/>
                  <w:vAlign w:val="center"/>
                </w:tcPr>
                <w:p w14:paraId="35BEDA2E">
                  <w:pPr>
                    <w:shd w:val="clear"/>
                    <w:adjustRightInd w:val="0"/>
                    <w:snapToGrid w:val="0"/>
                    <w:spacing w:line="360" w:lineRule="exact"/>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位于电装车间的南侧，建筑面积约124m</w:t>
                  </w:r>
                  <w:r>
                    <w:rPr>
                      <w:rFonts w:hint="eastAsia" w:ascii="Times New Roman" w:hAnsi="Times New Roman" w:eastAsia="宋体" w:cs="Times New Roman"/>
                      <w:szCs w:val="21"/>
                      <w:highlight w:val="none"/>
                      <w:vertAlign w:val="superscript"/>
                      <w:lang w:val="en-US" w:eastAsia="zh-CN"/>
                    </w:rPr>
                    <w:t>2</w:t>
                  </w:r>
                  <w:r>
                    <w:rPr>
                      <w:rFonts w:hint="eastAsia" w:ascii="Times New Roman" w:hAnsi="Times New Roman" w:eastAsia="宋体" w:cs="Times New Roman"/>
                      <w:szCs w:val="21"/>
                      <w:highlight w:val="none"/>
                      <w:lang w:val="en-US" w:eastAsia="zh-CN"/>
                    </w:rPr>
                    <w:t>，主要对产品进行单板测试和电装测试。</w:t>
                  </w:r>
                </w:p>
              </w:tc>
            </w:tr>
            <w:tr w14:paraId="407DD4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340" w:hRule="atLeast"/>
                <w:jc w:val="center"/>
              </w:trPr>
              <w:tc>
                <w:tcPr>
                  <w:tcW w:w="495" w:type="pct"/>
                  <w:vMerge w:val="continue"/>
                  <w:shd w:val="clear" w:color="auto" w:fill="auto"/>
                  <w:vAlign w:val="center"/>
                </w:tcPr>
                <w:p w14:paraId="7BD03187">
                  <w:pPr>
                    <w:pStyle w:val="12"/>
                    <w:shd w:val="clear"/>
                    <w:adjustRightInd w:val="0"/>
                    <w:spacing w:before="0" w:line="360" w:lineRule="exact"/>
                    <w:ind w:left="69" w:hanging="69" w:hangingChars="33"/>
                    <w:jc w:val="center"/>
                    <w:rPr>
                      <w:rFonts w:hint="default" w:ascii="Times New Roman" w:hAnsi="Times New Roman" w:eastAsia="宋体" w:cs="Times New Roman"/>
                      <w:sz w:val="21"/>
                      <w:szCs w:val="21"/>
                      <w:highlight w:val="none"/>
                    </w:rPr>
                  </w:pPr>
                </w:p>
              </w:tc>
              <w:tc>
                <w:tcPr>
                  <w:tcW w:w="618" w:type="pct"/>
                  <w:shd w:val="clear" w:color="auto" w:fill="auto"/>
                  <w:vAlign w:val="center"/>
                </w:tcPr>
                <w:p w14:paraId="3C4620D2">
                  <w:pPr>
                    <w:shd w:val="clear"/>
                    <w:adjustRightInd w:val="0"/>
                    <w:snapToGrid w:val="0"/>
                    <w:spacing w:line="360" w:lineRule="exact"/>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环境实验室</w:t>
                  </w:r>
                </w:p>
              </w:tc>
              <w:tc>
                <w:tcPr>
                  <w:tcW w:w="3886" w:type="pct"/>
                  <w:shd w:val="clear" w:color="auto" w:fill="auto"/>
                  <w:vAlign w:val="center"/>
                </w:tcPr>
                <w:p w14:paraId="32B20F46">
                  <w:pPr>
                    <w:pStyle w:val="15"/>
                    <w:shd w:val="clear"/>
                    <w:snapToGrid w:val="0"/>
                    <w:spacing w:before="0" w:line="360" w:lineRule="exact"/>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位于测试间的南侧，建筑面积约124m</w:t>
                  </w:r>
                  <w:r>
                    <w:rPr>
                      <w:rFonts w:hint="eastAsia" w:ascii="Times New Roman" w:hAnsi="Times New Roman" w:eastAsia="宋体" w:cs="Times New Roman"/>
                      <w:szCs w:val="21"/>
                      <w:highlight w:val="none"/>
                      <w:vertAlign w:val="superscript"/>
                      <w:lang w:val="en-US" w:eastAsia="zh-CN"/>
                    </w:rPr>
                    <w:t>2</w:t>
                  </w:r>
                  <w:r>
                    <w:rPr>
                      <w:rFonts w:hint="eastAsia" w:ascii="Times New Roman" w:hAnsi="Times New Roman" w:eastAsia="宋体" w:cs="Times New Roman"/>
                      <w:szCs w:val="21"/>
                      <w:highlight w:val="none"/>
                      <w:lang w:val="en-US" w:eastAsia="zh-CN"/>
                    </w:rPr>
                    <w:t>，主要对产品进行温度环境试验。</w:t>
                  </w:r>
                </w:p>
              </w:tc>
            </w:tr>
            <w:tr w14:paraId="623DF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340" w:hRule="atLeast"/>
                <w:jc w:val="center"/>
              </w:trPr>
              <w:tc>
                <w:tcPr>
                  <w:tcW w:w="495" w:type="pct"/>
                  <w:vMerge w:val="restart"/>
                  <w:shd w:val="clear" w:color="auto" w:fill="auto"/>
                  <w:vAlign w:val="center"/>
                </w:tcPr>
                <w:p w14:paraId="791FCB38">
                  <w:pPr>
                    <w:pStyle w:val="12"/>
                    <w:shd w:val="clear"/>
                    <w:adjustRightInd w:val="0"/>
                    <w:spacing w:before="0" w:line="360" w:lineRule="exact"/>
                    <w:ind w:left="69" w:hanging="69" w:hangingChars="33"/>
                    <w:jc w:val="center"/>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辅助</w:t>
                  </w:r>
                </w:p>
                <w:p w14:paraId="0E33476A">
                  <w:pPr>
                    <w:pStyle w:val="12"/>
                    <w:shd w:val="clear"/>
                    <w:adjustRightInd w:val="0"/>
                    <w:spacing w:before="0" w:line="360" w:lineRule="exact"/>
                    <w:ind w:left="69" w:hanging="69" w:hangingChars="33"/>
                    <w:jc w:val="center"/>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工程</w:t>
                  </w:r>
                </w:p>
              </w:tc>
              <w:tc>
                <w:tcPr>
                  <w:tcW w:w="618" w:type="pct"/>
                  <w:shd w:val="clear" w:color="auto" w:fill="auto"/>
                  <w:vAlign w:val="center"/>
                </w:tcPr>
                <w:p w14:paraId="665F31A2">
                  <w:pPr>
                    <w:shd w:val="clear"/>
                    <w:adjustRightInd w:val="0"/>
                    <w:snapToGrid w:val="0"/>
                    <w:spacing w:line="360" w:lineRule="exact"/>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办公区</w:t>
                  </w:r>
                </w:p>
              </w:tc>
              <w:tc>
                <w:tcPr>
                  <w:tcW w:w="3886" w:type="pct"/>
                  <w:shd w:val="clear" w:color="auto" w:fill="auto"/>
                  <w:vAlign w:val="center"/>
                </w:tcPr>
                <w:p w14:paraId="6558F39C">
                  <w:pPr>
                    <w:pStyle w:val="15"/>
                    <w:shd w:val="clear"/>
                    <w:snapToGrid w:val="0"/>
                    <w:spacing w:before="0" w:line="360" w:lineRule="exact"/>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位于厂房的北侧，建筑面积约1084m</w:t>
                  </w:r>
                  <w:r>
                    <w:rPr>
                      <w:rFonts w:hint="eastAsia" w:ascii="Times New Roman" w:hAnsi="Times New Roman" w:eastAsia="宋体" w:cs="Times New Roman"/>
                      <w:szCs w:val="21"/>
                      <w:highlight w:val="none"/>
                      <w:vertAlign w:val="superscript"/>
                      <w:lang w:val="en-US" w:eastAsia="zh-CN"/>
                    </w:rPr>
                    <w:t>2</w:t>
                  </w:r>
                  <w:r>
                    <w:rPr>
                      <w:rFonts w:hint="eastAsia" w:ascii="Times New Roman" w:hAnsi="Times New Roman" w:eastAsia="宋体" w:cs="Times New Roman"/>
                      <w:szCs w:val="21"/>
                      <w:highlight w:val="none"/>
                      <w:lang w:val="en-US" w:eastAsia="zh-CN"/>
                    </w:rPr>
                    <w:t>，包含接待室、会议室、办公室、产品展示厅、休闲区、杂物间、资料室等功能区，主要用于员工办公、客户招待等。</w:t>
                  </w:r>
                </w:p>
              </w:tc>
            </w:tr>
            <w:tr w14:paraId="32934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340" w:hRule="atLeast"/>
                <w:jc w:val="center"/>
              </w:trPr>
              <w:tc>
                <w:tcPr>
                  <w:tcW w:w="495" w:type="pct"/>
                  <w:vMerge w:val="continue"/>
                  <w:shd w:val="clear" w:color="auto" w:fill="auto"/>
                  <w:vAlign w:val="center"/>
                </w:tcPr>
                <w:p w14:paraId="51A86E73">
                  <w:pPr>
                    <w:pStyle w:val="12"/>
                    <w:shd w:val="clear"/>
                    <w:adjustRightInd w:val="0"/>
                    <w:spacing w:before="0" w:line="360" w:lineRule="exact"/>
                    <w:ind w:left="69" w:hanging="69" w:hangingChars="33"/>
                    <w:jc w:val="center"/>
                    <w:rPr>
                      <w:rFonts w:hint="eastAsia" w:ascii="Times New Roman" w:hAnsi="Times New Roman" w:eastAsia="宋体" w:cs="Times New Roman"/>
                      <w:sz w:val="21"/>
                      <w:szCs w:val="21"/>
                      <w:highlight w:val="none"/>
                      <w:lang w:val="en-US" w:eastAsia="zh-CN"/>
                    </w:rPr>
                  </w:pPr>
                </w:p>
              </w:tc>
              <w:tc>
                <w:tcPr>
                  <w:tcW w:w="618" w:type="pct"/>
                  <w:shd w:val="clear" w:color="auto" w:fill="auto"/>
                  <w:vAlign w:val="center"/>
                </w:tcPr>
                <w:p w14:paraId="08EE60B7">
                  <w:pPr>
                    <w:shd w:val="clear"/>
                    <w:adjustRightInd w:val="0"/>
                    <w:snapToGrid w:val="0"/>
                    <w:spacing w:line="360" w:lineRule="exact"/>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包装间</w:t>
                  </w:r>
                </w:p>
              </w:tc>
              <w:tc>
                <w:tcPr>
                  <w:tcW w:w="3886" w:type="pct"/>
                  <w:shd w:val="clear" w:color="auto" w:fill="auto"/>
                  <w:vAlign w:val="center"/>
                </w:tcPr>
                <w:p w14:paraId="3A42865D">
                  <w:pPr>
                    <w:pStyle w:val="15"/>
                    <w:shd w:val="clear"/>
                    <w:snapToGrid w:val="0"/>
                    <w:spacing w:before="0" w:line="360" w:lineRule="exact"/>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位于环境实验室的南侧，建筑面积约66m</w:t>
                  </w:r>
                  <w:r>
                    <w:rPr>
                      <w:rFonts w:hint="eastAsia" w:ascii="Times New Roman" w:hAnsi="Times New Roman" w:eastAsia="宋体" w:cs="Times New Roman"/>
                      <w:szCs w:val="21"/>
                      <w:highlight w:val="none"/>
                      <w:vertAlign w:val="superscript"/>
                      <w:lang w:val="en-US" w:eastAsia="zh-CN"/>
                    </w:rPr>
                    <w:t>2</w:t>
                  </w:r>
                  <w:r>
                    <w:rPr>
                      <w:rFonts w:hint="eastAsia" w:ascii="Times New Roman" w:hAnsi="Times New Roman" w:eastAsia="宋体" w:cs="Times New Roman"/>
                      <w:szCs w:val="21"/>
                      <w:highlight w:val="none"/>
                      <w:lang w:val="en-US" w:eastAsia="zh-CN"/>
                    </w:rPr>
                    <w:t>，主要对成品进行打包包装。</w:t>
                  </w:r>
                </w:p>
              </w:tc>
            </w:tr>
            <w:tr w14:paraId="060C11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340" w:hRule="atLeast"/>
                <w:jc w:val="center"/>
              </w:trPr>
              <w:tc>
                <w:tcPr>
                  <w:tcW w:w="495" w:type="pct"/>
                  <w:vMerge w:val="restart"/>
                  <w:shd w:val="clear" w:color="auto" w:fill="auto"/>
                  <w:vAlign w:val="center"/>
                </w:tcPr>
                <w:p w14:paraId="33844D36">
                  <w:pPr>
                    <w:pStyle w:val="12"/>
                    <w:shd w:val="clear"/>
                    <w:adjustRightInd w:val="0"/>
                    <w:spacing w:before="0" w:line="360" w:lineRule="exact"/>
                    <w:ind w:left="69" w:hanging="69" w:hangingChars="33"/>
                    <w:jc w:val="center"/>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储运</w:t>
                  </w:r>
                </w:p>
                <w:p w14:paraId="6251CBE4">
                  <w:pPr>
                    <w:pStyle w:val="12"/>
                    <w:shd w:val="clear"/>
                    <w:adjustRightInd w:val="0"/>
                    <w:spacing w:before="0" w:line="360" w:lineRule="exact"/>
                    <w:ind w:left="69" w:hanging="69" w:hangingChars="33"/>
                    <w:jc w:val="center"/>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工程</w:t>
                  </w:r>
                </w:p>
              </w:tc>
              <w:tc>
                <w:tcPr>
                  <w:tcW w:w="618" w:type="pct"/>
                  <w:shd w:val="clear" w:color="auto" w:fill="auto"/>
                  <w:vAlign w:val="center"/>
                </w:tcPr>
                <w:p w14:paraId="127C99A3">
                  <w:pPr>
                    <w:shd w:val="clear"/>
                    <w:adjustRightInd w:val="0"/>
                    <w:snapToGrid w:val="0"/>
                    <w:spacing w:line="360" w:lineRule="exact"/>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库房</w:t>
                  </w:r>
                </w:p>
              </w:tc>
              <w:tc>
                <w:tcPr>
                  <w:tcW w:w="3886" w:type="pct"/>
                  <w:shd w:val="clear" w:color="auto" w:fill="auto"/>
                  <w:vAlign w:val="center"/>
                </w:tcPr>
                <w:p w14:paraId="365C966B">
                  <w:pPr>
                    <w:pStyle w:val="15"/>
                    <w:shd w:val="clear"/>
                    <w:snapToGrid w:val="0"/>
                    <w:spacing w:before="0" w:line="360" w:lineRule="exact"/>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位于SMT车间的北侧，建筑面积约107m</w:t>
                  </w:r>
                  <w:r>
                    <w:rPr>
                      <w:rFonts w:hint="eastAsia" w:ascii="Times New Roman" w:hAnsi="Times New Roman" w:eastAsia="宋体" w:cs="Times New Roman"/>
                      <w:szCs w:val="21"/>
                      <w:highlight w:val="none"/>
                      <w:vertAlign w:val="superscript"/>
                      <w:lang w:val="en-US" w:eastAsia="zh-CN"/>
                    </w:rPr>
                    <w:t>2</w:t>
                  </w:r>
                  <w:r>
                    <w:rPr>
                      <w:rFonts w:hint="eastAsia" w:ascii="Times New Roman" w:hAnsi="Times New Roman" w:eastAsia="宋体" w:cs="Times New Roman"/>
                      <w:szCs w:val="21"/>
                      <w:highlight w:val="none"/>
                      <w:lang w:val="en-US" w:eastAsia="zh-CN"/>
                    </w:rPr>
                    <w:t>，用于存放电路板、元器件、塑料外壳、 显示屏、散热片等原料。</w:t>
                  </w:r>
                </w:p>
              </w:tc>
            </w:tr>
            <w:tr w14:paraId="56B0D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340" w:hRule="atLeast"/>
                <w:jc w:val="center"/>
              </w:trPr>
              <w:tc>
                <w:tcPr>
                  <w:tcW w:w="495" w:type="pct"/>
                  <w:vMerge w:val="continue"/>
                  <w:shd w:val="clear" w:color="auto" w:fill="auto"/>
                  <w:vAlign w:val="center"/>
                </w:tcPr>
                <w:p w14:paraId="384F094D">
                  <w:pPr>
                    <w:pStyle w:val="12"/>
                    <w:shd w:val="clear"/>
                    <w:adjustRightInd w:val="0"/>
                    <w:spacing w:before="0" w:line="360" w:lineRule="exact"/>
                    <w:ind w:left="69" w:hanging="69" w:hangingChars="33"/>
                    <w:jc w:val="center"/>
                    <w:rPr>
                      <w:rFonts w:hint="eastAsia" w:ascii="Times New Roman" w:hAnsi="Times New Roman" w:eastAsia="宋体" w:cs="Times New Roman"/>
                      <w:sz w:val="21"/>
                      <w:szCs w:val="21"/>
                      <w:highlight w:val="none"/>
                      <w:lang w:val="en-US" w:eastAsia="zh-CN"/>
                    </w:rPr>
                  </w:pPr>
                </w:p>
              </w:tc>
              <w:tc>
                <w:tcPr>
                  <w:tcW w:w="618" w:type="pct"/>
                  <w:shd w:val="clear" w:color="auto" w:fill="auto"/>
                  <w:vAlign w:val="center"/>
                </w:tcPr>
                <w:p w14:paraId="343D3200">
                  <w:pPr>
                    <w:shd w:val="clear"/>
                    <w:adjustRightInd w:val="0"/>
                    <w:snapToGrid w:val="0"/>
                    <w:spacing w:line="360" w:lineRule="exact"/>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辅助材料存放区</w:t>
                  </w:r>
                </w:p>
              </w:tc>
              <w:tc>
                <w:tcPr>
                  <w:tcW w:w="3886" w:type="pct"/>
                  <w:shd w:val="clear" w:color="auto" w:fill="auto"/>
                  <w:vAlign w:val="center"/>
                </w:tcPr>
                <w:p w14:paraId="0792F3F0">
                  <w:pPr>
                    <w:pStyle w:val="15"/>
                    <w:shd w:val="clear"/>
                    <w:snapToGrid w:val="0"/>
                    <w:spacing w:before="0" w:line="360" w:lineRule="exact"/>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位于SMT车间的北侧，建筑面积约85m</w:t>
                  </w:r>
                  <w:r>
                    <w:rPr>
                      <w:rFonts w:hint="eastAsia" w:ascii="Times New Roman" w:hAnsi="Times New Roman" w:eastAsia="宋体" w:cs="Times New Roman"/>
                      <w:szCs w:val="21"/>
                      <w:highlight w:val="none"/>
                      <w:vertAlign w:val="superscript"/>
                      <w:lang w:val="en-US" w:eastAsia="zh-CN"/>
                    </w:rPr>
                    <w:t>2</w:t>
                  </w:r>
                  <w:r>
                    <w:rPr>
                      <w:rFonts w:hint="eastAsia" w:ascii="Times New Roman" w:hAnsi="Times New Roman" w:eastAsia="宋体" w:cs="Times New Roman"/>
                      <w:szCs w:val="21"/>
                      <w:highlight w:val="none"/>
                      <w:lang w:val="en-US" w:eastAsia="zh-CN"/>
                    </w:rPr>
                    <w:t>，用于存放锡膏、无水乙醇、助焊剂、无铅锡丝等辅料。</w:t>
                  </w:r>
                </w:p>
              </w:tc>
            </w:tr>
            <w:tr w14:paraId="4E424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340" w:hRule="atLeast"/>
                <w:jc w:val="center"/>
              </w:trPr>
              <w:tc>
                <w:tcPr>
                  <w:tcW w:w="495" w:type="pct"/>
                  <w:vMerge w:val="continue"/>
                  <w:shd w:val="clear" w:color="auto" w:fill="auto"/>
                  <w:vAlign w:val="center"/>
                </w:tcPr>
                <w:p w14:paraId="5802127D">
                  <w:pPr>
                    <w:pStyle w:val="12"/>
                    <w:shd w:val="clear"/>
                    <w:adjustRightInd w:val="0"/>
                    <w:spacing w:before="0" w:line="360" w:lineRule="exact"/>
                    <w:ind w:left="69" w:hanging="69" w:hangingChars="33"/>
                    <w:jc w:val="center"/>
                    <w:rPr>
                      <w:rFonts w:hint="eastAsia" w:ascii="Times New Roman" w:hAnsi="Times New Roman" w:eastAsia="宋体" w:cs="Times New Roman"/>
                      <w:sz w:val="21"/>
                      <w:szCs w:val="21"/>
                      <w:highlight w:val="none"/>
                      <w:lang w:val="en-US" w:eastAsia="zh-CN"/>
                    </w:rPr>
                  </w:pPr>
                </w:p>
              </w:tc>
              <w:tc>
                <w:tcPr>
                  <w:tcW w:w="618" w:type="pct"/>
                  <w:shd w:val="clear" w:color="auto" w:fill="auto"/>
                  <w:vAlign w:val="center"/>
                </w:tcPr>
                <w:p w14:paraId="69DA06C7">
                  <w:pPr>
                    <w:shd w:val="clear"/>
                    <w:adjustRightInd w:val="0"/>
                    <w:snapToGrid w:val="0"/>
                    <w:spacing w:line="360" w:lineRule="exact"/>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成品库</w:t>
                  </w:r>
                </w:p>
              </w:tc>
              <w:tc>
                <w:tcPr>
                  <w:tcW w:w="3886" w:type="pct"/>
                  <w:shd w:val="clear" w:color="auto" w:fill="auto"/>
                  <w:vAlign w:val="center"/>
                </w:tcPr>
                <w:p w14:paraId="07CB055C">
                  <w:pPr>
                    <w:shd w:val="clear"/>
                    <w:adjustRightInd w:val="0"/>
                    <w:snapToGrid w:val="0"/>
                    <w:spacing w:line="360" w:lineRule="exact"/>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位于焊接车间的北侧，建筑面积约43m</w:t>
                  </w:r>
                  <w:r>
                    <w:rPr>
                      <w:rFonts w:hint="eastAsia" w:ascii="Times New Roman" w:hAnsi="Times New Roman" w:eastAsia="宋体" w:cs="Times New Roman"/>
                      <w:szCs w:val="21"/>
                      <w:highlight w:val="none"/>
                      <w:vertAlign w:val="superscript"/>
                      <w:lang w:val="en-US" w:eastAsia="zh-CN"/>
                    </w:rPr>
                    <w:t>2</w:t>
                  </w:r>
                  <w:r>
                    <w:rPr>
                      <w:rFonts w:hint="eastAsia" w:ascii="Times New Roman" w:hAnsi="Times New Roman" w:eastAsia="宋体" w:cs="Times New Roman"/>
                      <w:szCs w:val="21"/>
                      <w:highlight w:val="none"/>
                      <w:lang w:val="en-US" w:eastAsia="zh-CN"/>
                    </w:rPr>
                    <w:t>，用于存放成品。</w:t>
                  </w:r>
                </w:p>
              </w:tc>
            </w:tr>
            <w:tr w14:paraId="5DA78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340" w:hRule="atLeast"/>
                <w:jc w:val="center"/>
              </w:trPr>
              <w:tc>
                <w:tcPr>
                  <w:tcW w:w="495" w:type="pct"/>
                  <w:vMerge w:val="restart"/>
                  <w:shd w:val="clear" w:color="auto" w:fill="auto"/>
                  <w:vAlign w:val="center"/>
                </w:tcPr>
                <w:p w14:paraId="39032744">
                  <w:pPr>
                    <w:pStyle w:val="12"/>
                    <w:shd w:val="clear"/>
                    <w:adjustRightInd w:val="0"/>
                    <w:spacing w:before="0" w:line="360" w:lineRule="exact"/>
                    <w:ind w:left="69" w:hanging="69" w:hangingChars="33"/>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公用</w:t>
                  </w:r>
                </w:p>
                <w:p w14:paraId="7676E5DF">
                  <w:pPr>
                    <w:pStyle w:val="12"/>
                    <w:shd w:val="clear"/>
                    <w:adjustRightInd w:val="0"/>
                    <w:spacing w:before="0" w:line="360" w:lineRule="exact"/>
                    <w:ind w:left="69" w:hanging="69" w:hangingChars="33"/>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工程</w:t>
                  </w:r>
                </w:p>
              </w:tc>
              <w:tc>
                <w:tcPr>
                  <w:tcW w:w="618" w:type="pct"/>
                  <w:shd w:val="clear" w:color="auto" w:fill="auto"/>
                  <w:vAlign w:val="center"/>
                </w:tcPr>
                <w:p w14:paraId="58CEDD5E">
                  <w:pPr>
                    <w:shd w:val="clear"/>
                    <w:adjustRightInd w:val="0"/>
                    <w:snapToGrid w:val="0"/>
                    <w:spacing w:line="360" w:lineRule="exact"/>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给水</w:t>
                  </w:r>
                </w:p>
              </w:tc>
              <w:tc>
                <w:tcPr>
                  <w:tcW w:w="3886" w:type="pct"/>
                  <w:shd w:val="clear" w:color="auto" w:fill="auto"/>
                  <w:vAlign w:val="center"/>
                </w:tcPr>
                <w:p w14:paraId="27DED7E0">
                  <w:pPr>
                    <w:pStyle w:val="15"/>
                    <w:shd w:val="clear"/>
                    <w:snapToGrid w:val="0"/>
                    <w:spacing w:before="0" w:line="360" w:lineRule="exact"/>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市政管网供水，用水量450</w:t>
                  </w:r>
                  <w:r>
                    <w:rPr>
                      <w:rFonts w:hint="eastAsia" w:ascii="Times New Roman" w:hAnsi="Times New Roman" w:eastAsia="宋体" w:cs="Times New Roman"/>
                      <w:kern w:val="0"/>
                      <w:sz w:val="21"/>
                      <w:szCs w:val="21"/>
                      <w:lang w:val="en-US" w:eastAsia="zh-CN"/>
                    </w:rPr>
                    <w:t>t</w:t>
                  </w:r>
                  <w:r>
                    <w:rPr>
                      <w:rFonts w:ascii="Times New Roman" w:hAnsi="Times New Roman" w:cs="Times New Roman"/>
                      <w:sz w:val="21"/>
                      <w:szCs w:val="21"/>
                    </w:rPr>
                    <w:t>/a</w:t>
                  </w:r>
                  <w:r>
                    <w:rPr>
                      <w:rFonts w:hint="eastAsia" w:ascii="Times New Roman" w:hAnsi="Times New Roman" w:eastAsia="宋体" w:cs="Times New Roman"/>
                      <w:szCs w:val="21"/>
                      <w:highlight w:val="none"/>
                      <w:lang w:val="en-US" w:eastAsia="zh-CN"/>
                    </w:rPr>
                    <w:t>。</w:t>
                  </w:r>
                </w:p>
              </w:tc>
            </w:tr>
            <w:tr w14:paraId="4AFD5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340" w:hRule="atLeast"/>
                <w:jc w:val="center"/>
              </w:trPr>
              <w:tc>
                <w:tcPr>
                  <w:tcW w:w="495" w:type="pct"/>
                  <w:vMerge w:val="continue"/>
                  <w:shd w:val="clear" w:color="auto" w:fill="auto"/>
                  <w:vAlign w:val="center"/>
                </w:tcPr>
                <w:p w14:paraId="73A92E9B">
                  <w:pPr>
                    <w:pStyle w:val="12"/>
                    <w:shd w:val="clear"/>
                    <w:adjustRightInd w:val="0"/>
                    <w:spacing w:before="0" w:line="360" w:lineRule="exact"/>
                    <w:ind w:left="69" w:hanging="69" w:hangingChars="33"/>
                    <w:jc w:val="center"/>
                    <w:rPr>
                      <w:rFonts w:hint="default" w:ascii="Times New Roman" w:hAnsi="Times New Roman" w:eastAsia="宋体" w:cs="Times New Roman"/>
                      <w:sz w:val="21"/>
                      <w:szCs w:val="21"/>
                      <w:highlight w:val="none"/>
                    </w:rPr>
                  </w:pPr>
                </w:p>
              </w:tc>
              <w:tc>
                <w:tcPr>
                  <w:tcW w:w="618" w:type="pct"/>
                  <w:shd w:val="clear" w:color="auto" w:fill="auto"/>
                  <w:vAlign w:val="center"/>
                </w:tcPr>
                <w:p w14:paraId="590B4F4A">
                  <w:pPr>
                    <w:shd w:val="clear"/>
                    <w:adjustRightInd w:val="0"/>
                    <w:snapToGrid w:val="0"/>
                    <w:spacing w:line="360" w:lineRule="exact"/>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排水</w:t>
                  </w:r>
                </w:p>
              </w:tc>
              <w:tc>
                <w:tcPr>
                  <w:tcW w:w="3886" w:type="pct"/>
                  <w:shd w:val="clear" w:color="auto" w:fill="auto"/>
                  <w:vAlign w:val="center"/>
                </w:tcPr>
                <w:p w14:paraId="3EF3C1AB">
                  <w:pPr>
                    <w:pStyle w:val="15"/>
                    <w:shd w:val="clear"/>
                    <w:snapToGrid w:val="0"/>
                    <w:spacing w:before="0" w:line="36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厂区采取雨、污分流制，生活污水依托园区化粪池预处理后通过市政污水管网排入江南产业集中区第一污水处理厂，处理达标后经九华河排入长江；年排水量</w:t>
                  </w:r>
                  <w:r>
                    <w:rPr>
                      <w:rFonts w:hint="eastAsia" w:ascii="Times New Roman" w:hAnsi="Times New Roman" w:eastAsia="宋体" w:cs="Times New Roman"/>
                      <w:szCs w:val="21"/>
                      <w:highlight w:val="none"/>
                      <w:lang w:val="en-US" w:eastAsia="zh-CN"/>
                    </w:rPr>
                    <w:t>360</w:t>
                  </w:r>
                  <w:r>
                    <w:rPr>
                      <w:rFonts w:hint="default" w:ascii="Times New Roman" w:hAnsi="Times New Roman" w:eastAsia="宋体" w:cs="Times New Roman"/>
                      <w:szCs w:val="21"/>
                      <w:highlight w:val="none"/>
                      <w:lang w:val="en-US" w:eastAsia="zh-CN"/>
                    </w:rPr>
                    <w:t>t</w:t>
                  </w:r>
                  <w:r>
                    <w:rPr>
                      <w:rFonts w:hint="eastAsia" w:ascii="Times New Roman" w:hAnsi="Times New Roman" w:eastAsia="宋体" w:cs="Times New Roman"/>
                      <w:szCs w:val="21"/>
                      <w:highlight w:val="none"/>
                      <w:lang w:val="en-US" w:eastAsia="zh-CN"/>
                    </w:rPr>
                    <w:t>/a。</w:t>
                  </w:r>
                </w:p>
              </w:tc>
            </w:tr>
            <w:tr w14:paraId="5972B3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90" w:hRule="atLeast"/>
                <w:jc w:val="center"/>
              </w:trPr>
              <w:tc>
                <w:tcPr>
                  <w:tcW w:w="495" w:type="pct"/>
                  <w:vMerge w:val="continue"/>
                  <w:shd w:val="clear" w:color="auto" w:fill="auto"/>
                  <w:vAlign w:val="center"/>
                </w:tcPr>
                <w:p w14:paraId="2645B73E">
                  <w:pPr>
                    <w:pStyle w:val="12"/>
                    <w:shd w:val="clear"/>
                    <w:adjustRightInd w:val="0"/>
                    <w:spacing w:before="0" w:line="360" w:lineRule="exact"/>
                    <w:ind w:left="69" w:hanging="69" w:hangingChars="33"/>
                    <w:jc w:val="center"/>
                    <w:rPr>
                      <w:rFonts w:hint="default" w:ascii="Times New Roman" w:hAnsi="Times New Roman" w:eastAsia="宋体" w:cs="Times New Roman"/>
                      <w:sz w:val="21"/>
                      <w:szCs w:val="21"/>
                      <w:highlight w:val="none"/>
                    </w:rPr>
                  </w:pPr>
                </w:p>
              </w:tc>
              <w:tc>
                <w:tcPr>
                  <w:tcW w:w="618" w:type="pct"/>
                  <w:shd w:val="clear" w:color="auto" w:fill="auto"/>
                  <w:vAlign w:val="center"/>
                </w:tcPr>
                <w:p w14:paraId="13939CD4">
                  <w:pPr>
                    <w:shd w:val="clear"/>
                    <w:adjustRightInd w:val="0"/>
                    <w:snapToGrid w:val="0"/>
                    <w:spacing w:line="36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供电</w:t>
                  </w:r>
                </w:p>
              </w:tc>
              <w:tc>
                <w:tcPr>
                  <w:tcW w:w="3886" w:type="pct"/>
                  <w:shd w:val="clear" w:color="auto" w:fill="auto"/>
                  <w:vAlign w:val="center"/>
                </w:tcPr>
                <w:p w14:paraId="3A2E2AF3">
                  <w:pPr>
                    <w:pStyle w:val="15"/>
                    <w:shd w:val="clear"/>
                    <w:snapToGrid w:val="0"/>
                    <w:spacing w:before="0" w:line="360" w:lineRule="exact"/>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eastAsia="zh-CN"/>
                    </w:rPr>
                    <w:t>市政电网供电；年用电量</w:t>
                  </w:r>
                  <w:r>
                    <w:rPr>
                      <w:rFonts w:hint="eastAsia" w:ascii="Times New Roman" w:hAnsi="Times New Roman" w:eastAsia="宋体" w:cs="Times New Roman"/>
                      <w:szCs w:val="21"/>
                      <w:highlight w:val="none"/>
                      <w:lang w:val="en-US" w:eastAsia="zh-CN"/>
                    </w:rPr>
                    <w:t>8</w:t>
                  </w:r>
                  <w:r>
                    <w:rPr>
                      <w:rFonts w:hint="eastAsia" w:ascii="Times New Roman" w:hAnsi="Times New Roman" w:eastAsia="宋体" w:cs="Times New Roman"/>
                      <w:szCs w:val="21"/>
                      <w:highlight w:val="none"/>
                      <w:lang w:eastAsia="zh-CN"/>
                    </w:rPr>
                    <w:t>万kW•h</w:t>
                  </w:r>
                  <w:r>
                    <w:rPr>
                      <w:rFonts w:hint="eastAsia" w:ascii="Times New Roman" w:hAnsi="Times New Roman" w:eastAsia="宋体" w:cs="Times New Roman"/>
                      <w:szCs w:val="21"/>
                      <w:highlight w:val="none"/>
                      <w:lang w:val="en-US" w:eastAsia="zh-CN"/>
                    </w:rPr>
                    <w:t>/a。</w:t>
                  </w:r>
                </w:p>
              </w:tc>
            </w:tr>
            <w:tr w14:paraId="46F99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90" w:hRule="atLeast"/>
                <w:jc w:val="center"/>
              </w:trPr>
              <w:tc>
                <w:tcPr>
                  <w:tcW w:w="495" w:type="pct"/>
                  <w:vMerge w:val="restart"/>
                  <w:shd w:val="clear" w:color="auto" w:fill="auto"/>
                  <w:vAlign w:val="center"/>
                </w:tcPr>
                <w:p w14:paraId="714AC281">
                  <w:pPr>
                    <w:pStyle w:val="12"/>
                    <w:shd w:val="clear"/>
                    <w:adjustRightInd w:val="0"/>
                    <w:spacing w:before="0" w:line="360" w:lineRule="exact"/>
                    <w:ind w:left="69" w:hanging="69" w:hangingChars="33"/>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环保</w:t>
                  </w:r>
                </w:p>
                <w:p w14:paraId="6CFC7EF3">
                  <w:pPr>
                    <w:pStyle w:val="12"/>
                    <w:shd w:val="clear"/>
                    <w:adjustRightInd w:val="0"/>
                    <w:spacing w:before="0" w:line="360" w:lineRule="exact"/>
                    <w:ind w:left="69" w:hanging="69" w:hangingChars="33"/>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工程</w:t>
                  </w:r>
                </w:p>
              </w:tc>
              <w:tc>
                <w:tcPr>
                  <w:tcW w:w="618" w:type="pct"/>
                  <w:shd w:val="clear" w:color="auto" w:fill="auto"/>
                  <w:vAlign w:val="center"/>
                </w:tcPr>
                <w:p w14:paraId="17F11C7C">
                  <w:pPr>
                    <w:shd w:val="clear"/>
                    <w:adjustRightInd w:val="0"/>
                    <w:snapToGrid w:val="0"/>
                    <w:spacing w:line="360" w:lineRule="exact"/>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废气</w:t>
                  </w:r>
                </w:p>
              </w:tc>
              <w:tc>
                <w:tcPr>
                  <w:tcW w:w="3886" w:type="pct"/>
                  <w:shd w:val="clear" w:color="auto" w:fill="auto"/>
                  <w:vAlign w:val="center"/>
                </w:tcPr>
                <w:p w14:paraId="00B1438B">
                  <w:pPr>
                    <w:pStyle w:val="15"/>
                    <w:shd w:val="clear"/>
                    <w:snapToGrid w:val="0"/>
                    <w:spacing w:before="0" w:line="360" w:lineRule="exact"/>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本项目</w:t>
                  </w:r>
                  <w:r>
                    <w:rPr>
                      <w:rFonts w:hint="default" w:ascii="Times New Roman" w:hAnsi="Times New Roman" w:eastAsia="宋体" w:cs="Times New Roman"/>
                      <w:szCs w:val="21"/>
                      <w:highlight w:val="none"/>
                      <w:lang w:val="en-US" w:eastAsia="zh-CN"/>
                    </w:rPr>
                    <w:t>废气主要为回流焊废气、手工焊接废气、</w:t>
                  </w:r>
                  <w:r>
                    <w:rPr>
                      <w:rFonts w:hint="eastAsia" w:ascii="Times New Roman" w:hAnsi="Times New Roman" w:eastAsia="宋体" w:cs="Times New Roman"/>
                      <w:szCs w:val="21"/>
                      <w:highlight w:val="none"/>
                      <w:lang w:val="en-US" w:eastAsia="zh-CN"/>
                    </w:rPr>
                    <w:t>擦拭</w:t>
                  </w:r>
                  <w:r>
                    <w:rPr>
                      <w:rFonts w:hint="default" w:ascii="Times New Roman" w:hAnsi="Times New Roman" w:eastAsia="宋体" w:cs="Times New Roman"/>
                      <w:szCs w:val="21"/>
                      <w:highlight w:val="none"/>
                      <w:lang w:val="en-US" w:eastAsia="zh-CN"/>
                    </w:rPr>
                    <w:t>废气，废气收集后经过</w:t>
                  </w:r>
                  <w:r>
                    <w:rPr>
                      <w:rFonts w:hint="eastAsia" w:ascii="Times New Roman" w:hAnsi="Times New Roman" w:eastAsia="宋体" w:cs="Times New Roman"/>
                      <w:szCs w:val="21"/>
                      <w:highlight w:val="none"/>
                      <w:lang w:val="en-US" w:eastAsia="zh-CN"/>
                    </w:rPr>
                    <w:t>放置于楼顶的</w:t>
                  </w:r>
                  <w:r>
                    <w:rPr>
                      <w:rFonts w:hint="default" w:ascii="Times New Roman" w:hAnsi="Times New Roman" w:eastAsia="宋体" w:cs="Times New Roman"/>
                      <w:szCs w:val="21"/>
                      <w:highlight w:val="none"/>
                      <w:lang w:val="en-US" w:eastAsia="zh-CN"/>
                    </w:rPr>
                    <w:t>1套“滤筒除尘器+二级活性炭吸附”装置处理，最后通过</w:t>
                  </w:r>
                  <w:r>
                    <w:rPr>
                      <w:rFonts w:hint="eastAsia" w:ascii="Times New Roman" w:hAnsi="Times New Roman" w:eastAsia="宋体" w:cs="Times New Roman"/>
                      <w:szCs w:val="21"/>
                      <w:highlight w:val="none"/>
                      <w:lang w:val="en-US" w:eastAsia="zh-CN"/>
                    </w:rPr>
                    <w:t>1根23</w:t>
                  </w:r>
                  <w:r>
                    <w:rPr>
                      <w:rFonts w:hint="default" w:ascii="Times New Roman" w:hAnsi="Times New Roman" w:eastAsia="宋体" w:cs="Times New Roman"/>
                      <w:szCs w:val="21"/>
                      <w:highlight w:val="none"/>
                      <w:lang w:val="en-US" w:eastAsia="zh-CN"/>
                    </w:rPr>
                    <w:t>m高排气筒排放。</w:t>
                  </w:r>
                </w:p>
              </w:tc>
            </w:tr>
            <w:tr w14:paraId="2A3E3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90" w:hRule="atLeast"/>
                <w:jc w:val="center"/>
              </w:trPr>
              <w:tc>
                <w:tcPr>
                  <w:tcW w:w="495" w:type="pct"/>
                  <w:vMerge w:val="continue"/>
                  <w:shd w:val="clear" w:color="auto" w:fill="auto"/>
                  <w:vAlign w:val="center"/>
                </w:tcPr>
                <w:p w14:paraId="313727F3">
                  <w:pPr>
                    <w:pStyle w:val="12"/>
                    <w:shd w:val="clear"/>
                    <w:adjustRightInd w:val="0"/>
                    <w:spacing w:before="0" w:line="360" w:lineRule="exact"/>
                    <w:ind w:left="69" w:hanging="69" w:hangingChars="33"/>
                    <w:jc w:val="center"/>
                    <w:rPr>
                      <w:rFonts w:hint="default" w:ascii="Times New Roman" w:hAnsi="Times New Roman" w:eastAsia="宋体" w:cs="Times New Roman"/>
                      <w:sz w:val="21"/>
                      <w:szCs w:val="21"/>
                      <w:highlight w:val="none"/>
                    </w:rPr>
                  </w:pPr>
                </w:p>
              </w:tc>
              <w:tc>
                <w:tcPr>
                  <w:tcW w:w="618" w:type="pct"/>
                  <w:shd w:val="clear" w:color="auto" w:fill="auto"/>
                  <w:vAlign w:val="center"/>
                </w:tcPr>
                <w:p w14:paraId="25827A06">
                  <w:pPr>
                    <w:shd w:val="clear"/>
                    <w:adjustRightInd w:val="0"/>
                    <w:snapToGrid w:val="0"/>
                    <w:spacing w:line="360" w:lineRule="exact"/>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废水</w:t>
                  </w:r>
                </w:p>
              </w:tc>
              <w:tc>
                <w:tcPr>
                  <w:tcW w:w="3886" w:type="pct"/>
                  <w:shd w:val="clear" w:color="auto" w:fill="auto"/>
                  <w:vAlign w:val="center"/>
                </w:tcPr>
                <w:p w14:paraId="4BEFEB48">
                  <w:pPr>
                    <w:pStyle w:val="15"/>
                    <w:shd w:val="clear"/>
                    <w:snapToGrid w:val="0"/>
                    <w:spacing w:before="0" w:line="360" w:lineRule="exact"/>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厂区采取雨、污分流制，</w:t>
                  </w:r>
                  <w:r>
                    <w:rPr>
                      <w:rFonts w:hint="eastAsia" w:ascii="Times New Roman" w:hAnsi="Times New Roman" w:eastAsia="宋体" w:cs="Times New Roman"/>
                      <w:szCs w:val="21"/>
                      <w:highlight w:val="none"/>
                      <w:lang w:val="en-US" w:eastAsia="zh-CN"/>
                    </w:rPr>
                    <w:t>雨水</w:t>
                  </w:r>
                  <w:r>
                    <w:rPr>
                      <w:rFonts w:hint="default" w:ascii="Times New Roman" w:hAnsi="Times New Roman" w:eastAsia="宋体" w:cs="Times New Roman"/>
                      <w:szCs w:val="21"/>
                      <w:highlight w:val="none"/>
                    </w:rPr>
                    <w:t>依托园区雨污水管网；运营期无生产废水产生，生活污水依托园区化粪池处理后通过市政管网进入江南产业集中区第一污水处理厂处理，废水排放执行《电子工业水污染物排放标准》（GB39731-2020）表1相关限值及江南产业集中区第一污水处理厂</w:t>
                  </w:r>
                  <w:r>
                    <w:rPr>
                      <w:rFonts w:hint="eastAsia" w:ascii="Times New Roman" w:hAnsi="Times New Roman" w:eastAsia="宋体" w:cs="Times New Roman"/>
                      <w:szCs w:val="21"/>
                      <w:highlight w:val="none"/>
                      <w:lang w:eastAsia="zh-CN"/>
                    </w:rPr>
                    <w:t>接管限值</w:t>
                  </w:r>
                  <w:r>
                    <w:rPr>
                      <w:rFonts w:hint="default" w:ascii="Times New Roman" w:hAnsi="Times New Roman" w:eastAsia="宋体" w:cs="Times New Roman"/>
                      <w:szCs w:val="21"/>
                      <w:highlight w:val="none"/>
                    </w:rPr>
                    <w:t>。</w:t>
                  </w:r>
                </w:p>
              </w:tc>
            </w:tr>
            <w:tr w14:paraId="75676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90" w:hRule="atLeast"/>
                <w:jc w:val="center"/>
              </w:trPr>
              <w:tc>
                <w:tcPr>
                  <w:tcW w:w="495" w:type="pct"/>
                  <w:vMerge w:val="continue"/>
                  <w:shd w:val="clear" w:color="auto" w:fill="auto"/>
                  <w:vAlign w:val="center"/>
                </w:tcPr>
                <w:p w14:paraId="18A11662">
                  <w:pPr>
                    <w:pStyle w:val="12"/>
                    <w:shd w:val="clear"/>
                    <w:adjustRightInd w:val="0"/>
                    <w:spacing w:before="0" w:line="360" w:lineRule="exact"/>
                    <w:ind w:left="69" w:hanging="69" w:hangingChars="33"/>
                    <w:jc w:val="center"/>
                    <w:rPr>
                      <w:rFonts w:hint="default" w:ascii="Times New Roman" w:hAnsi="Times New Roman" w:eastAsia="宋体" w:cs="Times New Roman"/>
                      <w:sz w:val="21"/>
                      <w:szCs w:val="21"/>
                      <w:highlight w:val="none"/>
                    </w:rPr>
                  </w:pPr>
                </w:p>
              </w:tc>
              <w:tc>
                <w:tcPr>
                  <w:tcW w:w="618" w:type="pct"/>
                  <w:shd w:val="clear" w:color="auto" w:fill="auto"/>
                  <w:vAlign w:val="center"/>
                </w:tcPr>
                <w:p w14:paraId="217832FA">
                  <w:pPr>
                    <w:shd w:val="clear"/>
                    <w:adjustRightInd w:val="0"/>
                    <w:snapToGrid w:val="0"/>
                    <w:spacing w:line="360" w:lineRule="exact"/>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噪声</w:t>
                  </w:r>
                </w:p>
              </w:tc>
              <w:tc>
                <w:tcPr>
                  <w:tcW w:w="3886" w:type="pct"/>
                  <w:shd w:val="clear" w:color="auto" w:fill="auto"/>
                  <w:vAlign w:val="center"/>
                </w:tcPr>
                <w:p w14:paraId="5C031D8E">
                  <w:pPr>
                    <w:pStyle w:val="15"/>
                    <w:shd w:val="clear"/>
                    <w:snapToGrid w:val="0"/>
                    <w:spacing w:before="0" w:line="360" w:lineRule="exact"/>
                    <w:jc w:val="cente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eastAsia="zh-CN"/>
                    </w:rPr>
                    <w:t>合理布局、减振基座、建筑隔声等措施。</w:t>
                  </w:r>
                </w:p>
              </w:tc>
            </w:tr>
            <w:tr w14:paraId="481D2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90" w:hRule="atLeast"/>
                <w:jc w:val="center"/>
              </w:trPr>
              <w:tc>
                <w:tcPr>
                  <w:tcW w:w="495" w:type="pct"/>
                  <w:vMerge w:val="continue"/>
                  <w:shd w:val="clear" w:color="auto" w:fill="auto"/>
                  <w:vAlign w:val="center"/>
                </w:tcPr>
                <w:p w14:paraId="3DC930AC">
                  <w:pPr>
                    <w:pStyle w:val="12"/>
                    <w:shd w:val="clear"/>
                    <w:adjustRightInd w:val="0"/>
                    <w:spacing w:before="0" w:line="360" w:lineRule="exact"/>
                    <w:ind w:left="69" w:hanging="69" w:hangingChars="33"/>
                    <w:jc w:val="center"/>
                    <w:rPr>
                      <w:rFonts w:hint="default" w:ascii="Times New Roman" w:hAnsi="Times New Roman" w:eastAsia="宋体" w:cs="Times New Roman"/>
                      <w:sz w:val="21"/>
                      <w:szCs w:val="21"/>
                      <w:highlight w:val="none"/>
                    </w:rPr>
                  </w:pPr>
                </w:p>
              </w:tc>
              <w:tc>
                <w:tcPr>
                  <w:tcW w:w="618" w:type="pct"/>
                  <w:shd w:val="clear" w:color="auto" w:fill="auto"/>
                  <w:vAlign w:val="center"/>
                </w:tcPr>
                <w:p w14:paraId="4E7B7A14">
                  <w:pPr>
                    <w:shd w:val="clear"/>
                    <w:adjustRightInd w:val="0"/>
                    <w:snapToGrid w:val="0"/>
                    <w:spacing w:line="360" w:lineRule="exact"/>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固废</w:t>
                  </w:r>
                </w:p>
              </w:tc>
              <w:tc>
                <w:tcPr>
                  <w:tcW w:w="3886" w:type="pct"/>
                  <w:shd w:val="clear" w:color="auto" w:fill="auto"/>
                  <w:vAlign w:val="center"/>
                </w:tcPr>
                <w:p w14:paraId="4DCFEC6B">
                  <w:pPr>
                    <w:pStyle w:val="15"/>
                    <w:shd w:val="clear"/>
                    <w:snapToGrid w:val="0"/>
                    <w:spacing w:before="0" w:line="360" w:lineRule="exact"/>
                    <w:jc w:val="cente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eastAsia="zh-CN"/>
                    </w:rPr>
                    <w:t>生活垃圾经集中收集后交由环卫部门清运。废外包装材料、锡渣、除尘器捕捉粉尘集中收集后外售。废滤芯由厂家更换带走。废电路板、废辅料包装材料、废擦拭布、废活性炭、废机油、废机油桶、废含油抹布手套集中收集后置于危废贮存点（</w:t>
                  </w:r>
                  <w:r>
                    <w:rPr>
                      <w:rFonts w:hint="eastAsia" w:ascii="Times New Roman" w:hAnsi="Times New Roman" w:eastAsia="宋体" w:cs="Times New Roman"/>
                      <w:szCs w:val="21"/>
                      <w:highlight w:val="none"/>
                      <w:lang w:val="en-US" w:eastAsia="zh-CN"/>
                    </w:rPr>
                    <w:t>在库房东北侧设置15m</w:t>
                  </w:r>
                  <w:r>
                    <w:rPr>
                      <w:rFonts w:hint="eastAsia" w:ascii="Times New Roman" w:hAnsi="Times New Roman" w:eastAsia="宋体" w:cs="Times New Roman"/>
                      <w:szCs w:val="21"/>
                      <w:highlight w:val="none"/>
                      <w:vertAlign w:val="superscript"/>
                      <w:lang w:val="en-US" w:eastAsia="zh-CN"/>
                    </w:rPr>
                    <w:t>2</w:t>
                  </w:r>
                  <w:r>
                    <w:rPr>
                      <w:rFonts w:hint="eastAsia" w:ascii="Times New Roman" w:hAnsi="Times New Roman" w:eastAsia="宋体" w:cs="Times New Roman"/>
                      <w:szCs w:val="21"/>
                      <w:highlight w:val="none"/>
                      <w:lang w:val="en-US" w:eastAsia="zh-CN"/>
                    </w:rPr>
                    <w:t>的</w:t>
                  </w:r>
                  <w:r>
                    <w:rPr>
                      <w:rFonts w:hint="eastAsia" w:ascii="Times New Roman" w:hAnsi="Times New Roman" w:eastAsia="宋体" w:cs="Times New Roman"/>
                      <w:szCs w:val="21"/>
                      <w:highlight w:val="none"/>
                    </w:rPr>
                    <w:t>危废贮存点</w:t>
                  </w:r>
                  <w:r>
                    <w:rPr>
                      <w:rFonts w:hint="eastAsia" w:ascii="Times New Roman" w:hAnsi="Times New Roman" w:eastAsia="宋体" w:cs="Times New Roman"/>
                      <w:szCs w:val="21"/>
                      <w:highlight w:val="none"/>
                      <w:lang w:eastAsia="zh-CN"/>
                    </w:rPr>
                    <w:t>），定期委托有资质的单位进行处置。</w:t>
                  </w:r>
                </w:p>
              </w:tc>
            </w:tr>
          </w:tbl>
          <w:p w14:paraId="5423F7B2">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default" w:ascii="Times New Roman" w:hAnsi="Times New Roman" w:eastAsia="宋体" w:cs="Times New Roman"/>
                <w:b/>
                <w:bCs/>
                <w:sz w:val="24"/>
                <w:lang w:val="en-US"/>
              </w:rPr>
            </w:pPr>
            <w:r>
              <w:rPr>
                <w:rFonts w:hint="eastAsia" w:ascii="Times New Roman" w:hAnsi="Times New Roman" w:eastAsia="宋体" w:cs="Times New Roman"/>
                <w:b/>
                <w:bCs/>
                <w:sz w:val="24"/>
                <w:lang w:val="en-US" w:eastAsia="zh-CN"/>
              </w:rPr>
              <w:t>3</w:t>
            </w:r>
            <w:r>
              <w:rPr>
                <w:rFonts w:ascii="Times New Roman" w:hAnsi="Times New Roman" w:eastAsia="宋体" w:cs="Times New Roman"/>
                <w:b/>
                <w:bCs/>
                <w:sz w:val="24"/>
              </w:rPr>
              <w:t>、</w:t>
            </w:r>
            <w:r>
              <w:rPr>
                <w:rFonts w:hint="eastAsia" w:ascii="Times New Roman" w:hAnsi="Times New Roman" w:eastAsia="宋体" w:cs="Times New Roman"/>
                <w:b/>
                <w:bCs/>
                <w:sz w:val="24"/>
                <w:lang w:val="en-US" w:eastAsia="zh-CN"/>
              </w:rPr>
              <w:t>产品方案</w:t>
            </w:r>
          </w:p>
          <w:p w14:paraId="03246255">
            <w:pPr>
              <w:pStyle w:val="7"/>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ascii="Times New Roman" w:hAnsi="Times New Roman" w:eastAsia="宋体" w:cs="Times New Roman"/>
                <w:sz w:val="24"/>
                <w:szCs w:val="24"/>
              </w:rPr>
            </w:pPr>
            <w:r>
              <w:rPr>
                <w:rFonts w:ascii="Times New Roman" w:hAnsi="Times New Roman" w:eastAsia="宋体" w:cs="Times New Roman"/>
                <w:sz w:val="24"/>
                <w:szCs w:val="24"/>
              </w:rPr>
              <w:t>本项目主要</w:t>
            </w:r>
            <w:r>
              <w:rPr>
                <w:rFonts w:hint="eastAsia" w:ascii="Times New Roman" w:hAnsi="Times New Roman" w:eastAsia="宋体" w:cs="Times New Roman"/>
                <w:sz w:val="24"/>
                <w:szCs w:val="24"/>
              </w:rPr>
              <w:t>产品</w:t>
            </w:r>
            <w:r>
              <w:rPr>
                <w:rFonts w:ascii="Times New Roman" w:hAnsi="Times New Roman" w:eastAsia="宋体" w:cs="Times New Roman"/>
                <w:sz w:val="24"/>
                <w:szCs w:val="24"/>
              </w:rPr>
              <w:t>见表</w:t>
            </w:r>
            <w:r>
              <w:rPr>
                <w:rFonts w:hint="eastAsia" w:ascii="Times New Roman" w:hAnsi="Times New Roman" w:eastAsia="宋体" w:cs="Times New Roman"/>
                <w:sz w:val="24"/>
                <w:szCs w:val="24"/>
                <w:lang w:val="en-US" w:eastAsia="zh-CN"/>
              </w:rPr>
              <w:t>2-4</w:t>
            </w:r>
            <w:r>
              <w:rPr>
                <w:rFonts w:ascii="Times New Roman" w:hAnsi="Times New Roman" w:eastAsia="宋体" w:cs="Times New Roman"/>
                <w:sz w:val="24"/>
                <w:szCs w:val="24"/>
              </w:rPr>
              <w:t>。</w:t>
            </w:r>
          </w:p>
          <w:p w14:paraId="1A471BFC">
            <w:pPr>
              <w:pStyle w:val="7"/>
              <w:keepNext w:val="0"/>
              <w:keepLines w:val="0"/>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sz w:val="21"/>
                <w:szCs w:val="21"/>
              </w:rPr>
            </w:pPr>
            <w:r>
              <w:rPr>
                <w:rFonts w:ascii="Times New Roman" w:hAnsi="Times New Roman" w:cs="Times New Roman"/>
                <w:sz w:val="21"/>
                <w:szCs w:val="21"/>
                <w:highlight w:val="none"/>
              </w:rPr>
              <w:t>表</w:t>
            </w:r>
            <w:r>
              <w:rPr>
                <w:rFonts w:hint="eastAsia" w:ascii="Times New Roman" w:hAnsi="Times New Roman" w:cs="Times New Roman"/>
                <w:sz w:val="21"/>
                <w:szCs w:val="21"/>
                <w:highlight w:val="none"/>
                <w:lang w:val="en-US" w:eastAsia="zh-CN"/>
              </w:rPr>
              <w:t>2-4</w:t>
            </w:r>
            <w:r>
              <w:rPr>
                <w:rFonts w:ascii="Times New Roman" w:hAnsi="Times New Roman" w:cs="Times New Roman"/>
                <w:sz w:val="21"/>
                <w:szCs w:val="21"/>
                <w:highlight w:val="none"/>
              </w:rPr>
              <w:t xml:space="preserve"> 项目</w:t>
            </w:r>
            <w:r>
              <w:rPr>
                <w:rFonts w:hint="eastAsia" w:ascii="Times New Roman" w:hAnsi="Times New Roman" w:cs="Times New Roman"/>
                <w:sz w:val="21"/>
                <w:szCs w:val="21"/>
                <w:highlight w:val="none"/>
                <w:lang w:val="en-US" w:eastAsia="zh-CN"/>
              </w:rPr>
              <w:t>产品方案</w:t>
            </w:r>
            <w:r>
              <w:rPr>
                <w:rFonts w:ascii="Times New Roman" w:hAnsi="Times New Roman" w:cs="Times New Roman"/>
                <w:sz w:val="21"/>
                <w:szCs w:val="21"/>
                <w:highlight w:val="none"/>
              </w:rPr>
              <w:t>一览表</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124"/>
              <w:gridCol w:w="2032"/>
              <w:gridCol w:w="1409"/>
              <w:gridCol w:w="3121"/>
            </w:tblGrid>
            <w:tr w14:paraId="58F05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 w:type="pct"/>
                  <w:vAlign w:val="center"/>
                </w:tcPr>
                <w:p w14:paraId="3DD96BB0">
                  <w:pPr>
                    <w:pStyle w:val="7"/>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序号</w:t>
                  </w:r>
                </w:p>
              </w:tc>
              <w:tc>
                <w:tcPr>
                  <w:tcW w:w="689" w:type="pct"/>
                  <w:vAlign w:val="center"/>
                </w:tcPr>
                <w:p w14:paraId="74B47C6C">
                  <w:pPr>
                    <w:pStyle w:val="7"/>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lang w:val="en-US" w:eastAsia="zh-CN"/>
                    </w:rPr>
                    <w:t>产品名称</w:t>
                  </w:r>
                </w:p>
              </w:tc>
              <w:tc>
                <w:tcPr>
                  <w:tcW w:w="1246" w:type="pct"/>
                  <w:vAlign w:val="center"/>
                </w:tcPr>
                <w:p w14:paraId="7C78FF7D">
                  <w:pPr>
                    <w:pStyle w:val="7"/>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2"/>
                      <w:sz w:val="21"/>
                      <w:szCs w:val="21"/>
                      <w:highlight w:val="none"/>
                      <w:vertAlign w:val="baseline"/>
                      <w:lang w:val="en-US" w:eastAsia="zh-CN" w:bidi="ar-SA"/>
                    </w:rPr>
                  </w:pPr>
                  <w:r>
                    <w:rPr>
                      <w:rFonts w:hint="eastAsia" w:ascii="Times New Roman" w:hAnsi="Times New Roman" w:eastAsia="宋体" w:cs="Times New Roman"/>
                      <w:sz w:val="21"/>
                      <w:szCs w:val="21"/>
                      <w:highlight w:val="none"/>
                      <w:vertAlign w:val="baseline"/>
                      <w:lang w:val="en-US" w:eastAsia="zh-CN"/>
                    </w:rPr>
                    <w:t>规格</w:t>
                  </w:r>
                </w:p>
              </w:tc>
              <w:tc>
                <w:tcPr>
                  <w:tcW w:w="864" w:type="pct"/>
                  <w:vAlign w:val="center"/>
                </w:tcPr>
                <w:p w14:paraId="0FA7F0F9">
                  <w:pPr>
                    <w:pStyle w:val="7"/>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2"/>
                      <w:sz w:val="21"/>
                      <w:szCs w:val="21"/>
                      <w:highlight w:val="none"/>
                      <w:vertAlign w:val="baseline"/>
                      <w:lang w:val="en-US" w:eastAsia="zh-CN" w:bidi="ar-SA"/>
                    </w:rPr>
                  </w:pPr>
                  <w:r>
                    <w:rPr>
                      <w:rFonts w:hint="eastAsia" w:ascii="Times New Roman" w:hAnsi="Times New Roman" w:eastAsia="宋体" w:cs="Times New Roman"/>
                      <w:sz w:val="21"/>
                      <w:szCs w:val="21"/>
                      <w:highlight w:val="none"/>
                      <w:vertAlign w:val="baseline"/>
                      <w:lang w:val="en-US" w:eastAsia="zh-CN"/>
                    </w:rPr>
                    <w:t>年产量</w:t>
                  </w:r>
                </w:p>
              </w:tc>
              <w:tc>
                <w:tcPr>
                  <w:tcW w:w="1913" w:type="pct"/>
                  <w:vAlign w:val="center"/>
                </w:tcPr>
                <w:p w14:paraId="39334995">
                  <w:pPr>
                    <w:pStyle w:val="7"/>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备注</w:t>
                  </w:r>
                </w:p>
              </w:tc>
            </w:tr>
            <w:tr w14:paraId="2ECD6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 w:type="pct"/>
                  <w:vAlign w:val="center"/>
                </w:tcPr>
                <w:p w14:paraId="13E61AD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w:t>
                  </w:r>
                </w:p>
              </w:tc>
              <w:tc>
                <w:tcPr>
                  <w:tcW w:w="689" w:type="pct"/>
                  <w:vAlign w:val="center"/>
                </w:tcPr>
                <w:p w14:paraId="6B92E25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rPr>
                  </w:pPr>
                  <w:r>
                    <w:rPr>
                      <w:rFonts w:hint="default" w:ascii="Times New Roman" w:hAnsi="Times New Roman" w:cs="Times New Roman" w:eastAsiaTheme="minorEastAsia"/>
                      <w:color w:val="000000" w:themeColor="text1"/>
                      <w:sz w:val="21"/>
                      <w:szCs w:val="21"/>
                      <w:lang w:val="en-US" w:eastAsia="zh-CN"/>
                      <w14:textFill>
                        <w14:solidFill>
                          <w14:schemeClr w14:val="tx1"/>
                        </w14:solidFill>
                      </w14:textFill>
                    </w:rPr>
                    <w:t>嵌入式计算机板</w:t>
                  </w:r>
                </w:p>
              </w:tc>
              <w:tc>
                <w:tcPr>
                  <w:tcW w:w="1246" w:type="pct"/>
                  <w:vAlign w:val="center"/>
                </w:tcPr>
                <w:p w14:paraId="7B71C3E0">
                  <w:pPr>
                    <w:spacing w:line="360" w:lineRule="exact"/>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50mm*50mm~750mm*550mm</w:t>
                  </w:r>
                </w:p>
              </w:tc>
              <w:tc>
                <w:tcPr>
                  <w:tcW w:w="864" w:type="pct"/>
                  <w:vAlign w:val="center"/>
                </w:tcPr>
                <w:p w14:paraId="0FB7E535">
                  <w:pPr>
                    <w:spacing w:line="36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50000块</w:t>
                  </w:r>
                </w:p>
              </w:tc>
              <w:tc>
                <w:tcPr>
                  <w:tcW w:w="1913" w:type="pct"/>
                  <w:vAlign w:val="center"/>
                </w:tcPr>
                <w:p w14:paraId="3AE77B2A">
                  <w:pPr>
                    <w:spacing w:line="360" w:lineRule="exact"/>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其中2000块用于组装生产嵌入式计算机整机设备，剩余48000块作为产品直接外售</w:t>
                  </w:r>
                </w:p>
              </w:tc>
            </w:tr>
            <w:tr w14:paraId="4A7BD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 w:type="pct"/>
                  <w:vAlign w:val="center"/>
                </w:tcPr>
                <w:p w14:paraId="702D180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w:t>
                  </w:r>
                </w:p>
              </w:tc>
              <w:tc>
                <w:tcPr>
                  <w:tcW w:w="689" w:type="pct"/>
                  <w:vAlign w:val="center"/>
                </w:tcPr>
                <w:p w14:paraId="303A47A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rPr>
                  </w:pPr>
                  <w:r>
                    <w:rPr>
                      <w:rFonts w:hint="default" w:ascii="Times New Roman" w:hAnsi="Times New Roman" w:cs="Times New Roman" w:eastAsiaTheme="minorEastAsia"/>
                      <w:color w:val="000000" w:themeColor="text1"/>
                      <w:sz w:val="21"/>
                      <w:szCs w:val="21"/>
                      <w:lang w:val="en-US" w:eastAsia="zh-CN"/>
                      <w14:textFill>
                        <w14:solidFill>
                          <w14:schemeClr w14:val="tx1"/>
                        </w14:solidFill>
                      </w14:textFill>
                    </w:rPr>
                    <w:t>整机设备</w:t>
                  </w:r>
                </w:p>
              </w:tc>
              <w:tc>
                <w:tcPr>
                  <w:tcW w:w="1246" w:type="pct"/>
                  <w:vAlign w:val="center"/>
                </w:tcPr>
                <w:p w14:paraId="0E1EB397">
                  <w:pPr>
                    <w:spacing w:line="36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w:t>
                  </w:r>
                </w:p>
              </w:tc>
              <w:tc>
                <w:tcPr>
                  <w:tcW w:w="864" w:type="pct"/>
                  <w:vAlign w:val="center"/>
                </w:tcPr>
                <w:p w14:paraId="524B12ED">
                  <w:pPr>
                    <w:spacing w:line="360" w:lineRule="exact"/>
                    <w:jc w:val="center"/>
                    <w:rPr>
                      <w:rFonts w:hint="default"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2000台</w:t>
                  </w:r>
                </w:p>
              </w:tc>
              <w:tc>
                <w:tcPr>
                  <w:tcW w:w="1913" w:type="pct"/>
                  <w:vAlign w:val="center"/>
                </w:tcPr>
                <w:p w14:paraId="2F740DC0">
                  <w:pPr>
                    <w:spacing w:line="360" w:lineRule="exact"/>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由主板、塑料外壳、显示屏等零件组装</w:t>
                  </w:r>
                </w:p>
              </w:tc>
            </w:tr>
          </w:tbl>
          <w:p w14:paraId="04DD3DDD">
            <w:pPr>
              <w:pStyle w:val="28"/>
              <w:keepNext w:val="0"/>
              <w:keepLines w:val="0"/>
              <w:pageBreakBefore w:val="0"/>
              <w:widowControl w:val="0"/>
              <w:kinsoku/>
              <w:wordWrap/>
              <w:overflowPunct/>
              <w:topLinePunct w:val="0"/>
              <w:bidi w:val="0"/>
              <w:snapToGrid/>
              <w:spacing w:line="360" w:lineRule="auto"/>
              <w:ind w:left="0" w:leftChars="0" w:firstLine="0" w:firstLineChars="0"/>
              <w:jc w:val="both"/>
              <w:rPr>
                <w:rFonts w:hint="default" w:ascii="Times New Roman" w:hAnsi="Times New Roman" w:eastAsia="宋体" w:cs="Times New Roman"/>
                <w:b/>
                <w:bCs w:val="0"/>
                <w:sz w:val="24"/>
              </w:rPr>
            </w:pPr>
            <w:r>
              <w:rPr>
                <w:rFonts w:hint="eastAsia" w:ascii="Times New Roman" w:hAnsi="Times New Roman" w:cs="Times New Roman"/>
                <w:b/>
                <w:bCs w:val="0"/>
                <w:sz w:val="24"/>
                <w:lang w:val="en-US" w:eastAsia="zh-CN"/>
              </w:rPr>
              <w:t>4</w:t>
            </w:r>
            <w:r>
              <w:rPr>
                <w:rFonts w:hint="default" w:ascii="Times New Roman" w:hAnsi="Times New Roman" w:cs="Times New Roman"/>
                <w:b/>
                <w:bCs w:val="0"/>
                <w:sz w:val="24"/>
              </w:rPr>
              <w:t>、主要</w:t>
            </w:r>
            <w:r>
              <w:rPr>
                <w:rFonts w:hint="default" w:ascii="Times New Roman" w:hAnsi="Times New Roman" w:cs="Times New Roman"/>
                <w:b/>
                <w:bCs w:val="0"/>
                <w:sz w:val="24"/>
                <w:lang w:val="en-US" w:eastAsia="zh-CN"/>
              </w:rPr>
              <w:t>工艺设备</w:t>
            </w:r>
          </w:p>
          <w:p w14:paraId="43E64FB0">
            <w:pPr>
              <w:pStyle w:val="7"/>
              <w:keepNext w:val="0"/>
              <w:keepLines w:val="0"/>
              <w:pageBreakBefore w:val="0"/>
              <w:widowControl w:val="0"/>
              <w:kinsoku/>
              <w:wordWrap/>
              <w:overflowPunct/>
              <w:topLinePunct w:val="0"/>
              <w:bidi w:val="0"/>
              <w:snapToGrid/>
              <w:spacing w:line="360" w:lineRule="auto"/>
              <w:jc w:val="center"/>
              <w:rPr>
                <w:rFonts w:hint="default" w:ascii="Times New Roman" w:hAnsi="Times New Roman" w:cs="Times New Roman"/>
                <w:bCs/>
                <w:sz w:val="24"/>
              </w:rPr>
            </w:pPr>
            <w:r>
              <w:rPr>
                <w:rFonts w:hint="default" w:ascii="Times New Roman" w:hAnsi="Times New Roman" w:cs="Times New Roman"/>
                <w:sz w:val="21"/>
                <w:szCs w:val="21"/>
              </w:rPr>
              <w:t>表</w:t>
            </w:r>
            <w:r>
              <w:rPr>
                <w:rFonts w:hint="eastAsia" w:ascii="Times New Roman" w:hAnsi="Times New Roman" w:cs="Times New Roman"/>
                <w:sz w:val="21"/>
                <w:szCs w:val="21"/>
                <w:lang w:val="en-US" w:eastAsia="zh-CN"/>
              </w:rPr>
              <w:t>2-5</w:t>
            </w:r>
            <w:r>
              <w:rPr>
                <w:rFonts w:hint="default" w:ascii="Times New Roman" w:hAnsi="Times New Roman" w:cs="Times New Roman"/>
                <w:sz w:val="21"/>
                <w:szCs w:val="21"/>
              </w:rPr>
              <w:t xml:space="preserve"> 项目</w:t>
            </w:r>
            <w:r>
              <w:rPr>
                <w:rFonts w:hint="eastAsia" w:ascii="Times New Roman" w:hAnsi="Times New Roman" w:cs="Times New Roman"/>
                <w:sz w:val="21"/>
                <w:szCs w:val="21"/>
                <w:lang w:val="en-US" w:eastAsia="zh-CN"/>
              </w:rPr>
              <w:t>主要设备</w:t>
            </w:r>
            <w:r>
              <w:rPr>
                <w:rFonts w:hint="default" w:ascii="Times New Roman" w:hAnsi="Times New Roman" w:cs="Times New Roman"/>
                <w:sz w:val="21"/>
                <w:szCs w:val="21"/>
              </w:rPr>
              <w:t>一览表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5"/>
              <w:gridCol w:w="2853"/>
              <w:gridCol w:w="2788"/>
              <w:gridCol w:w="1383"/>
            </w:tblGrid>
            <w:tr w14:paraId="0639C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690" w:type="pct"/>
                  <w:tcBorders>
                    <w:top w:val="single" w:color="auto" w:sz="4" w:space="0"/>
                    <w:left w:val="single" w:color="auto" w:sz="4" w:space="0"/>
                    <w:bottom w:val="single" w:color="auto" w:sz="4" w:space="0"/>
                    <w:right w:val="single" w:color="auto" w:sz="4" w:space="0"/>
                  </w:tcBorders>
                  <w:vAlign w:val="center"/>
                </w:tcPr>
                <w:p w14:paraId="1AA731DF">
                  <w:pPr>
                    <w:spacing w:line="360" w:lineRule="exact"/>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序号</w:t>
                  </w:r>
                </w:p>
              </w:tc>
              <w:tc>
                <w:tcPr>
                  <w:tcW w:w="1750" w:type="pct"/>
                  <w:tcBorders>
                    <w:top w:val="single" w:color="auto" w:sz="4" w:space="0"/>
                    <w:left w:val="single" w:color="auto" w:sz="4" w:space="0"/>
                    <w:bottom w:val="single" w:color="auto" w:sz="4" w:space="0"/>
                    <w:right w:val="single" w:color="auto" w:sz="4" w:space="0"/>
                  </w:tcBorders>
                  <w:vAlign w:val="center"/>
                </w:tcPr>
                <w:p w14:paraId="59EE3A94">
                  <w:pPr>
                    <w:spacing w:line="360" w:lineRule="exact"/>
                    <w:jc w:val="center"/>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名称</w:t>
                  </w:r>
                </w:p>
              </w:tc>
              <w:tc>
                <w:tcPr>
                  <w:tcW w:w="1710" w:type="pct"/>
                  <w:tcBorders>
                    <w:top w:val="single" w:color="auto" w:sz="4" w:space="0"/>
                    <w:left w:val="single" w:color="auto" w:sz="4" w:space="0"/>
                    <w:bottom w:val="single" w:color="auto" w:sz="4" w:space="0"/>
                    <w:right w:val="single" w:color="auto" w:sz="4" w:space="0"/>
                  </w:tcBorders>
                  <w:vAlign w:val="center"/>
                </w:tcPr>
                <w:p w14:paraId="310DC939">
                  <w:pPr>
                    <w:spacing w:line="360" w:lineRule="exact"/>
                    <w:jc w:val="center"/>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规格/型号</w:t>
                  </w:r>
                </w:p>
              </w:tc>
              <w:tc>
                <w:tcPr>
                  <w:tcW w:w="848" w:type="pct"/>
                  <w:tcBorders>
                    <w:top w:val="single" w:color="auto" w:sz="4" w:space="0"/>
                    <w:left w:val="single" w:color="auto" w:sz="4" w:space="0"/>
                    <w:bottom w:val="single" w:color="auto" w:sz="4" w:space="0"/>
                    <w:right w:val="single" w:color="auto" w:sz="4" w:space="0"/>
                  </w:tcBorders>
                  <w:vAlign w:val="center"/>
                </w:tcPr>
                <w:p w14:paraId="1F7C0F26">
                  <w:pPr>
                    <w:spacing w:line="360" w:lineRule="exact"/>
                    <w:jc w:val="center"/>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数量</w:t>
                  </w:r>
                </w:p>
              </w:tc>
            </w:tr>
            <w:tr w14:paraId="2A3D4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90" w:type="pct"/>
                  <w:tcBorders>
                    <w:top w:val="single" w:color="auto" w:sz="4" w:space="0"/>
                    <w:left w:val="single" w:color="auto" w:sz="4" w:space="0"/>
                    <w:bottom w:val="single" w:color="auto" w:sz="4" w:space="0"/>
                    <w:right w:val="single" w:color="auto" w:sz="4" w:space="0"/>
                  </w:tcBorders>
                  <w:vAlign w:val="center"/>
                </w:tcPr>
                <w:p w14:paraId="04EF98B0">
                  <w:pPr>
                    <w:spacing w:line="36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750" w:type="pct"/>
                  <w:tcBorders>
                    <w:top w:val="single" w:color="auto" w:sz="4" w:space="0"/>
                    <w:left w:val="single" w:color="auto" w:sz="4" w:space="0"/>
                    <w:bottom w:val="single" w:color="auto" w:sz="4" w:space="0"/>
                    <w:right w:val="single" w:color="auto" w:sz="4" w:space="0"/>
                  </w:tcBorders>
                  <w:vAlign w:val="center"/>
                </w:tcPr>
                <w:p w14:paraId="63C9A9E6">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全自动上板机</w:t>
                  </w:r>
                </w:p>
              </w:tc>
              <w:tc>
                <w:tcPr>
                  <w:tcW w:w="1710" w:type="pct"/>
                  <w:tcBorders>
                    <w:top w:val="single" w:color="auto" w:sz="4" w:space="0"/>
                    <w:left w:val="single" w:color="auto" w:sz="4" w:space="0"/>
                    <w:bottom w:val="single" w:color="auto" w:sz="4" w:space="0"/>
                    <w:right w:val="single" w:color="auto" w:sz="4" w:space="0"/>
                  </w:tcBorders>
                  <w:vAlign w:val="center"/>
                </w:tcPr>
                <w:p w14:paraId="6CD1D72D">
                  <w:pPr>
                    <w:spacing w:line="36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FS-390</w:t>
                  </w: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7BE1ADF3">
                  <w:pPr>
                    <w:spacing w:line="360" w:lineRule="exact"/>
                    <w:jc w:val="center"/>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1台</w:t>
                  </w:r>
                </w:p>
              </w:tc>
            </w:tr>
            <w:tr w14:paraId="34D87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90" w:type="pct"/>
                  <w:tcBorders>
                    <w:top w:val="single" w:color="auto" w:sz="4" w:space="0"/>
                    <w:left w:val="single" w:color="auto" w:sz="4" w:space="0"/>
                    <w:bottom w:val="single" w:color="auto" w:sz="4" w:space="0"/>
                    <w:right w:val="single" w:color="auto" w:sz="4" w:space="0"/>
                  </w:tcBorders>
                  <w:vAlign w:val="center"/>
                </w:tcPr>
                <w:p w14:paraId="43CA5DAC">
                  <w:pPr>
                    <w:spacing w:line="36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1750" w:type="pct"/>
                  <w:tcBorders>
                    <w:top w:val="single" w:color="auto" w:sz="4" w:space="0"/>
                    <w:left w:val="single" w:color="auto" w:sz="4" w:space="0"/>
                    <w:bottom w:val="single" w:color="auto" w:sz="4" w:space="0"/>
                    <w:right w:val="single" w:color="auto" w:sz="4" w:space="0"/>
                  </w:tcBorders>
                  <w:vAlign w:val="center"/>
                </w:tcPr>
                <w:p w14:paraId="1EA8172C">
                  <w:pPr>
                    <w:spacing w:line="36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印刷机</w:t>
                  </w:r>
                </w:p>
              </w:tc>
              <w:tc>
                <w:tcPr>
                  <w:tcW w:w="1710" w:type="pct"/>
                  <w:tcBorders>
                    <w:top w:val="single" w:color="auto" w:sz="4" w:space="0"/>
                    <w:left w:val="single" w:color="auto" w:sz="4" w:space="0"/>
                    <w:bottom w:val="single" w:color="auto" w:sz="4" w:space="0"/>
                    <w:right w:val="single" w:color="auto" w:sz="4" w:space="0"/>
                  </w:tcBorders>
                  <w:vAlign w:val="center"/>
                </w:tcPr>
                <w:p w14:paraId="72C8E965">
                  <w:pPr>
                    <w:spacing w:line="36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CP-500</w:t>
                  </w: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609E62B2">
                  <w:pPr>
                    <w:spacing w:line="360" w:lineRule="exact"/>
                    <w:jc w:val="center"/>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1台</w:t>
                  </w:r>
                </w:p>
              </w:tc>
            </w:tr>
            <w:tr w14:paraId="7A213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90" w:type="pct"/>
                  <w:tcBorders>
                    <w:top w:val="single" w:color="auto" w:sz="4" w:space="0"/>
                    <w:left w:val="single" w:color="auto" w:sz="4" w:space="0"/>
                    <w:bottom w:val="single" w:color="auto" w:sz="4" w:space="0"/>
                    <w:right w:val="single" w:color="auto" w:sz="4" w:space="0"/>
                  </w:tcBorders>
                  <w:vAlign w:val="center"/>
                </w:tcPr>
                <w:p w14:paraId="55CE737F">
                  <w:pPr>
                    <w:spacing w:line="36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3</w:t>
                  </w:r>
                </w:p>
              </w:tc>
              <w:tc>
                <w:tcPr>
                  <w:tcW w:w="1750" w:type="pct"/>
                  <w:tcBorders>
                    <w:top w:val="single" w:color="auto" w:sz="4" w:space="0"/>
                    <w:left w:val="single" w:color="auto" w:sz="4" w:space="0"/>
                    <w:bottom w:val="single" w:color="auto" w:sz="4" w:space="0"/>
                    <w:right w:val="single" w:color="auto" w:sz="4" w:space="0"/>
                  </w:tcBorders>
                  <w:vAlign w:val="center"/>
                </w:tcPr>
                <w:p w14:paraId="3BFE959D">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全自动接驳台</w:t>
                  </w:r>
                </w:p>
              </w:tc>
              <w:tc>
                <w:tcPr>
                  <w:tcW w:w="1710" w:type="pct"/>
                  <w:tcBorders>
                    <w:top w:val="single" w:color="auto" w:sz="4" w:space="0"/>
                    <w:left w:val="single" w:color="auto" w:sz="4" w:space="0"/>
                    <w:bottom w:val="single" w:color="auto" w:sz="4" w:space="0"/>
                    <w:right w:val="single" w:color="auto" w:sz="4" w:space="0"/>
                  </w:tcBorders>
                  <w:vAlign w:val="center"/>
                </w:tcPr>
                <w:p w14:paraId="5A1E5EB9">
                  <w:pPr>
                    <w:spacing w:line="36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UL-500</w:t>
                  </w:r>
                </w:p>
              </w:tc>
              <w:tc>
                <w:tcPr>
                  <w:tcW w:w="848" w:type="pct"/>
                  <w:tcBorders>
                    <w:top w:val="single" w:color="auto" w:sz="4" w:space="0"/>
                    <w:left w:val="single" w:color="auto" w:sz="4" w:space="0"/>
                    <w:bottom w:val="single" w:color="auto" w:sz="4" w:space="0"/>
                    <w:right w:val="single" w:color="auto" w:sz="4" w:space="0"/>
                  </w:tcBorders>
                  <w:vAlign w:val="center"/>
                </w:tcPr>
                <w:p w14:paraId="7E39875F">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w:t>
                  </w:r>
                  <w:r>
                    <w:rPr>
                      <w:rFonts w:hint="eastAsia" w:ascii="Times New Roman" w:hAnsi="Times New Roman" w:eastAsia="宋体" w:cs="Times New Roman"/>
                      <w:sz w:val="21"/>
                      <w:szCs w:val="21"/>
                      <w:highlight w:val="none"/>
                      <w:lang w:val="en-US" w:eastAsia="zh-CN"/>
                    </w:rPr>
                    <w:t>台</w:t>
                  </w:r>
                </w:p>
              </w:tc>
            </w:tr>
            <w:tr w14:paraId="73B09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90" w:type="pct"/>
                  <w:tcBorders>
                    <w:top w:val="single" w:color="auto" w:sz="4" w:space="0"/>
                    <w:left w:val="single" w:color="auto" w:sz="4" w:space="0"/>
                    <w:bottom w:val="single" w:color="auto" w:sz="4" w:space="0"/>
                    <w:right w:val="single" w:color="auto" w:sz="4" w:space="0"/>
                  </w:tcBorders>
                  <w:vAlign w:val="center"/>
                </w:tcPr>
                <w:p w14:paraId="3B7A8045">
                  <w:pPr>
                    <w:spacing w:line="36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4</w:t>
                  </w:r>
                </w:p>
              </w:tc>
              <w:tc>
                <w:tcPr>
                  <w:tcW w:w="1750" w:type="pct"/>
                  <w:tcBorders>
                    <w:top w:val="single" w:color="auto" w:sz="4" w:space="0"/>
                    <w:left w:val="single" w:color="auto" w:sz="4" w:space="0"/>
                    <w:bottom w:val="single" w:color="auto" w:sz="4" w:space="0"/>
                    <w:right w:val="single" w:color="auto" w:sz="4" w:space="0"/>
                  </w:tcBorders>
                  <w:vAlign w:val="center"/>
                </w:tcPr>
                <w:p w14:paraId="65869E13">
                  <w:pPr>
                    <w:spacing w:line="360" w:lineRule="exact"/>
                    <w:jc w:val="center"/>
                    <w:rPr>
                      <w:rStyle w:val="43"/>
                      <w:rFonts w:hint="default" w:ascii="Times New Roman" w:hAnsi="Times New Roman" w:eastAsia="宋体" w:cs="Times New Roman"/>
                      <w:b w:val="0"/>
                      <w:i w:val="0"/>
                      <w:caps w:val="0"/>
                      <w:spacing w:val="0"/>
                      <w:w w:val="100"/>
                      <w:kern w:val="2"/>
                      <w:sz w:val="21"/>
                      <w:szCs w:val="21"/>
                      <w:lang w:val="en-US" w:eastAsia="zh-CN" w:bidi="ar-SA"/>
                    </w:rPr>
                  </w:pPr>
                  <w:r>
                    <w:rPr>
                      <w:rStyle w:val="43"/>
                      <w:rFonts w:hint="eastAsia" w:ascii="Times New Roman" w:hAnsi="Times New Roman" w:eastAsia="宋体" w:cs="Times New Roman"/>
                      <w:b w:val="0"/>
                      <w:i w:val="0"/>
                      <w:caps w:val="0"/>
                      <w:spacing w:val="0"/>
                      <w:w w:val="100"/>
                      <w:kern w:val="2"/>
                      <w:sz w:val="21"/>
                      <w:szCs w:val="21"/>
                      <w:lang w:val="en-US" w:eastAsia="zh-CN" w:bidi="ar-SA"/>
                    </w:rPr>
                    <w:t>SPI</w:t>
                  </w:r>
                </w:p>
              </w:tc>
              <w:tc>
                <w:tcPr>
                  <w:tcW w:w="1710" w:type="pct"/>
                  <w:tcBorders>
                    <w:top w:val="single" w:color="auto" w:sz="4" w:space="0"/>
                    <w:left w:val="single" w:color="auto" w:sz="4" w:space="0"/>
                    <w:bottom w:val="single" w:color="auto" w:sz="4" w:space="0"/>
                    <w:right w:val="single" w:color="auto" w:sz="4" w:space="0"/>
                  </w:tcBorders>
                  <w:vAlign w:val="center"/>
                </w:tcPr>
                <w:p w14:paraId="11FB440C">
                  <w:pPr>
                    <w:spacing w:line="360" w:lineRule="exact"/>
                    <w:jc w:val="center"/>
                    <w:rPr>
                      <w:rFonts w:hint="default" w:ascii="Times New Roman" w:hAnsi="Times New Roman" w:eastAsia="宋体" w:cs="Times New Roman"/>
                      <w:b w:val="0"/>
                      <w:i w:val="0"/>
                      <w:caps w:val="0"/>
                      <w:spacing w:val="0"/>
                      <w:w w:val="100"/>
                      <w:kern w:val="2"/>
                      <w:sz w:val="21"/>
                      <w:szCs w:val="21"/>
                      <w:lang w:val="en-US" w:eastAsia="zh-CN" w:bidi="ar-SA"/>
                    </w:rPr>
                  </w:pPr>
                  <w:r>
                    <w:rPr>
                      <w:rFonts w:hint="eastAsia" w:ascii="Times New Roman" w:hAnsi="Times New Roman" w:eastAsia="宋体" w:cs="Times New Roman"/>
                      <w:b w:val="0"/>
                      <w:i w:val="0"/>
                      <w:caps w:val="0"/>
                      <w:spacing w:val="0"/>
                      <w:w w:val="100"/>
                      <w:kern w:val="2"/>
                      <w:sz w:val="21"/>
                      <w:szCs w:val="21"/>
                      <w:lang w:val="en-US" w:eastAsia="zh-CN" w:bidi="ar-SA"/>
                    </w:rPr>
                    <w:t>7007S</w:t>
                  </w:r>
                  <w:r>
                    <w:rPr>
                      <w:rFonts w:hint="default" w:ascii="Times New Roman" w:hAnsi="Times New Roman" w:eastAsia="宋体" w:cs="Times New Roman"/>
                      <w:b w:val="0"/>
                      <w:i w:val="0"/>
                      <w:caps w:val="0"/>
                      <w:spacing w:val="0"/>
                      <w:w w:val="100"/>
                      <w:kern w:val="2"/>
                      <w:sz w:val="21"/>
                      <w:szCs w:val="21"/>
                      <w:lang w:val="en-US" w:eastAsia="zh-CN" w:bidi="ar-SA"/>
                    </w:rPr>
                    <w:t>Ⅱ</w:t>
                  </w:r>
                </w:p>
              </w:tc>
              <w:tc>
                <w:tcPr>
                  <w:tcW w:w="848" w:type="pct"/>
                  <w:tcBorders>
                    <w:top w:val="single" w:color="auto" w:sz="4" w:space="0"/>
                    <w:left w:val="single" w:color="auto" w:sz="4" w:space="0"/>
                    <w:bottom w:val="single" w:color="auto" w:sz="4" w:space="0"/>
                    <w:right w:val="single" w:color="auto" w:sz="4" w:space="0"/>
                  </w:tcBorders>
                  <w:vAlign w:val="center"/>
                </w:tcPr>
                <w:p w14:paraId="4B9A7130">
                  <w:pPr>
                    <w:spacing w:line="36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r>
                    <w:rPr>
                      <w:rFonts w:hint="eastAsia" w:ascii="Times New Roman" w:hAnsi="Times New Roman" w:eastAsia="宋体" w:cs="Times New Roman"/>
                      <w:sz w:val="21"/>
                      <w:szCs w:val="21"/>
                      <w:highlight w:val="none"/>
                      <w:lang w:val="en-US" w:eastAsia="zh-CN"/>
                    </w:rPr>
                    <w:t>台</w:t>
                  </w:r>
                </w:p>
              </w:tc>
            </w:tr>
            <w:tr w14:paraId="7DC91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90" w:type="pct"/>
                  <w:tcBorders>
                    <w:top w:val="single" w:color="auto" w:sz="4" w:space="0"/>
                    <w:left w:val="single" w:color="auto" w:sz="4" w:space="0"/>
                    <w:bottom w:val="single" w:color="auto" w:sz="4" w:space="0"/>
                    <w:right w:val="single" w:color="auto" w:sz="4" w:space="0"/>
                  </w:tcBorders>
                  <w:vAlign w:val="center"/>
                </w:tcPr>
                <w:p w14:paraId="6C236261">
                  <w:pPr>
                    <w:spacing w:line="36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w:t>
                  </w:r>
                </w:p>
              </w:tc>
              <w:tc>
                <w:tcPr>
                  <w:tcW w:w="1750" w:type="pct"/>
                  <w:tcBorders>
                    <w:top w:val="single" w:color="auto" w:sz="4" w:space="0"/>
                    <w:left w:val="single" w:color="auto" w:sz="4" w:space="0"/>
                    <w:bottom w:val="single" w:color="auto" w:sz="4" w:space="0"/>
                    <w:right w:val="single" w:color="auto" w:sz="4" w:space="0"/>
                  </w:tcBorders>
                  <w:vAlign w:val="center"/>
                </w:tcPr>
                <w:p w14:paraId="1F35EA0F">
                  <w:pPr>
                    <w:spacing w:line="36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AOI</w:t>
                  </w:r>
                </w:p>
              </w:tc>
              <w:tc>
                <w:tcPr>
                  <w:tcW w:w="1710" w:type="pct"/>
                  <w:tcBorders>
                    <w:top w:val="single" w:color="auto" w:sz="4" w:space="0"/>
                    <w:left w:val="single" w:color="auto" w:sz="4" w:space="0"/>
                    <w:bottom w:val="single" w:color="auto" w:sz="4" w:space="0"/>
                    <w:right w:val="single" w:color="auto" w:sz="4" w:space="0"/>
                  </w:tcBorders>
                  <w:vAlign w:val="center"/>
                </w:tcPr>
                <w:p w14:paraId="5AFBD748">
                  <w:pPr>
                    <w:spacing w:line="360" w:lineRule="exact"/>
                    <w:jc w:val="center"/>
                    <w:rPr>
                      <w:rFonts w:hint="default" w:ascii="Times New Roman" w:hAnsi="Times New Roman" w:eastAsia="宋体" w:cs="Times New Roman"/>
                      <w:b w:val="0"/>
                      <w:i w:val="0"/>
                      <w:caps w:val="0"/>
                      <w:spacing w:val="0"/>
                      <w:w w:val="100"/>
                      <w:kern w:val="2"/>
                      <w:sz w:val="21"/>
                      <w:szCs w:val="21"/>
                      <w:lang w:val="en-US" w:eastAsia="zh-CN" w:bidi="ar-SA"/>
                    </w:rPr>
                  </w:pPr>
                  <w:r>
                    <w:rPr>
                      <w:rFonts w:hint="eastAsia" w:ascii="Times New Roman" w:hAnsi="Times New Roman" w:eastAsia="宋体" w:cs="Times New Roman"/>
                      <w:b w:val="0"/>
                      <w:i w:val="0"/>
                      <w:caps w:val="0"/>
                      <w:spacing w:val="0"/>
                      <w:w w:val="100"/>
                      <w:kern w:val="2"/>
                      <w:sz w:val="21"/>
                      <w:szCs w:val="21"/>
                      <w:lang w:val="en-US" w:eastAsia="zh-CN" w:bidi="ar-SA"/>
                    </w:rPr>
                    <w:t>7007S</w:t>
                  </w:r>
                  <w:r>
                    <w:rPr>
                      <w:rFonts w:hint="default" w:ascii="Times New Roman" w:hAnsi="Times New Roman" w:eastAsia="宋体" w:cs="Times New Roman"/>
                      <w:b w:val="0"/>
                      <w:i w:val="0"/>
                      <w:caps w:val="0"/>
                      <w:spacing w:val="0"/>
                      <w:w w:val="100"/>
                      <w:kern w:val="2"/>
                      <w:sz w:val="21"/>
                      <w:szCs w:val="21"/>
                      <w:lang w:val="en-US" w:eastAsia="zh-CN" w:bidi="ar-SA"/>
                    </w:rPr>
                    <w:t>Ⅱ</w:t>
                  </w:r>
                </w:p>
              </w:tc>
              <w:tc>
                <w:tcPr>
                  <w:tcW w:w="848" w:type="pct"/>
                  <w:tcBorders>
                    <w:top w:val="single" w:color="auto" w:sz="4" w:space="0"/>
                    <w:left w:val="single" w:color="auto" w:sz="4" w:space="0"/>
                    <w:bottom w:val="single" w:color="auto" w:sz="4" w:space="0"/>
                    <w:right w:val="single" w:color="auto" w:sz="4" w:space="0"/>
                  </w:tcBorders>
                  <w:vAlign w:val="center"/>
                </w:tcPr>
                <w:p w14:paraId="0DF4C89E">
                  <w:pPr>
                    <w:spacing w:line="36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r>
                    <w:rPr>
                      <w:rFonts w:hint="eastAsia" w:ascii="Times New Roman" w:hAnsi="Times New Roman" w:eastAsia="宋体" w:cs="Times New Roman"/>
                      <w:sz w:val="21"/>
                      <w:szCs w:val="21"/>
                      <w:highlight w:val="none"/>
                      <w:lang w:val="en-US" w:eastAsia="zh-CN"/>
                    </w:rPr>
                    <w:t>台</w:t>
                  </w:r>
                </w:p>
              </w:tc>
            </w:tr>
            <w:tr w14:paraId="4886F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90" w:type="pct"/>
                  <w:tcBorders>
                    <w:top w:val="single" w:color="auto" w:sz="4" w:space="0"/>
                    <w:left w:val="single" w:color="auto" w:sz="4" w:space="0"/>
                    <w:bottom w:val="single" w:color="auto" w:sz="4" w:space="0"/>
                    <w:right w:val="single" w:color="auto" w:sz="4" w:space="0"/>
                  </w:tcBorders>
                  <w:vAlign w:val="center"/>
                </w:tcPr>
                <w:p w14:paraId="6BD5210E">
                  <w:pPr>
                    <w:spacing w:line="36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w:t>
                  </w:r>
                </w:p>
              </w:tc>
              <w:tc>
                <w:tcPr>
                  <w:tcW w:w="1750" w:type="pct"/>
                  <w:tcBorders>
                    <w:top w:val="single" w:color="auto" w:sz="4" w:space="0"/>
                    <w:left w:val="single" w:color="auto" w:sz="4" w:space="0"/>
                    <w:bottom w:val="single" w:color="auto" w:sz="4" w:space="0"/>
                    <w:right w:val="single" w:color="auto" w:sz="4" w:space="0"/>
                  </w:tcBorders>
                  <w:vAlign w:val="center"/>
                </w:tcPr>
                <w:p w14:paraId="6F419B78">
                  <w:pPr>
                    <w:spacing w:line="360" w:lineRule="exact"/>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贴片机</w:t>
                  </w:r>
                </w:p>
              </w:tc>
              <w:tc>
                <w:tcPr>
                  <w:tcW w:w="1710" w:type="pct"/>
                  <w:tcBorders>
                    <w:top w:val="single" w:color="auto" w:sz="4" w:space="0"/>
                    <w:left w:val="single" w:color="auto" w:sz="4" w:space="0"/>
                    <w:bottom w:val="single" w:color="auto" w:sz="4" w:space="0"/>
                    <w:right w:val="single" w:color="auto" w:sz="4" w:space="0"/>
                  </w:tcBorders>
                  <w:vAlign w:val="center"/>
                </w:tcPr>
                <w:p w14:paraId="065EF1C5">
                  <w:pPr>
                    <w:spacing w:line="360" w:lineRule="exact"/>
                    <w:jc w:val="center"/>
                    <w:rPr>
                      <w:rFonts w:hint="default" w:ascii="Times New Roman" w:hAnsi="Times New Roman" w:eastAsia="宋体" w:cs="Times New Roman"/>
                      <w:b w:val="0"/>
                      <w:i w:val="0"/>
                      <w:caps w:val="0"/>
                      <w:spacing w:val="0"/>
                      <w:w w:val="100"/>
                      <w:kern w:val="2"/>
                      <w:sz w:val="21"/>
                      <w:szCs w:val="21"/>
                      <w:lang w:val="en-US" w:eastAsia="zh-CN" w:bidi="ar-SA"/>
                    </w:rPr>
                  </w:pPr>
                  <w:r>
                    <w:rPr>
                      <w:rFonts w:hint="eastAsia" w:ascii="Times New Roman" w:hAnsi="Times New Roman" w:eastAsia="宋体" w:cs="Times New Roman"/>
                      <w:b w:val="0"/>
                      <w:i w:val="0"/>
                      <w:caps w:val="0"/>
                      <w:spacing w:val="0"/>
                      <w:w w:val="100"/>
                      <w:kern w:val="2"/>
                      <w:sz w:val="21"/>
                      <w:szCs w:val="21"/>
                      <w:lang w:val="en-US" w:eastAsia="zh-CN" w:bidi="ar-SA"/>
                    </w:rPr>
                    <w:t>NPM-W2/WE</w:t>
                  </w:r>
                </w:p>
              </w:tc>
              <w:tc>
                <w:tcPr>
                  <w:tcW w:w="848" w:type="pct"/>
                  <w:tcBorders>
                    <w:top w:val="single" w:color="auto" w:sz="4" w:space="0"/>
                    <w:left w:val="single" w:color="auto" w:sz="4" w:space="0"/>
                    <w:bottom w:val="single" w:color="auto" w:sz="4" w:space="0"/>
                    <w:right w:val="single" w:color="auto" w:sz="4" w:space="0"/>
                  </w:tcBorders>
                  <w:vAlign w:val="center"/>
                </w:tcPr>
                <w:p w14:paraId="11D77A1C">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w:t>
                  </w:r>
                  <w:r>
                    <w:rPr>
                      <w:rFonts w:hint="eastAsia" w:ascii="Times New Roman" w:hAnsi="Times New Roman" w:eastAsia="宋体" w:cs="Times New Roman"/>
                      <w:sz w:val="21"/>
                      <w:szCs w:val="21"/>
                      <w:highlight w:val="none"/>
                      <w:lang w:val="en-US" w:eastAsia="zh-CN"/>
                    </w:rPr>
                    <w:t>台</w:t>
                  </w:r>
                </w:p>
              </w:tc>
            </w:tr>
            <w:tr w14:paraId="1CEA9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90" w:type="pct"/>
                  <w:tcBorders>
                    <w:top w:val="single" w:color="auto" w:sz="4" w:space="0"/>
                    <w:left w:val="single" w:color="auto" w:sz="4" w:space="0"/>
                    <w:bottom w:val="single" w:color="auto" w:sz="4" w:space="0"/>
                    <w:right w:val="single" w:color="auto" w:sz="4" w:space="0"/>
                  </w:tcBorders>
                  <w:vAlign w:val="center"/>
                </w:tcPr>
                <w:p w14:paraId="3697C007">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w:t>
                  </w:r>
                </w:p>
              </w:tc>
              <w:tc>
                <w:tcPr>
                  <w:tcW w:w="1750" w:type="pct"/>
                  <w:tcBorders>
                    <w:top w:val="single" w:color="auto" w:sz="4" w:space="0"/>
                    <w:left w:val="single" w:color="auto" w:sz="4" w:space="0"/>
                    <w:bottom w:val="single" w:color="auto" w:sz="4" w:space="0"/>
                    <w:right w:val="single" w:color="auto" w:sz="4" w:space="0"/>
                  </w:tcBorders>
                  <w:vAlign w:val="center"/>
                </w:tcPr>
                <w:p w14:paraId="094798A6">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空气回流焊</w:t>
                  </w:r>
                </w:p>
              </w:tc>
              <w:tc>
                <w:tcPr>
                  <w:tcW w:w="1710" w:type="pct"/>
                  <w:tcBorders>
                    <w:top w:val="single" w:color="auto" w:sz="4" w:space="0"/>
                    <w:left w:val="single" w:color="auto" w:sz="4" w:space="0"/>
                    <w:bottom w:val="single" w:color="auto" w:sz="4" w:space="0"/>
                    <w:right w:val="single" w:color="auto" w:sz="4" w:space="0"/>
                  </w:tcBorders>
                  <w:vAlign w:val="center"/>
                </w:tcPr>
                <w:p w14:paraId="2F214A4C">
                  <w:pPr>
                    <w:spacing w:line="360" w:lineRule="exact"/>
                    <w:jc w:val="center"/>
                    <w:rPr>
                      <w:rFonts w:hint="default" w:ascii="Times New Roman" w:hAnsi="Times New Roman" w:eastAsia="宋体" w:cs="Times New Roman"/>
                      <w:b w:val="0"/>
                      <w:i w:val="0"/>
                      <w:caps w:val="0"/>
                      <w:spacing w:val="0"/>
                      <w:w w:val="100"/>
                      <w:kern w:val="2"/>
                      <w:sz w:val="21"/>
                      <w:szCs w:val="21"/>
                      <w:lang w:val="en-US" w:eastAsia="zh-CN" w:bidi="ar-SA"/>
                    </w:rPr>
                  </w:pPr>
                  <w:r>
                    <w:rPr>
                      <w:rFonts w:hint="eastAsia" w:ascii="Times New Roman" w:hAnsi="Times New Roman" w:eastAsia="宋体" w:cs="Times New Roman"/>
                      <w:b w:val="0"/>
                      <w:i w:val="0"/>
                      <w:caps w:val="0"/>
                      <w:spacing w:val="0"/>
                      <w:w w:val="100"/>
                      <w:kern w:val="2"/>
                      <w:sz w:val="21"/>
                      <w:szCs w:val="21"/>
                      <w:lang w:val="en-US" w:eastAsia="zh-CN" w:bidi="ar-SA"/>
                    </w:rPr>
                    <w:t>单轨/10温</w:t>
                  </w:r>
                </w:p>
              </w:tc>
              <w:tc>
                <w:tcPr>
                  <w:tcW w:w="848" w:type="pct"/>
                  <w:tcBorders>
                    <w:top w:val="single" w:color="auto" w:sz="4" w:space="0"/>
                    <w:left w:val="single" w:color="auto" w:sz="4" w:space="0"/>
                    <w:bottom w:val="single" w:color="auto" w:sz="4" w:space="0"/>
                    <w:right w:val="single" w:color="auto" w:sz="4" w:space="0"/>
                  </w:tcBorders>
                  <w:vAlign w:val="center"/>
                </w:tcPr>
                <w:p w14:paraId="364D5CC3">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w:t>
                  </w:r>
                  <w:r>
                    <w:rPr>
                      <w:rFonts w:hint="eastAsia" w:ascii="Times New Roman" w:hAnsi="Times New Roman" w:eastAsia="宋体" w:cs="Times New Roman"/>
                      <w:sz w:val="21"/>
                      <w:szCs w:val="21"/>
                      <w:highlight w:val="none"/>
                      <w:lang w:val="en-US" w:eastAsia="zh-CN"/>
                    </w:rPr>
                    <w:t>台</w:t>
                  </w:r>
                </w:p>
              </w:tc>
            </w:tr>
            <w:tr w14:paraId="29DB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90" w:type="pct"/>
                  <w:tcBorders>
                    <w:top w:val="single" w:color="auto" w:sz="4" w:space="0"/>
                    <w:left w:val="single" w:color="auto" w:sz="4" w:space="0"/>
                    <w:bottom w:val="single" w:color="auto" w:sz="4" w:space="0"/>
                    <w:right w:val="single" w:color="auto" w:sz="4" w:space="0"/>
                  </w:tcBorders>
                  <w:vAlign w:val="center"/>
                </w:tcPr>
                <w:p w14:paraId="11DF5DFA">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8</w:t>
                  </w:r>
                </w:p>
              </w:tc>
              <w:tc>
                <w:tcPr>
                  <w:tcW w:w="1750" w:type="pct"/>
                  <w:tcBorders>
                    <w:top w:val="single" w:color="auto" w:sz="4" w:space="0"/>
                    <w:left w:val="single" w:color="auto" w:sz="4" w:space="0"/>
                    <w:bottom w:val="single" w:color="auto" w:sz="4" w:space="0"/>
                    <w:right w:val="single" w:color="auto" w:sz="4" w:space="0"/>
                  </w:tcBorders>
                  <w:vAlign w:val="center"/>
                </w:tcPr>
                <w:p w14:paraId="5A5E610B">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电烙铁</w:t>
                  </w:r>
                </w:p>
              </w:tc>
              <w:tc>
                <w:tcPr>
                  <w:tcW w:w="1710" w:type="pct"/>
                  <w:tcBorders>
                    <w:top w:val="single" w:color="auto" w:sz="4" w:space="0"/>
                    <w:left w:val="single" w:color="auto" w:sz="4" w:space="0"/>
                    <w:bottom w:val="single" w:color="auto" w:sz="4" w:space="0"/>
                    <w:right w:val="single" w:color="auto" w:sz="4" w:space="0"/>
                  </w:tcBorders>
                  <w:vAlign w:val="center"/>
                </w:tcPr>
                <w:p w14:paraId="391E09D6">
                  <w:pPr>
                    <w:spacing w:line="360" w:lineRule="exact"/>
                    <w:jc w:val="center"/>
                    <w:rPr>
                      <w:rFonts w:hint="default" w:ascii="Times New Roman" w:hAnsi="Times New Roman" w:eastAsia="宋体" w:cs="Times New Roman"/>
                      <w:b w:val="0"/>
                      <w:i w:val="0"/>
                      <w:caps w:val="0"/>
                      <w:spacing w:val="0"/>
                      <w:w w:val="100"/>
                      <w:kern w:val="2"/>
                      <w:sz w:val="21"/>
                      <w:szCs w:val="21"/>
                      <w:lang w:val="en-US" w:eastAsia="zh-CN" w:bidi="ar-SA"/>
                    </w:rPr>
                  </w:pPr>
                  <w:r>
                    <w:rPr>
                      <w:rFonts w:hint="eastAsia" w:ascii="Times New Roman" w:hAnsi="Times New Roman" w:eastAsia="宋体" w:cs="Times New Roman"/>
                      <w:b w:val="0"/>
                      <w:i w:val="0"/>
                      <w:caps w:val="0"/>
                      <w:spacing w:val="0"/>
                      <w:w w:val="100"/>
                      <w:kern w:val="2"/>
                      <w:sz w:val="21"/>
                      <w:szCs w:val="21"/>
                      <w:lang w:val="en-US" w:eastAsia="zh-CN" w:bidi="ar-SA"/>
                    </w:rPr>
                    <w:t>GT-6150P</w:t>
                  </w:r>
                </w:p>
              </w:tc>
              <w:tc>
                <w:tcPr>
                  <w:tcW w:w="848" w:type="pct"/>
                  <w:tcBorders>
                    <w:top w:val="single" w:color="auto" w:sz="4" w:space="0"/>
                    <w:left w:val="single" w:color="auto" w:sz="4" w:space="0"/>
                    <w:bottom w:val="single" w:color="auto" w:sz="4" w:space="0"/>
                    <w:right w:val="single" w:color="auto" w:sz="4" w:space="0"/>
                  </w:tcBorders>
                  <w:vAlign w:val="center"/>
                </w:tcPr>
                <w:p w14:paraId="1E74B020">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4台</w:t>
                  </w:r>
                </w:p>
              </w:tc>
            </w:tr>
            <w:tr w14:paraId="1959D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90" w:type="pct"/>
                  <w:tcBorders>
                    <w:top w:val="single" w:color="auto" w:sz="4" w:space="0"/>
                    <w:left w:val="single" w:color="auto" w:sz="4" w:space="0"/>
                    <w:bottom w:val="single" w:color="auto" w:sz="4" w:space="0"/>
                    <w:right w:val="single" w:color="auto" w:sz="4" w:space="0"/>
                  </w:tcBorders>
                  <w:vAlign w:val="center"/>
                </w:tcPr>
                <w:p w14:paraId="57D21538">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9</w:t>
                  </w:r>
                </w:p>
              </w:tc>
              <w:tc>
                <w:tcPr>
                  <w:tcW w:w="1750" w:type="pct"/>
                  <w:tcBorders>
                    <w:top w:val="single" w:color="auto" w:sz="4" w:space="0"/>
                    <w:left w:val="single" w:color="auto" w:sz="4" w:space="0"/>
                    <w:bottom w:val="single" w:color="auto" w:sz="4" w:space="0"/>
                    <w:right w:val="single" w:color="auto" w:sz="4" w:space="0"/>
                  </w:tcBorders>
                  <w:vAlign w:val="center"/>
                </w:tcPr>
                <w:p w14:paraId="727D1BF9">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示波器</w:t>
                  </w:r>
                </w:p>
              </w:tc>
              <w:tc>
                <w:tcPr>
                  <w:tcW w:w="1710" w:type="pct"/>
                  <w:tcBorders>
                    <w:top w:val="single" w:color="auto" w:sz="4" w:space="0"/>
                    <w:left w:val="single" w:color="auto" w:sz="4" w:space="0"/>
                    <w:bottom w:val="single" w:color="auto" w:sz="4" w:space="0"/>
                    <w:right w:val="single" w:color="auto" w:sz="4" w:space="0"/>
                  </w:tcBorders>
                  <w:vAlign w:val="center"/>
                </w:tcPr>
                <w:p w14:paraId="5896835F">
                  <w:pPr>
                    <w:spacing w:line="360" w:lineRule="exact"/>
                    <w:jc w:val="center"/>
                    <w:rPr>
                      <w:rFonts w:hint="default" w:ascii="Times New Roman" w:hAnsi="Times New Roman" w:eastAsia="宋体" w:cs="Times New Roman"/>
                      <w:b w:val="0"/>
                      <w:i w:val="0"/>
                      <w:caps w:val="0"/>
                      <w:spacing w:val="0"/>
                      <w:w w:val="100"/>
                      <w:kern w:val="2"/>
                      <w:sz w:val="21"/>
                      <w:szCs w:val="21"/>
                      <w:lang w:val="en-US" w:eastAsia="zh-CN" w:bidi="ar-SA"/>
                    </w:rPr>
                  </w:pPr>
                  <w:r>
                    <w:rPr>
                      <w:rFonts w:hint="eastAsia" w:ascii="Times New Roman" w:hAnsi="Times New Roman" w:eastAsia="宋体" w:cs="Times New Roman"/>
                      <w:b w:val="0"/>
                      <w:i w:val="0"/>
                      <w:caps w:val="0"/>
                      <w:spacing w:val="0"/>
                      <w:w w:val="100"/>
                      <w:kern w:val="2"/>
                      <w:sz w:val="21"/>
                      <w:szCs w:val="21"/>
                      <w:lang w:val="en-US" w:eastAsia="zh-CN" w:bidi="ar-SA"/>
                    </w:rPr>
                    <w:t>ZLG ZDS3024</w:t>
                  </w:r>
                </w:p>
              </w:tc>
              <w:tc>
                <w:tcPr>
                  <w:tcW w:w="848" w:type="pct"/>
                  <w:tcBorders>
                    <w:top w:val="single" w:color="auto" w:sz="4" w:space="0"/>
                    <w:left w:val="single" w:color="auto" w:sz="4" w:space="0"/>
                    <w:bottom w:val="single" w:color="auto" w:sz="4" w:space="0"/>
                    <w:right w:val="single" w:color="auto" w:sz="4" w:space="0"/>
                  </w:tcBorders>
                  <w:vAlign w:val="center"/>
                </w:tcPr>
                <w:p w14:paraId="30478681">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1台</w:t>
                  </w:r>
                </w:p>
              </w:tc>
            </w:tr>
            <w:tr w14:paraId="3CFDD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90" w:type="pct"/>
                  <w:tcBorders>
                    <w:top w:val="single" w:color="auto" w:sz="4" w:space="0"/>
                    <w:left w:val="single" w:color="auto" w:sz="4" w:space="0"/>
                    <w:bottom w:val="single" w:color="auto" w:sz="4" w:space="0"/>
                    <w:right w:val="single" w:color="auto" w:sz="4" w:space="0"/>
                  </w:tcBorders>
                  <w:vAlign w:val="center"/>
                </w:tcPr>
                <w:p w14:paraId="78C3108D">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10</w:t>
                  </w:r>
                </w:p>
              </w:tc>
              <w:tc>
                <w:tcPr>
                  <w:tcW w:w="1750" w:type="pct"/>
                  <w:tcBorders>
                    <w:top w:val="single" w:color="auto" w:sz="4" w:space="0"/>
                    <w:left w:val="single" w:color="auto" w:sz="4" w:space="0"/>
                    <w:bottom w:val="single" w:color="auto" w:sz="4" w:space="0"/>
                    <w:right w:val="single" w:color="auto" w:sz="4" w:space="0"/>
                  </w:tcBorders>
                  <w:vAlign w:val="center"/>
                </w:tcPr>
                <w:p w14:paraId="3B9EE4B7">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电脑</w:t>
                  </w:r>
                </w:p>
              </w:tc>
              <w:tc>
                <w:tcPr>
                  <w:tcW w:w="1710" w:type="pct"/>
                  <w:tcBorders>
                    <w:top w:val="single" w:color="auto" w:sz="4" w:space="0"/>
                    <w:left w:val="single" w:color="auto" w:sz="4" w:space="0"/>
                    <w:bottom w:val="single" w:color="auto" w:sz="4" w:space="0"/>
                    <w:right w:val="single" w:color="auto" w:sz="4" w:space="0"/>
                  </w:tcBorders>
                  <w:vAlign w:val="center"/>
                </w:tcPr>
                <w:p w14:paraId="2C04F53A">
                  <w:pPr>
                    <w:spacing w:line="360" w:lineRule="exact"/>
                    <w:jc w:val="center"/>
                    <w:rPr>
                      <w:rFonts w:hint="default" w:ascii="Times New Roman" w:hAnsi="Times New Roman" w:eastAsia="宋体" w:cs="Times New Roman"/>
                      <w:b w:val="0"/>
                      <w:i w:val="0"/>
                      <w:caps w:val="0"/>
                      <w:spacing w:val="0"/>
                      <w:w w:val="100"/>
                      <w:kern w:val="2"/>
                      <w:sz w:val="21"/>
                      <w:szCs w:val="21"/>
                      <w:lang w:val="en-US" w:eastAsia="zh-CN" w:bidi="ar-SA"/>
                    </w:rPr>
                  </w:pPr>
                  <w:r>
                    <w:rPr>
                      <w:rFonts w:hint="eastAsia" w:ascii="Times New Roman" w:hAnsi="Times New Roman" w:eastAsia="宋体" w:cs="Times New Roman"/>
                      <w:b w:val="0"/>
                      <w:i w:val="0"/>
                      <w:caps w:val="0"/>
                      <w:spacing w:val="0"/>
                      <w:w w:val="100"/>
                      <w:kern w:val="2"/>
                      <w:sz w:val="21"/>
                      <w:szCs w:val="21"/>
                      <w:lang w:val="en-US" w:eastAsia="zh-CN" w:bidi="ar-SA"/>
                    </w:rPr>
                    <w:t>/</w:t>
                  </w:r>
                </w:p>
              </w:tc>
              <w:tc>
                <w:tcPr>
                  <w:tcW w:w="848" w:type="pct"/>
                  <w:tcBorders>
                    <w:top w:val="single" w:color="auto" w:sz="4" w:space="0"/>
                    <w:left w:val="single" w:color="auto" w:sz="4" w:space="0"/>
                    <w:bottom w:val="single" w:color="auto" w:sz="4" w:space="0"/>
                    <w:right w:val="single" w:color="auto" w:sz="4" w:space="0"/>
                  </w:tcBorders>
                  <w:vAlign w:val="center"/>
                </w:tcPr>
                <w:p w14:paraId="72829EFD">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4台</w:t>
                  </w:r>
                </w:p>
              </w:tc>
            </w:tr>
            <w:tr w14:paraId="5D0EF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90" w:type="pct"/>
                  <w:tcBorders>
                    <w:top w:val="single" w:color="auto" w:sz="4" w:space="0"/>
                    <w:left w:val="single" w:color="auto" w:sz="4" w:space="0"/>
                    <w:bottom w:val="single" w:color="auto" w:sz="4" w:space="0"/>
                    <w:right w:val="single" w:color="auto" w:sz="4" w:space="0"/>
                  </w:tcBorders>
                  <w:vAlign w:val="center"/>
                </w:tcPr>
                <w:p w14:paraId="4F3208E1">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11</w:t>
                  </w:r>
                </w:p>
              </w:tc>
              <w:tc>
                <w:tcPr>
                  <w:tcW w:w="1750" w:type="pct"/>
                  <w:tcBorders>
                    <w:top w:val="single" w:color="auto" w:sz="4" w:space="0"/>
                    <w:left w:val="single" w:color="auto" w:sz="4" w:space="0"/>
                    <w:bottom w:val="single" w:color="auto" w:sz="4" w:space="0"/>
                    <w:right w:val="single" w:color="auto" w:sz="4" w:space="0"/>
                  </w:tcBorders>
                  <w:vAlign w:val="center"/>
                </w:tcPr>
                <w:p w14:paraId="0D1D151A">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万用表</w:t>
                  </w:r>
                </w:p>
              </w:tc>
              <w:tc>
                <w:tcPr>
                  <w:tcW w:w="1710" w:type="pct"/>
                  <w:tcBorders>
                    <w:top w:val="single" w:color="auto" w:sz="4" w:space="0"/>
                    <w:left w:val="single" w:color="auto" w:sz="4" w:space="0"/>
                    <w:bottom w:val="single" w:color="auto" w:sz="4" w:space="0"/>
                    <w:right w:val="single" w:color="auto" w:sz="4" w:space="0"/>
                  </w:tcBorders>
                  <w:vAlign w:val="center"/>
                </w:tcPr>
                <w:p w14:paraId="1BE9ECF5">
                  <w:pPr>
                    <w:spacing w:line="360" w:lineRule="exact"/>
                    <w:jc w:val="center"/>
                    <w:rPr>
                      <w:rFonts w:hint="default" w:ascii="Times New Roman" w:hAnsi="Times New Roman" w:eastAsia="宋体" w:cs="Times New Roman"/>
                      <w:b w:val="0"/>
                      <w:i w:val="0"/>
                      <w:caps w:val="0"/>
                      <w:spacing w:val="0"/>
                      <w:w w:val="100"/>
                      <w:kern w:val="2"/>
                      <w:sz w:val="21"/>
                      <w:szCs w:val="21"/>
                      <w:lang w:val="en-US" w:eastAsia="zh-CN" w:bidi="ar-SA"/>
                    </w:rPr>
                  </w:pPr>
                  <w:r>
                    <w:rPr>
                      <w:rFonts w:hint="eastAsia" w:ascii="Times New Roman" w:hAnsi="Times New Roman" w:eastAsia="宋体" w:cs="Times New Roman"/>
                      <w:b w:val="0"/>
                      <w:i w:val="0"/>
                      <w:caps w:val="0"/>
                      <w:spacing w:val="0"/>
                      <w:w w:val="100"/>
                      <w:kern w:val="2"/>
                      <w:sz w:val="21"/>
                      <w:szCs w:val="21"/>
                      <w:lang w:val="en-US" w:eastAsia="zh-CN" w:bidi="ar-SA"/>
                    </w:rPr>
                    <w:t>F15B+</w:t>
                  </w:r>
                </w:p>
              </w:tc>
              <w:tc>
                <w:tcPr>
                  <w:tcW w:w="848" w:type="pct"/>
                  <w:tcBorders>
                    <w:top w:val="single" w:color="auto" w:sz="4" w:space="0"/>
                    <w:left w:val="single" w:color="auto" w:sz="4" w:space="0"/>
                    <w:bottom w:val="single" w:color="auto" w:sz="4" w:space="0"/>
                    <w:right w:val="single" w:color="auto" w:sz="4" w:space="0"/>
                  </w:tcBorders>
                  <w:vAlign w:val="center"/>
                </w:tcPr>
                <w:p w14:paraId="720D6232">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1台</w:t>
                  </w:r>
                </w:p>
              </w:tc>
            </w:tr>
            <w:tr w14:paraId="18EDD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90" w:type="pct"/>
                  <w:tcBorders>
                    <w:top w:val="single" w:color="auto" w:sz="4" w:space="0"/>
                    <w:left w:val="single" w:color="auto" w:sz="4" w:space="0"/>
                    <w:bottom w:val="single" w:color="auto" w:sz="4" w:space="0"/>
                    <w:right w:val="single" w:color="auto" w:sz="4" w:space="0"/>
                  </w:tcBorders>
                  <w:vAlign w:val="center"/>
                </w:tcPr>
                <w:p w14:paraId="50E953D4">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12</w:t>
                  </w:r>
                </w:p>
              </w:tc>
              <w:tc>
                <w:tcPr>
                  <w:tcW w:w="1750" w:type="pct"/>
                  <w:tcBorders>
                    <w:top w:val="single" w:color="auto" w:sz="4" w:space="0"/>
                    <w:left w:val="single" w:color="auto" w:sz="4" w:space="0"/>
                    <w:bottom w:val="single" w:color="auto" w:sz="4" w:space="0"/>
                    <w:right w:val="single" w:color="auto" w:sz="4" w:space="0"/>
                  </w:tcBorders>
                  <w:vAlign w:val="center"/>
                </w:tcPr>
                <w:p w14:paraId="54E7C4C8">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电阻测试箱</w:t>
                  </w:r>
                </w:p>
              </w:tc>
              <w:tc>
                <w:tcPr>
                  <w:tcW w:w="1710" w:type="pct"/>
                  <w:tcBorders>
                    <w:top w:val="single" w:color="auto" w:sz="4" w:space="0"/>
                    <w:left w:val="single" w:color="auto" w:sz="4" w:space="0"/>
                    <w:bottom w:val="single" w:color="auto" w:sz="4" w:space="0"/>
                    <w:right w:val="single" w:color="auto" w:sz="4" w:space="0"/>
                  </w:tcBorders>
                  <w:vAlign w:val="center"/>
                </w:tcPr>
                <w:p w14:paraId="33E29B58">
                  <w:pPr>
                    <w:spacing w:line="360" w:lineRule="exact"/>
                    <w:jc w:val="center"/>
                    <w:rPr>
                      <w:rFonts w:hint="default" w:ascii="Times New Roman" w:hAnsi="Times New Roman" w:eastAsia="宋体" w:cs="Times New Roman"/>
                      <w:b w:val="0"/>
                      <w:i w:val="0"/>
                      <w:caps w:val="0"/>
                      <w:spacing w:val="0"/>
                      <w:w w:val="100"/>
                      <w:kern w:val="2"/>
                      <w:sz w:val="21"/>
                      <w:szCs w:val="21"/>
                      <w:lang w:val="en-US" w:eastAsia="zh-CN" w:bidi="ar-SA"/>
                    </w:rPr>
                  </w:pPr>
                  <w:r>
                    <w:rPr>
                      <w:rFonts w:hint="eastAsia" w:ascii="Times New Roman" w:hAnsi="Times New Roman" w:eastAsia="宋体" w:cs="Times New Roman"/>
                      <w:b w:val="0"/>
                      <w:i w:val="0"/>
                      <w:caps w:val="0"/>
                      <w:spacing w:val="0"/>
                      <w:w w:val="100"/>
                      <w:kern w:val="2"/>
                      <w:sz w:val="21"/>
                      <w:szCs w:val="21"/>
                      <w:lang w:val="en-US" w:eastAsia="zh-CN" w:bidi="ar-SA"/>
                    </w:rPr>
                    <w:t>VC385+</w:t>
                  </w:r>
                </w:p>
              </w:tc>
              <w:tc>
                <w:tcPr>
                  <w:tcW w:w="848" w:type="pct"/>
                  <w:tcBorders>
                    <w:top w:val="single" w:color="auto" w:sz="4" w:space="0"/>
                    <w:left w:val="single" w:color="auto" w:sz="4" w:space="0"/>
                    <w:bottom w:val="single" w:color="auto" w:sz="4" w:space="0"/>
                    <w:right w:val="single" w:color="auto" w:sz="4" w:space="0"/>
                  </w:tcBorders>
                  <w:vAlign w:val="center"/>
                </w:tcPr>
                <w:p w14:paraId="36106701">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1台</w:t>
                  </w:r>
                </w:p>
              </w:tc>
            </w:tr>
            <w:tr w14:paraId="19AC8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90" w:type="pct"/>
                  <w:tcBorders>
                    <w:top w:val="single" w:color="auto" w:sz="4" w:space="0"/>
                    <w:left w:val="single" w:color="auto" w:sz="4" w:space="0"/>
                    <w:bottom w:val="single" w:color="auto" w:sz="4" w:space="0"/>
                    <w:right w:val="single" w:color="auto" w:sz="4" w:space="0"/>
                  </w:tcBorders>
                  <w:vAlign w:val="center"/>
                </w:tcPr>
                <w:p w14:paraId="49C8CA4E">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w:t>
                  </w:r>
                </w:p>
              </w:tc>
              <w:tc>
                <w:tcPr>
                  <w:tcW w:w="1750" w:type="pct"/>
                  <w:tcBorders>
                    <w:top w:val="single" w:color="auto" w:sz="4" w:space="0"/>
                    <w:left w:val="single" w:color="auto" w:sz="4" w:space="0"/>
                    <w:bottom w:val="single" w:color="auto" w:sz="4" w:space="0"/>
                    <w:right w:val="single" w:color="auto" w:sz="4" w:space="0"/>
                  </w:tcBorders>
                  <w:shd w:val="clear" w:color="auto" w:fill="auto"/>
                  <w:vAlign w:val="center"/>
                </w:tcPr>
                <w:p w14:paraId="35408A17">
                  <w:pPr>
                    <w:spacing w:line="36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试验箱</w:t>
                  </w: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14:paraId="79DA96BA">
                  <w:pPr>
                    <w:spacing w:line="360" w:lineRule="exact"/>
                    <w:jc w:val="center"/>
                    <w:rPr>
                      <w:rFonts w:hint="default" w:ascii="Times New Roman" w:hAnsi="Times New Roman" w:eastAsia="宋体" w:cs="Times New Roman"/>
                      <w:b w:val="0"/>
                      <w:i w:val="0"/>
                      <w:caps w:val="0"/>
                      <w:spacing w:val="0"/>
                      <w:w w:val="100"/>
                      <w:kern w:val="2"/>
                      <w:sz w:val="21"/>
                      <w:szCs w:val="21"/>
                      <w:lang w:val="en-US" w:eastAsia="zh-CN" w:bidi="ar-SA"/>
                    </w:rPr>
                  </w:pPr>
                  <w:r>
                    <w:rPr>
                      <w:rFonts w:hint="eastAsia" w:ascii="Times New Roman" w:hAnsi="Times New Roman" w:eastAsia="宋体" w:cs="Times New Roman"/>
                      <w:b w:val="0"/>
                      <w:i w:val="0"/>
                      <w:caps w:val="0"/>
                      <w:spacing w:val="0"/>
                      <w:w w:val="100"/>
                      <w:kern w:val="2"/>
                      <w:sz w:val="21"/>
                      <w:szCs w:val="21"/>
                      <w:lang w:val="en-US" w:eastAsia="zh-CN" w:bidi="ar-SA"/>
                    </w:rPr>
                    <w:t>/</w:t>
                  </w: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27481A96">
                  <w:pPr>
                    <w:spacing w:line="36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1台</w:t>
                  </w:r>
                </w:p>
              </w:tc>
            </w:tr>
            <w:tr w14:paraId="3C7DF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90" w:type="pct"/>
                  <w:tcBorders>
                    <w:top w:val="single" w:color="auto" w:sz="4" w:space="0"/>
                    <w:left w:val="single" w:color="auto" w:sz="4" w:space="0"/>
                    <w:bottom w:val="single" w:color="auto" w:sz="4" w:space="0"/>
                    <w:right w:val="single" w:color="auto" w:sz="4" w:space="0"/>
                  </w:tcBorders>
                  <w:vAlign w:val="center"/>
                </w:tcPr>
                <w:p w14:paraId="318E2962">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14</w:t>
                  </w:r>
                </w:p>
              </w:tc>
              <w:tc>
                <w:tcPr>
                  <w:tcW w:w="1750" w:type="pct"/>
                  <w:tcBorders>
                    <w:top w:val="single" w:color="auto" w:sz="4" w:space="0"/>
                    <w:left w:val="single" w:color="auto" w:sz="4" w:space="0"/>
                    <w:bottom w:val="single" w:color="auto" w:sz="4" w:space="0"/>
                    <w:right w:val="single" w:color="auto" w:sz="4" w:space="0"/>
                  </w:tcBorders>
                  <w:shd w:val="clear" w:color="auto" w:fill="auto"/>
                  <w:vAlign w:val="center"/>
                </w:tcPr>
                <w:p w14:paraId="37D1054F">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空压机</w:t>
                  </w: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14:paraId="0EEF38A7">
                  <w:pPr>
                    <w:spacing w:line="360" w:lineRule="exact"/>
                    <w:jc w:val="center"/>
                    <w:rPr>
                      <w:rFonts w:hint="default" w:ascii="Times New Roman" w:hAnsi="Times New Roman" w:eastAsia="宋体" w:cs="Times New Roman"/>
                      <w:b w:val="0"/>
                      <w:i w:val="0"/>
                      <w:caps w:val="0"/>
                      <w:spacing w:val="0"/>
                      <w:w w:val="100"/>
                      <w:kern w:val="2"/>
                      <w:sz w:val="21"/>
                      <w:szCs w:val="21"/>
                      <w:lang w:val="en-US" w:eastAsia="zh-CN" w:bidi="ar-SA"/>
                    </w:rPr>
                  </w:pPr>
                  <w:r>
                    <w:rPr>
                      <w:rFonts w:hint="eastAsia" w:ascii="Times New Roman" w:hAnsi="Times New Roman" w:eastAsia="宋体" w:cs="Times New Roman"/>
                      <w:b w:val="0"/>
                      <w:i w:val="0"/>
                      <w:caps w:val="0"/>
                      <w:spacing w:val="0"/>
                      <w:w w:val="100"/>
                      <w:kern w:val="2"/>
                      <w:sz w:val="21"/>
                      <w:szCs w:val="21"/>
                      <w:lang w:val="en-US" w:eastAsia="zh-CN" w:bidi="ar-SA"/>
                    </w:rPr>
                    <w:t>/</w:t>
                  </w: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49CC02D2">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1台</w:t>
                  </w:r>
                </w:p>
              </w:tc>
            </w:tr>
            <w:tr w14:paraId="1437A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90" w:type="pct"/>
                  <w:tcBorders>
                    <w:top w:val="single" w:color="auto" w:sz="4" w:space="0"/>
                    <w:left w:val="single" w:color="auto" w:sz="4" w:space="0"/>
                    <w:bottom w:val="single" w:color="auto" w:sz="4" w:space="0"/>
                    <w:right w:val="single" w:color="auto" w:sz="4" w:space="0"/>
                  </w:tcBorders>
                  <w:vAlign w:val="center"/>
                </w:tcPr>
                <w:p w14:paraId="3F05B27D">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15</w:t>
                  </w:r>
                </w:p>
              </w:tc>
              <w:tc>
                <w:tcPr>
                  <w:tcW w:w="1750" w:type="pct"/>
                  <w:tcBorders>
                    <w:top w:val="single" w:color="auto" w:sz="4" w:space="0"/>
                    <w:left w:val="single" w:color="auto" w:sz="4" w:space="0"/>
                    <w:bottom w:val="single" w:color="auto" w:sz="4" w:space="0"/>
                    <w:right w:val="single" w:color="auto" w:sz="4" w:space="0"/>
                  </w:tcBorders>
                  <w:shd w:val="clear" w:color="auto" w:fill="auto"/>
                  <w:vAlign w:val="center"/>
                </w:tcPr>
                <w:p w14:paraId="55AF48AC">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液氮罐</w:t>
                  </w:r>
                </w:p>
              </w:tc>
              <w:tc>
                <w:tcPr>
                  <w:tcW w:w="1710" w:type="pct"/>
                  <w:tcBorders>
                    <w:top w:val="single" w:color="auto" w:sz="4" w:space="0"/>
                    <w:left w:val="single" w:color="auto" w:sz="4" w:space="0"/>
                    <w:bottom w:val="single" w:color="auto" w:sz="4" w:space="0"/>
                    <w:right w:val="single" w:color="auto" w:sz="4" w:space="0"/>
                  </w:tcBorders>
                  <w:shd w:val="clear" w:color="auto" w:fill="auto"/>
                  <w:vAlign w:val="center"/>
                </w:tcPr>
                <w:p w14:paraId="2F9BB281">
                  <w:pPr>
                    <w:spacing w:line="360" w:lineRule="exact"/>
                    <w:jc w:val="center"/>
                    <w:rPr>
                      <w:rFonts w:hint="default" w:ascii="Times New Roman" w:hAnsi="Times New Roman" w:eastAsia="宋体" w:cs="Times New Roman"/>
                      <w:b w:val="0"/>
                      <w:i w:val="0"/>
                      <w:caps w:val="0"/>
                      <w:spacing w:val="0"/>
                      <w:w w:val="100"/>
                      <w:kern w:val="2"/>
                      <w:sz w:val="21"/>
                      <w:szCs w:val="21"/>
                      <w:lang w:val="en-US" w:eastAsia="zh-CN" w:bidi="ar-SA"/>
                    </w:rPr>
                  </w:pPr>
                  <w:r>
                    <w:rPr>
                      <w:rFonts w:hint="eastAsia" w:ascii="Times New Roman" w:hAnsi="Times New Roman" w:eastAsia="宋体" w:cs="Times New Roman"/>
                      <w:b w:val="0"/>
                      <w:i w:val="0"/>
                      <w:caps w:val="0"/>
                      <w:spacing w:val="0"/>
                      <w:w w:val="100"/>
                      <w:kern w:val="2"/>
                      <w:sz w:val="21"/>
                      <w:szCs w:val="21"/>
                      <w:lang w:val="en-US" w:eastAsia="zh-CN" w:bidi="ar-SA"/>
                    </w:rPr>
                    <w:t>/</w:t>
                  </w: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06AB8A4F">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1台</w:t>
                  </w:r>
                </w:p>
              </w:tc>
            </w:tr>
          </w:tbl>
          <w:p w14:paraId="70ED0D1C">
            <w:pPr>
              <w:pStyle w:val="28"/>
              <w:keepNext w:val="0"/>
              <w:keepLines w:val="0"/>
              <w:pageBreakBefore w:val="0"/>
              <w:widowControl w:val="0"/>
              <w:numPr>
                <w:ilvl w:val="0"/>
                <w:numId w:val="0"/>
              </w:numPr>
              <w:kinsoku/>
              <w:wordWrap/>
              <w:overflowPunct/>
              <w:topLinePunct w:val="0"/>
              <w:bidi w:val="0"/>
              <w:snapToGrid/>
              <w:spacing w:line="360" w:lineRule="auto"/>
              <w:jc w:val="both"/>
              <w:rPr>
                <w:rFonts w:hint="default" w:ascii="Times New Roman" w:hAnsi="Times New Roman" w:cs="Times New Roman"/>
                <w:b/>
                <w:bCs w:val="0"/>
                <w:sz w:val="24"/>
                <w:lang w:val="en-US" w:eastAsia="zh-CN"/>
              </w:rPr>
            </w:pPr>
            <w:r>
              <w:rPr>
                <w:rFonts w:hint="eastAsia" w:ascii="Times New Roman" w:hAnsi="Times New Roman" w:cs="Times New Roman"/>
                <w:b/>
                <w:bCs w:val="0"/>
                <w:sz w:val="24"/>
                <w:lang w:val="en-US" w:eastAsia="zh-CN"/>
              </w:rPr>
              <w:t>5、</w:t>
            </w:r>
            <w:r>
              <w:rPr>
                <w:rFonts w:hint="default" w:ascii="Times New Roman" w:hAnsi="Times New Roman" w:cs="Times New Roman"/>
                <w:b/>
                <w:bCs w:val="0"/>
                <w:sz w:val="24"/>
              </w:rPr>
              <w:t>主要</w:t>
            </w:r>
            <w:r>
              <w:rPr>
                <w:rFonts w:hint="default" w:ascii="Times New Roman" w:hAnsi="Times New Roman" w:cs="Times New Roman"/>
                <w:b/>
                <w:bCs w:val="0"/>
                <w:sz w:val="24"/>
                <w:lang w:val="en-US" w:eastAsia="zh-CN"/>
              </w:rPr>
              <w:t>原辅材料</w:t>
            </w:r>
          </w:p>
          <w:p w14:paraId="51442936">
            <w:pPr>
              <w:pStyle w:val="28"/>
              <w:keepNext w:val="0"/>
              <w:keepLines w:val="0"/>
              <w:pageBreakBefore w:val="0"/>
              <w:widowControl w:val="0"/>
              <w:numPr>
                <w:ilvl w:val="0"/>
                <w:numId w:val="0"/>
              </w:numPr>
              <w:kinsoku/>
              <w:wordWrap/>
              <w:overflowPunct/>
              <w:topLinePunct w:val="0"/>
              <w:bidi w:val="0"/>
              <w:snapToGrid/>
              <w:spacing w:line="360" w:lineRule="auto"/>
              <w:ind w:firstLine="480" w:firstLineChars="200"/>
              <w:jc w:val="both"/>
              <w:rPr>
                <w:rFonts w:hint="default" w:ascii="Times New Roman" w:hAnsi="Times New Roman" w:eastAsia="宋体" w:cs="Times New Roman"/>
                <w:b/>
                <w:bCs/>
                <w:sz w:val="24"/>
                <w:lang w:val="en-US" w:eastAsia="zh-CN"/>
              </w:rPr>
            </w:pPr>
            <w:r>
              <w:rPr>
                <w:rFonts w:hint="eastAsia" w:ascii="Times New Roman" w:hAnsi="Times New Roman" w:cs="Times New Roman"/>
                <w:b w:val="0"/>
                <w:bCs/>
                <w:sz w:val="24"/>
                <w:lang w:val="en-US" w:eastAsia="zh-CN"/>
              </w:rPr>
              <w:t>项目</w:t>
            </w:r>
            <w:r>
              <w:rPr>
                <w:rFonts w:hint="default" w:ascii="Times New Roman" w:hAnsi="Times New Roman" w:cs="Times New Roman"/>
                <w:b w:val="0"/>
                <w:bCs/>
                <w:sz w:val="24"/>
              </w:rPr>
              <w:t>主要原辅材料及能源消耗详见表</w:t>
            </w:r>
            <w:r>
              <w:rPr>
                <w:rFonts w:hint="eastAsia" w:ascii="Times New Roman" w:hAnsi="Times New Roman" w:cs="Times New Roman"/>
                <w:b w:val="0"/>
                <w:bCs/>
                <w:sz w:val="24"/>
                <w:lang w:val="en-US" w:eastAsia="zh-CN"/>
              </w:rPr>
              <w:t>2-6</w:t>
            </w:r>
            <w:r>
              <w:rPr>
                <w:rFonts w:hint="default" w:ascii="Times New Roman" w:hAnsi="Times New Roman" w:cs="Times New Roman"/>
                <w:b w:val="0"/>
                <w:bCs/>
                <w:sz w:val="24"/>
                <w:lang w:val="en-US" w:eastAsia="zh-CN"/>
              </w:rPr>
              <w:t>。</w:t>
            </w:r>
          </w:p>
          <w:p w14:paraId="2188E20C">
            <w:pPr>
              <w:pStyle w:val="7"/>
              <w:keepNext w:val="0"/>
              <w:keepLines w:val="0"/>
              <w:pageBreakBefore w:val="0"/>
              <w:widowControl w:val="0"/>
              <w:kinsoku/>
              <w:wordWrap/>
              <w:overflowPunct/>
              <w:topLinePunct w:val="0"/>
              <w:bidi w:val="0"/>
              <w:snapToGrid/>
              <w:spacing w:line="360" w:lineRule="auto"/>
              <w:jc w:val="center"/>
              <w:rPr>
                <w:rFonts w:hint="default" w:ascii="Times New Roman" w:hAnsi="Times New Roman" w:cs="Times New Roman"/>
                <w:bCs/>
                <w:sz w:val="24"/>
              </w:rPr>
            </w:pPr>
            <w:r>
              <w:rPr>
                <w:rFonts w:hint="default" w:ascii="Times New Roman" w:hAnsi="Times New Roman" w:cs="Times New Roman"/>
                <w:sz w:val="21"/>
                <w:szCs w:val="21"/>
              </w:rPr>
              <w:t>表</w:t>
            </w:r>
            <w:r>
              <w:rPr>
                <w:rFonts w:hint="eastAsia" w:ascii="Times New Roman" w:hAnsi="Times New Roman" w:cs="Times New Roman"/>
                <w:sz w:val="21"/>
                <w:szCs w:val="21"/>
                <w:lang w:val="en-US" w:eastAsia="zh-CN"/>
              </w:rPr>
              <w:t>2-6</w:t>
            </w:r>
            <w:r>
              <w:rPr>
                <w:rFonts w:hint="default" w:ascii="Times New Roman" w:hAnsi="Times New Roman" w:cs="Times New Roman"/>
                <w:sz w:val="21"/>
                <w:szCs w:val="21"/>
              </w:rPr>
              <w:t xml:space="preserve"> 项目</w:t>
            </w:r>
            <w:r>
              <w:rPr>
                <w:rFonts w:hint="default" w:ascii="Times New Roman" w:hAnsi="Times New Roman" w:cs="Times New Roman"/>
                <w:sz w:val="21"/>
                <w:szCs w:val="21"/>
                <w:lang w:val="en-US" w:eastAsia="zh-CN"/>
              </w:rPr>
              <w:t>主要原辅材料及能源消耗一览表</w:t>
            </w:r>
          </w:p>
          <w:tbl>
            <w:tblPr>
              <w:tblStyle w:val="2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
              <w:gridCol w:w="1217"/>
              <w:gridCol w:w="1453"/>
              <w:gridCol w:w="1538"/>
              <w:gridCol w:w="1522"/>
              <w:gridCol w:w="1854"/>
            </w:tblGrid>
            <w:tr w14:paraId="760BB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345" w:type="pct"/>
                  <w:tcBorders>
                    <w:top w:val="single" w:color="auto" w:sz="4" w:space="0"/>
                    <w:left w:val="single" w:color="auto" w:sz="4" w:space="0"/>
                    <w:bottom w:val="single" w:color="auto" w:sz="4" w:space="0"/>
                    <w:right w:val="single" w:color="auto" w:sz="4" w:space="0"/>
                  </w:tcBorders>
                  <w:vAlign w:val="center"/>
                </w:tcPr>
                <w:p w14:paraId="5FD26A8D">
                  <w:pPr>
                    <w:spacing w:line="360" w:lineRule="exact"/>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序号</w:t>
                  </w:r>
                </w:p>
              </w:tc>
              <w:tc>
                <w:tcPr>
                  <w:tcW w:w="746" w:type="pct"/>
                  <w:tcBorders>
                    <w:top w:val="single" w:color="auto" w:sz="4" w:space="0"/>
                    <w:left w:val="single" w:color="auto" w:sz="4" w:space="0"/>
                    <w:bottom w:val="single" w:color="auto" w:sz="4" w:space="0"/>
                    <w:right w:val="single" w:color="auto" w:sz="4" w:space="0"/>
                  </w:tcBorders>
                  <w:vAlign w:val="center"/>
                </w:tcPr>
                <w:p w14:paraId="75435DB5">
                  <w:pPr>
                    <w:spacing w:line="360" w:lineRule="exact"/>
                    <w:jc w:val="center"/>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名称</w:t>
                  </w:r>
                </w:p>
              </w:tc>
              <w:tc>
                <w:tcPr>
                  <w:tcW w:w="891" w:type="pct"/>
                  <w:tcBorders>
                    <w:top w:val="single" w:color="auto" w:sz="4" w:space="0"/>
                    <w:left w:val="single" w:color="auto" w:sz="4" w:space="0"/>
                    <w:bottom w:val="single" w:color="auto" w:sz="4" w:space="0"/>
                    <w:right w:val="single" w:color="auto" w:sz="4" w:space="0"/>
                  </w:tcBorders>
                  <w:vAlign w:val="center"/>
                </w:tcPr>
                <w:p w14:paraId="3AA2AF9F">
                  <w:pPr>
                    <w:spacing w:line="360" w:lineRule="exact"/>
                    <w:jc w:val="center"/>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年用量</w:t>
                  </w:r>
                </w:p>
              </w:tc>
              <w:tc>
                <w:tcPr>
                  <w:tcW w:w="943" w:type="pct"/>
                  <w:tcBorders>
                    <w:top w:val="single" w:color="auto" w:sz="4" w:space="0"/>
                    <w:left w:val="single" w:color="auto" w:sz="4" w:space="0"/>
                    <w:bottom w:val="single" w:color="auto" w:sz="4" w:space="0"/>
                    <w:right w:val="single" w:color="auto" w:sz="4" w:space="0"/>
                  </w:tcBorders>
                  <w:vAlign w:val="center"/>
                </w:tcPr>
                <w:p w14:paraId="1128C20D">
                  <w:pPr>
                    <w:spacing w:line="360" w:lineRule="exact"/>
                    <w:jc w:val="center"/>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sz w:val="21"/>
                      <w:szCs w:val="21"/>
                      <w:lang w:val="en-US" w:eastAsia="zh-CN"/>
                    </w:rPr>
                    <w:t>最大贮存量</w:t>
                  </w:r>
                </w:p>
              </w:tc>
              <w:tc>
                <w:tcPr>
                  <w:tcW w:w="934" w:type="pct"/>
                  <w:tcBorders>
                    <w:top w:val="single" w:color="auto" w:sz="4" w:space="0"/>
                    <w:left w:val="single" w:color="auto" w:sz="4" w:space="0"/>
                    <w:bottom w:val="single" w:color="auto" w:sz="4" w:space="0"/>
                    <w:right w:val="single" w:color="auto" w:sz="4" w:space="0"/>
                  </w:tcBorders>
                  <w:vAlign w:val="center"/>
                </w:tcPr>
                <w:p w14:paraId="48984500">
                  <w:pPr>
                    <w:spacing w:line="360" w:lineRule="exact"/>
                    <w:jc w:val="center"/>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储存位置</w:t>
                  </w:r>
                </w:p>
              </w:tc>
              <w:tc>
                <w:tcPr>
                  <w:tcW w:w="1137" w:type="pct"/>
                  <w:tcBorders>
                    <w:top w:val="single" w:color="auto" w:sz="4" w:space="0"/>
                    <w:left w:val="single" w:color="auto" w:sz="4" w:space="0"/>
                    <w:bottom w:val="single" w:color="auto" w:sz="4" w:space="0"/>
                    <w:right w:val="single" w:color="auto" w:sz="4" w:space="0"/>
                  </w:tcBorders>
                  <w:vAlign w:val="center"/>
                </w:tcPr>
                <w:p w14:paraId="07D879FE">
                  <w:pPr>
                    <w:spacing w:line="360" w:lineRule="exact"/>
                    <w:jc w:val="center"/>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备注</w:t>
                  </w:r>
                </w:p>
              </w:tc>
            </w:tr>
            <w:tr w14:paraId="2E287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345" w:type="pct"/>
                  <w:tcBorders>
                    <w:top w:val="single" w:color="auto" w:sz="4" w:space="0"/>
                    <w:left w:val="single" w:color="auto" w:sz="4" w:space="0"/>
                    <w:bottom w:val="single" w:color="auto" w:sz="4" w:space="0"/>
                    <w:right w:val="single" w:color="auto" w:sz="4" w:space="0"/>
                  </w:tcBorders>
                  <w:vAlign w:val="center"/>
                </w:tcPr>
                <w:p w14:paraId="433726F0">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w:t>
                  </w:r>
                </w:p>
              </w:tc>
              <w:tc>
                <w:tcPr>
                  <w:tcW w:w="746" w:type="pct"/>
                  <w:tcBorders>
                    <w:top w:val="single" w:color="auto" w:sz="4" w:space="0"/>
                    <w:left w:val="single" w:color="auto" w:sz="4" w:space="0"/>
                    <w:bottom w:val="single" w:color="auto" w:sz="4" w:space="0"/>
                    <w:right w:val="single" w:color="auto" w:sz="4" w:space="0"/>
                  </w:tcBorders>
                  <w:vAlign w:val="center"/>
                </w:tcPr>
                <w:p w14:paraId="1C70EE47">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电路板</w:t>
                  </w:r>
                </w:p>
              </w:tc>
              <w:tc>
                <w:tcPr>
                  <w:tcW w:w="891" w:type="pct"/>
                  <w:tcBorders>
                    <w:top w:val="single" w:color="auto" w:sz="4" w:space="0"/>
                    <w:left w:val="single" w:color="auto" w:sz="4" w:space="0"/>
                    <w:bottom w:val="single" w:color="auto" w:sz="4" w:space="0"/>
                    <w:right w:val="single" w:color="auto" w:sz="4" w:space="0"/>
                  </w:tcBorders>
                  <w:vAlign w:val="center"/>
                </w:tcPr>
                <w:p w14:paraId="1EC4923A">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50100</w:t>
                  </w:r>
                  <w:r>
                    <w:rPr>
                      <w:rFonts w:hint="eastAsia" w:ascii="Times New Roman" w:hAnsi="Times New Roman" w:eastAsia="宋体" w:cs="Times New Roman"/>
                      <w:kern w:val="0"/>
                      <w:sz w:val="21"/>
                      <w:szCs w:val="21"/>
                      <w:lang w:val="en-US" w:eastAsia="zh-CN"/>
                    </w:rPr>
                    <w:t>块</w:t>
                  </w:r>
                </w:p>
              </w:tc>
              <w:tc>
                <w:tcPr>
                  <w:tcW w:w="943" w:type="pct"/>
                  <w:tcBorders>
                    <w:top w:val="single" w:color="auto" w:sz="4" w:space="0"/>
                    <w:left w:val="single" w:color="auto" w:sz="4" w:space="0"/>
                    <w:bottom w:val="single" w:color="auto" w:sz="4" w:space="0"/>
                    <w:right w:val="single" w:color="auto" w:sz="4" w:space="0"/>
                  </w:tcBorders>
                  <w:vAlign w:val="center"/>
                </w:tcPr>
                <w:p w14:paraId="727A0BB0">
                  <w:pPr>
                    <w:spacing w:line="360" w:lineRule="exact"/>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9000块</w:t>
                  </w:r>
                </w:p>
              </w:tc>
              <w:tc>
                <w:tcPr>
                  <w:tcW w:w="934" w:type="pct"/>
                  <w:tcBorders>
                    <w:top w:val="single" w:color="auto" w:sz="4" w:space="0"/>
                    <w:left w:val="single" w:color="auto" w:sz="4" w:space="0"/>
                    <w:bottom w:val="single" w:color="auto" w:sz="4" w:space="0"/>
                    <w:right w:val="single" w:color="auto" w:sz="4" w:space="0"/>
                  </w:tcBorders>
                  <w:vAlign w:val="center"/>
                </w:tcPr>
                <w:p w14:paraId="70E2771D">
                  <w:pPr>
                    <w:spacing w:line="360" w:lineRule="exact"/>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库房</w:t>
                  </w:r>
                </w:p>
              </w:tc>
              <w:tc>
                <w:tcPr>
                  <w:tcW w:w="1137" w:type="pct"/>
                  <w:tcBorders>
                    <w:top w:val="single" w:color="auto" w:sz="4" w:space="0"/>
                    <w:left w:val="single" w:color="auto" w:sz="4" w:space="0"/>
                    <w:bottom w:val="single" w:color="auto" w:sz="4" w:space="0"/>
                    <w:right w:val="single" w:color="auto" w:sz="4" w:space="0"/>
                  </w:tcBorders>
                  <w:vAlign w:val="center"/>
                </w:tcPr>
                <w:p w14:paraId="53D8ACFF">
                  <w:pPr>
                    <w:spacing w:line="360" w:lineRule="exact"/>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w:t>
                  </w:r>
                </w:p>
              </w:tc>
            </w:tr>
            <w:tr w14:paraId="12164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345" w:type="pct"/>
                  <w:tcBorders>
                    <w:top w:val="single" w:color="auto" w:sz="4" w:space="0"/>
                    <w:left w:val="single" w:color="auto" w:sz="4" w:space="0"/>
                    <w:bottom w:val="single" w:color="auto" w:sz="4" w:space="0"/>
                    <w:right w:val="single" w:color="auto" w:sz="4" w:space="0"/>
                  </w:tcBorders>
                  <w:vAlign w:val="center"/>
                </w:tcPr>
                <w:p w14:paraId="7A785B75">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w:t>
                  </w:r>
                </w:p>
              </w:tc>
              <w:tc>
                <w:tcPr>
                  <w:tcW w:w="746" w:type="pct"/>
                  <w:tcBorders>
                    <w:top w:val="single" w:color="auto" w:sz="4" w:space="0"/>
                    <w:left w:val="single" w:color="auto" w:sz="4" w:space="0"/>
                    <w:bottom w:val="single" w:color="auto" w:sz="4" w:space="0"/>
                    <w:right w:val="single" w:color="auto" w:sz="4" w:space="0"/>
                  </w:tcBorders>
                  <w:vAlign w:val="center"/>
                </w:tcPr>
                <w:p w14:paraId="56F95070">
                  <w:pPr>
                    <w:spacing w:line="36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贴片式电子元器件</w:t>
                  </w:r>
                </w:p>
              </w:tc>
              <w:tc>
                <w:tcPr>
                  <w:tcW w:w="891" w:type="pct"/>
                  <w:tcBorders>
                    <w:top w:val="single" w:color="auto" w:sz="4" w:space="0"/>
                    <w:left w:val="single" w:color="auto" w:sz="4" w:space="0"/>
                    <w:bottom w:val="single" w:color="auto" w:sz="4" w:space="0"/>
                    <w:right w:val="single" w:color="auto" w:sz="4" w:space="0"/>
                  </w:tcBorders>
                  <w:vAlign w:val="center"/>
                </w:tcPr>
                <w:p w14:paraId="5CAB8F48">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50100</w:t>
                  </w:r>
                  <w:r>
                    <w:rPr>
                      <w:rFonts w:hint="eastAsia" w:ascii="Times New Roman" w:hAnsi="Times New Roman" w:eastAsia="宋体" w:cs="Times New Roman"/>
                      <w:kern w:val="0"/>
                      <w:sz w:val="21"/>
                      <w:szCs w:val="21"/>
                      <w:lang w:val="en-US" w:eastAsia="zh-CN"/>
                    </w:rPr>
                    <w:t>套</w:t>
                  </w:r>
                </w:p>
              </w:tc>
              <w:tc>
                <w:tcPr>
                  <w:tcW w:w="943" w:type="pct"/>
                  <w:tcBorders>
                    <w:top w:val="single" w:color="auto" w:sz="4" w:space="0"/>
                    <w:left w:val="single" w:color="auto" w:sz="4" w:space="0"/>
                    <w:bottom w:val="single" w:color="auto" w:sz="4" w:space="0"/>
                    <w:right w:val="single" w:color="auto" w:sz="4" w:space="0"/>
                  </w:tcBorders>
                  <w:vAlign w:val="center"/>
                </w:tcPr>
                <w:p w14:paraId="4F780129">
                  <w:pPr>
                    <w:spacing w:line="360" w:lineRule="exact"/>
                    <w:jc w:val="center"/>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9000套</w:t>
                  </w:r>
                </w:p>
              </w:tc>
              <w:tc>
                <w:tcPr>
                  <w:tcW w:w="934" w:type="pct"/>
                  <w:tcBorders>
                    <w:top w:val="single" w:color="auto" w:sz="4" w:space="0"/>
                    <w:left w:val="single" w:color="auto" w:sz="4" w:space="0"/>
                    <w:bottom w:val="single" w:color="auto" w:sz="4" w:space="0"/>
                    <w:right w:val="single" w:color="auto" w:sz="4" w:space="0"/>
                  </w:tcBorders>
                  <w:vAlign w:val="center"/>
                </w:tcPr>
                <w:p w14:paraId="48C1016A">
                  <w:pPr>
                    <w:spacing w:line="360" w:lineRule="exact"/>
                    <w:jc w:val="center"/>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库房</w:t>
                  </w:r>
                </w:p>
              </w:tc>
              <w:tc>
                <w:tcPr>
                  <w:tcW w:w="1137" w:type="pct"/>
                  <w:tcBorders>
                    <w:top w:val="single" w:color="auto" w:sz="4" w:space="0"/>
                    <w:left w:val="single" w:color="auto" w:sz="4" w:space="0"/>
                    <w:bottom w:val="single" w:color="auto" w:sz="4" w:space="0"/>
                    <w:right w:val="single" w:color="auto" w:sz="4" w:space="0"/>
                  </w:tcBorders>
                  <w:vAlign w:val="center"/>
                </w:tcPr>
                <w:p w14:paraId="6B4E7C98">
                  <w:pPr>
                    <w:spacing w:line="360" w:lineRule="exact"/>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w:t>
                  </w:r>
                </w:p>
              </w:tc>
            </w:tr>
            <w:tr w14:paraId="24A91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345" w:type="pct"/>
                  <w:tcBorders>
                    <w:top w:val="single" w:color="auto" w:sz="4" w:space="0"/>
                    <w:left w:val="single" w:color="auto" w:sz="4" w:space="0"/>
                    <w:bottom w:val="single" w:color="auto" w:sz="4" w:space="0"/>
                    <w:right w:val="single" w:color="auto" w:sz="4" w:space="0"/>
                  </w:tcBorders>
                  <w:vAlign w:val="center"/>
                </w:tcPr>
                <w:p w14:paraId="34155E6B">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w:t>
                  </w:r>
                </w:p>
              </w:tc>
              <w:tc>
                <w:tcPr>
                  <w:tcW w:w="746" w:type="pct"/>
                  <w:tcBorders>
                    <w:top w:val="single" w:color="auto" w:sz="4" w:space="0"/>
                    <w:left w:val="single" w:color="auto" w:sz="4" w:space="0"/>
                    <w:bottom w:val="single" w:color="auto" w:sz="4" w:space="0"/>
                    <w:right w:val="single" w:color="auto" w:sz="4" w:space="0"/>
                  </w:tcBorders>
                  <w:vAlign w:val="center"/>
                </w:tcPr>
                <w:p w14:paraId="0839412C">
                  <w:pPr>
                    <w:spacing w:line="36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直插式电子元器件</w:t>
                  </w:r>
                </w:p>
              </w:tc>
              <w:tc>
                <w:tcPr>
                  <w:tcW w:w="891" w:type="pct"/>
                  <w:tcBorders>
                    <w:top w:val="single" w:color="auto" w:sz="4" w:space="0"/>
                    <w:left w:val="single" w:color="auto" w:sz="4" w:space="0"/>
                    <w:bottom w:val="single" w:color="auto" w:sz="4" w:space="0"/>
                    <w:right w:val="single" w:color="auto" w:sz="4" w:space="0"/>
                  </w:tcBorders>
                  <w:shd w:val="clear" w:color="auto" w:fill="auto"/>
                  <w:vAlign w:val="center"/>
                </w:tcPr>
                <w:p w14:paraId="274A261D">
                  <w:pPr>
                    <w:spacing w:line="36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50100</w:t>
                  </w:r>
                  <w:r>
                    <w:rPr>
                      <w:rFonts w:hint="eastAsia" w:ascii="Times New Roman" w:hAnsi="Times New Roman" w:eastAsia="宋体" w:cs="Times New Roman"/>
                      <w:kern w:val="0"/>
                      <w:sz w:val="21"/>
                      <w:szCs w:val="21"/>
                      <w:lang w:val="en-US" w:eastAsia="zh-CN"/>
                    </w:rPr>
                    <w:t>套</w:t>
                  </w:r>
                </w:p>
              </w:tc>
              <w:tc>
                <w:tcPr>
                  <w:tcW w:w="943" w:type="pct"/>
                  <w:tcBorders>
                    <w:top w:val="single" w:color="auto" w:sz="4" w:space="0"/>
                    <w:left w:val="single" w:color="auto" w:sz="4" w:space="0"/>
                    <w:bottom w:val="single" w:color="auto" w:sz="4" w:space="0"/>
                    <w:right w:val="single" w:color="auto" w:sz="4" w:space="0"/>
                  </w:tcBorders>
                  <w:shd w:val="clear" w:color="auto" w:fill="auto"/>
                  <w:vAlign w:val="center"/>
                </w:tcPr>
                <w:p w14:paraId="175E0086">
                  <w:pPr>
                    <w:spacing w:line="360" w:lineRule="exact"/>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9000套</w:t>
                  </w:r>
                </w:p>
              </w:tc>
              <w:tc>
                <w:tcPr>
                  <w:tcW w:w="934" w:type="pct"/>
                  <w:tcBorders>
                    <w:top w:val="single" w:color="auto" w:sz="4" w:space="0"/>
                    <w:left w:val="single" w:color="auto" w:sz="4" w:space="0"/>
                    <w:bottom w:val="single" w:color="auto" w:sz="4" w:space="0"/>
                    <w:right w:val="single" w:color="auto" w:sz="4" w:space="0"/>
                  </w:tcBorders>
                  <w:vAlign w:val="center"/>
                </w:tcPr>
                <w:p w14:paraId="5E27A986">
                  <w:pPr>
                    <w:spacing w:line="360" w:lineRule="exact"/>
                    <w:jc w:val="center"/>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库房</w:t>
                  </w:r>
                </w:p>
              </w:tc>
              <w:tc>
                <w:tcPr>
                  <w:tcW w:w="1137" w:type="pct"/>
                  <w:tcBorders>
                    <w:top w:val="single" w:color="auto" w:sz="4" w:space="0"/>
                    <w:left w:val="single" w:color="auto" w:sz="4" w:space="0"/>
                    <w:bottom w:val="single" w:color="auto" w:sz="4" w:space="0"/>
                    <w:right w:val="single" w:color="auto" w:sz="4" w:space="0"/>
                  </w:tcBorders>
                  <w:vAlign w:val="center"/>
                </w:tcPr>
                <w:p w14:paraId="7DA41C86">
                  <w:pPr>
                    <w:spacing w:line="360" w:lineRule="exact"/>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w:t>
                  </w:r>
                </w:p>
              </w:tc>
            </w:tr>
            <w:tr w14:paraId="53C58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345" w:type="pct"/>
                  <w:tcBorders>
                    <w:top w:val="single" w:color="auto" w:sz="4" w:space="0"/>
                    <w:left w:val="single" w:color="auto" w:sz="4" w:space="0"/>
                    <w:bottom w:val="single" w:color="auto" w:sz="4" w:space="0"/>
                    <w:right w:val="single" w:color="auto" w:sz="4" w:space="0"/>
                  </w:tcBorders>
                  <w:vAlign w:val="center"/>
                </w:tcPr>
                <w:p w14:paraId="02F3DA59">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w:t>
                  </w:r>
                </w:p>
              </w:tc>
              <w:tc>
                <w:tcPr>
                  <w:tcW w:w="746" w:type="pct"/>
                  <w:tcBorders>
                    <w:top w:val="single" w:color="auto" w:sz="4" w:space="0"/>
                    <w:left w:val="single" w:color="auto" w:sz="4" w:space="0"/>
                    <w:bottom w:val="single" w:color="auto" w:sz="4" w:space="0"/>
                    <w:right w:val="single" w:color="auto" w:sz="4" w:space="0"/>
                  </w:tcBorders>
                  <w:vAlign w:val="center"/>
                </w:tcPr>
                <w:p w14:paraId="774D4736">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散热片</w:t>
                  </w:r>
                </w:p>
              </w:tc>
              <w:tc>
                <w:tcPr>
                  <w:tcW w:w="891" w:type="pct"/>
                  <w:tcBorders>
                    <w:top w:val="single" w:color="auto" w:sz="4" w:space="0"/>
                    <w:left w:val="single" w:color="auto" w:sz="4" w:space="0"/>
                    <w:bottom w:val="single" w:color="auto" w:sz="4" w:space="0"/>
                    <w:right w:val="single" w:color="auto" w:sz="4" w:space="0"/>
                  </w:tcBorders>
                  <w:shd w:val="clear" w:color="auto" w:fill="auto"/>
                  <w:vAlign w:val="center"/>
                </w:tcPr>
                <w:p w14:paraId="48E9B3C4">
                  <w:pPr>
                    <w:spacing w:line="36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50100</w:t>
                  </w:r>
                  <w:r>
                    <w:rPr>
                      <w:rFonts w:hint="eastAsia" w:ascii="Times New Roman" w:hAnsi="Times New Roman" w:eastAsia="宋体" w:cs="Times New Roman"/>
                      <w:kern w:val="0"/>
                      <w:sz w:val="21"/>
                      <w:szCs w:val="21"/>
                      <w:lang w:val="en-US" w:eastAsia="zh-CN"/>
                    </w:rPr>
                    <w:t>块</w:t>
                  </w:r>
                </w:p>
              </w:tc>
              <w:tc>
                <w:tcPr>
                  <w:tcW w:w="943" w:type="pct"/>
                  <w:tcBorders>
                    <w:top w:val="single" w:color="auto" w:sz="4" w:space="0"/>
                    <w:left w:val="single" w:color="auto" w:sz="4" w:space="0"/>
                    <w:bottom w:val="single" w:color="auto" w:sz="4" w:space="0"/>
                    <w:right w:val="single" w:color="auto" w:sz="4" w:space="0"/>
                  </w:tcBorders>
                  <w:shd w:val="clear" w:color="auto" w:fill="auto"/>
                  <w:vAlign w:val="center"/>
                </w:tcPr>
                <w:p w14:paraId="263253D3">
                  <w:pPr>
                    <w:spacing w:line="360" w:lineRule="exact"/>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9000块</w:t>
                  </w:r>
                </w:p>
              </w:tc>
              <w:tc>
                <w:tcPr>
                  <w:tcW w:w="934" w:type="pct"/>
                  <w:tcBorders>
                    <w:top w:val="single" w:color="auto" w:sz="4" w:space="0"/>
                    <w:left w:val="single" w:color="auto" w:sz="4" w:space="0"/>
                    <w:bottom w:val="single" w:color="auto" w:sz="4" w:space="0"/>
                    <w:right w:val="single" w:color="auto" w:sz="4" w:space="0"/>
                  </w:tcBorders>
                  <w:vAlign w:val="center"/>
                </w:tcPr>
                <w:p w14:paraId="65872896">
                  <w:pPr>
                    <w:spacing w:line="360" w:lineRule="exact"/>
                    <w:jc w:val="center"/>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库房</w:t>
                  </w:r>
                </w:p>
              </w:tc>
              <w:tc>
                <w:tcPr>
                  <w:tcW w:w="1137" w:type="pct"/>
                  <w:tcBorders>
                    <w:top w:val="single" w:color="auto" w:sz="4" w:space="0"/>
                    <w:left w:val="single" w:color="auto" w:sz="4" w:space="0"/>
                    <w:bottom w:val="single" w:color="auto" w:sz="4" w:space="0"/>
                    <w:right w:val="single" w:color="auto" w:sz="4" w:space="0"/>
                  </w:tcBorders>
                  <w:vAlign w:val="center"/>
                </w:tcPr>
                <w:p w14:paraId="38D7621E">
                  <w:pPr>
                    <w:spacing w:line="360" w:lineRule="exact"/>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w:t>
                  </w:r>
                </w:p>
              </w:tc>
            </w:tr>
            <w:tr w14:paraId="3F841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345" w:type="pct"/>
                  <w:tcBorders>
                    <w:top w:val="single" w:color="auto" w:sz="4" w:space="0"/>
                    <w:left w:val="single" w:color="auto" w:sz="4" w:space="0"/>
                    <w:bottom w:val="single" w:color="auto" w:sz="4" w:space="0"/>
                    <w:right w:val="single" w:color="auto" w:sz="4" w:space="0"/>
                  </w:tcBorders>
                  <w:vAlign w:val="center"/>
                </w:tcPr>
                <w:p w14:paraId="2236B97C">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w:t>
                  </w:r>
                </w:p>
              </w:tc>
              <w:tc>
                <w:tcPr>
                  <w:tcW w:w="746" w:type="pct"/>
                  <w:tcBorders>
                    <w:top w:val="single" w:color="auto" w:sz="4" w:space="0"/>
                    <w:left w:val="single" w:color="auto" w:sz="4" w:space="0"/>
                    <w:bottom w:val="single" w:color="auto" w:sz="4" w:space="0"/>
                    <w:right w:val="single" w:color="auto" w:sz="4" w:space="0"/>
                  </w:tcBorders>
                  <w:vAlign w:val="center"/>
                </w:tcPr>
                <w:p w14:paraId="073348B6">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塑料外壳</w:t>
                  </w:r>
                </w:p>
              </w:tc>
              <w:tc>
                <w:tcPr>
                  <w:tcW w:w="891" w:type="pct"/>
                  <w:tcBorders>
                    <w:top w:val="single" w:color="auto" w:sz="4" w:space="0"/>
                    <w:left w:val="single" w:color="auto" w:sz="4" w:space="0"/>
                    <w:bottom w:val="single" w:color="auto" w:sz="4" w:space="0"/>
                    <w:right w:val="single" w:color="auto" w:sz="4" w:space="0"/>
                  </w:tcBorders>
                  <w:vAlign w:val="center"/>
                </w:tcPr>
                <w:p w14:paraId="1644C7D8">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2000</w:t>
                  </w:r>
                  <w:r>
                    <w:rPr>
                      <w:rFonts w:hint="eastAsia" w:ascii="Times New Roman" w:hAnsi="Times New Roman" w:eastAsia="宋体" w:cs="Times New Roman"/>
                      <w:kern w:val="0"/>
                      <w:sz w:val="21"/>
                      <w:szCs w:val="21"/>
                      <w:lang w:val="en-US" w:eastAsia="zh-CN"/>
                    </w:rPr>
                    <w:t>套</w:t>
                  </w:r>
                </w:p>
              </w:tc>
              <w:tc>
                <w:tcPr>
                  <w:tcW w:w="943" w:type="pct"/>
                  <w:tcBorders>
                    <w:top w:val="single" w:color="auto" w:sz="4" w:space="0"/>
                    <w:left w:val="single" w:color="auto" w:sz="4" w:space="0"/>
                    <w:bottom w:val="single" w:color="auto" w:sz="4" w:space="0"/>
                    <w:right w:val="single" w:color="auto" w:sz="4" w:space="0"/>
                  </w:tcBorders>
                  <w:shd w:val="clear" w:color="auto" w:fill="auto"/>
                  <w:vAlign w:val="center"/>
                </w:tcPr>
                <w:p w14:paraId="57328BC1">
                  <w:pPr>
                    <w:spacing w:line="360" w:lineRule="exact"/>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2000</w:t>
                  </w:r>
                  <w:r>
                    <w:rPr>
                      <w:rFonts w:hint="eastAsia" w:ascii="Times New Roman" w:hAnsi="Times New Roman" w:eastAsia="宋体" w:cs="Times New Roman"/>
                      <w:kern w:val="0"/>
                      <w:sz w:val="21"/>
                      <w:szCs w:val="21"/>
                      <w:lang w:val="en-US" w:eastAsia="zh-CN"/>
                    </w:rPr>
                    <w:t>套</w:t>
                  </w:r>
                </w:p>
              </w:tc>
              <w:tc>
                <w:tcPr>
                  <w:tcW w:w="934" w:type="pct"/>
                  <w:tcBorders>
                    <w:top w:val="single" w:color="auto" w:sz="4" w:space="0"/>
                    <w:left w:val="single" w:color="auto" w:sz="4" w:space="0"/>
                    <w:bottom w:val="single" w:color="auto" w:sz="4" w:space="0"/>
                    <w:right w:val="single" w:color="auto" w:sz="4" w:space="0"/>
                  </w:tcBorders>
                  <w:vAlign w:val="center"/>
                </w:tcPr>
                <w:p w14:paraId="1478EF7A">
                  <w:pPr>
                    <w:spacing w:line="36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kern w:val="0"/>
                      <w:sz w:val="21"/>
                      <w:szCs w:val="21"/>
                      <w:lang w:val="en-US" w:eastAsia="zh-CN"/>
                    </w:rPr>
                    <w:t>库房</w:t>
                  </w:r>
                </w:p>
              </w:tc>
              <w:tc>
                <w:tcPr>
                  <w:tcW w:w="1137" w:type="pct"/>
                  <w:tcBorders>
                    <w:top w:val="single" w:color="auto" w:sz="4" w:space="0"/>
                    <w:left w:val="single" w:color="auto" w:sz="4" w:space="0"/>
                    <w:bottom w:val="single" w:color="auto" w:sz="4" w:space="0"/>
                    <w:right w:val="single" w:color="auto" w:sz="4" w:space="0"/>
                  </w:tcBorders>
                  <w:vAlign w:val="center"/>
                </w:tcPr>
                <w:p w14:paraId="2311C889">
                  <w:pPr>
                    <w:spacing w:line="360" w:lineRule="exact"/>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w:t>
                  </w:r>
                </w:p>
              </w:tc>
            </w:tr>
            <w:tr w14:paraId="490C5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345" w:type="pct"/>
                  <w:tcBorders>
                    <w:top w:val="single" w:color="auto" w:sz="4" w:space="0"/>
                    <w:left w:val="single" w:color="auto" w:sz="4" w:space="0"/>
                    <w:bottom w:val="single" w:color="auto" w:sz="4" w:space="0"/>
                    <w:right w:val="single" w:color="auto" w:sz="4" w:space="0"/>
                  </w:tcBorders>
                  <w:vAlign w:val="center"/>
                </w:tcPr>
                <w:p w14:paraId="199BA0C1">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6</w:t>
                  </w:r>
                </w:p>
              </w:tc>
              <w:tc>
                <w:tcPr>
                  <w:tcW w:w="746" w:type="pct"/>
                  <w:tcBorders>
                    <w:top w:val="single" w:color="auto" w:sz="4" w:space="0"/>
                    <w:left w:val="single" w:color="auto" w:sz="4" w:space="0"/>
                    <w:bottom w:val="single" w:color="auto" w:sz="4" w:space="0"/>
                    <w:right w:val="single" w:color="auto" w:sz="4" w:space="0"/>
                  </w:tcBorders>
                  <w:vAlign w:val="center"/>
                </w:tcPr>
                <w:p w14:paraId="03C5E374">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显示屏</w:t>
                  </w:r>
                </w:p>
              </w:tc>
              <w:tc>
                <w:tcPr>
                  <w:tcW w:w="891" w:type="pct"/>
                  <w:tcBorders>
                    <w:top w:val="single" w:color="auto" w:sz="4" w:space="0"/>
                    <w:left w:val="single" w:color="auto" w:sz="4" w:space="0"/>
                    <w:bottom w:val="single" w:color="auto" w:sz="4" w:space="0"/>
                    <w:right w:val="single" w:color="auto" w:sz="4" w:space="0"/>
                  </w:tcBorders>
                  <w:vAlign w:val="center"/>
                </w:tcPr>
                <w:p w14:paraId="0E74F617">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2000</w:t>
                  </w:r>
                  <w:r>
                    <w:rPr>
                      <w:rFonts w:hint="eastAsia" w:ascii="Times New Roman" w:hAnsi="Times New Roman" w:eastAsia="宋体" w:cs="Times New Roman"/>
                      <w:kern w:val="0"/>
                      <w:sz w:val="21"/>
                      <w:szCs w:val="21"/>
                      <w:lang w:val="en-US" w:eastAsia="zh-CN"/>
                    </w:rPr>
                    <w:t>块</w:t>
                  </w:r>
                </w:p>
              </w:tc>
              <w:tc>
                <w:tcPr>
                  <w:tcW w:w="943" w:type="pct"/>
                  <w:tcBorders>
                    <w:top w:val="single" w:color="auto" w:sz="4" w:space="0"/>
                    <w:left w:val="single" w:color="auto" w:sz="4" w:space="0"/>
                    <w:bottom w:val="single" w:color="auto" w:sz="4" w:space="0"/>
                    <w:right w:val="single" w:color="auto" w:sz="4" w:space="0"/>
                  </w:tcBorders>
                  <w:shd w:val="clear" w:color="auto" w:fill="auto"/>
                  <w:vAlign w:val="center"/>
                </w:tcPr>
                <w:p w14:paraId="1EBD41DA">
                  <w:pPr>
                    <w:spacing w:line="360" w:lineRule="exact"/>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2000</w:t>
                  </w:r>
                  <w:r>
                    <w:rPr>
                      <w:rFonts w:hint="eastAsia" w:ascii="Times New Roman" w:hAnsi="Times New Roman" w:eastAsia="宋体" w:cs="Times New Roman"/>
                      <w:kern w:val="0"/>
                      <w:sz w:val="21"/>
                      <w:szCs w:val="21"/>
                      <w:lang w:val="en-US" w:eastAsia="zh-CN"/>
                    </w:rPr>
                    <w:t>块</w:t>
                  </w:r>
                </w:p>
              </w:tc>
              <w:tc>
                <w:tcPr>
                  <w:tcW w:w="934" w:type="pct"/>
                  <w:tcBorders>
                    <w:top w:val="single" w:color="auto" w:sz="4" w:space="0"/>
                    <w:left w:val="single" w:color="auto" w:sz="4" w:space="0"/>
                    <w:bottom w:val="single" w:color="auto" w:sz="4" w:space="0"/>
                    <w:right w:val="single" w:color="auto" w:sz="4" w:space="0"/>
                  </w:tcBorders>
                  <w:vAlign w:val="center"/>
                </w:tcPr>
                <w:p w14:paraId="12A404FB">
                  <w:pPr>
                    <w:spacing w:line="36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kern w:val="0"/>
                      <w:sz w:val="21"/>
                      <w:szCs w:val="21"/>
                      <w:lang w:val="en-US" w:eastAsia="zh-CN"/>
                    </w:rPr>
                    <w:t>库房</w:t>
                  </w:r>
                </w:p>
              </w:tc>
              <w:tc>
                <w:tcPr>
                  <w:tcW w:w="1137" w:type="pct"/>
                  <w:tcBorders>
                    <w:top w:val="single" w:color="auto" w:sz="4" w:space="0"/>
                    <w:left w:val="single" w:color="auto" w:sz="4" w:space="0"/>
                    <w:bottom w:val="single" w:color="auto" w:sz="4" w:space="0"/>
                    <w:right w:val="single" w:color="auto" w:sz="4" w:space="0"/>
                  </w:tcBorders>
                  <w:vAlign w:val="center"/>
                </w:tcPr>
                <w:p w14:paraId="43885161">
                  <w:pPr>
                    <w:spacing w:line="360" w:lineRule="exact"/>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w:t>
                  </w:r>
                </w:p>
              </w:tc>
            </w:tr>
            <w:tr w14:paraId="5712F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345" w:type="pct"/>
                  <w:tcBorders>
                    <w:top w:val="single" w:color="auto" w:sz="4" w:space="0"/>
                    <w:left w:val="single" w:color="auto" w:sz="4" w:space="0"/>
                    <w:bottom w:val="single" w:color="auto" w:sz="4" w:space="0"/>
                    <w:right w:val="single" w:color="auto" w:sz="4" w:space="0"/>
                  </w:tcBorders>
                  <w:vAlign w:val="center"/>
                </w:tcPr>
                <w:p w14:paraId="40127DC2">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w:t>
                  </w:r>
                </w:p>
              </w:tc>
              <w:tc>
                <w:tcPr>
                  <w:tcW w:w="746" w:type="pct"/>
                  <w:tcBorders>
                    <w:top w:val="single" w:color="auto" w:sz="4" w:space="0"/>
                    <w:left w:val="single" w:color="auto" w:sz="4" w:space="0"/>
                    <w:bottom w:val="single" w:color="auto" w:sz="4" w:space="0"/>
                    <w:right w:val="single" w:color="auto" w:sz="4" w:space="0"/>
                  </w:tcBorders>
                  <w:vAlign w:val="center"/>
                </w:tcPr>
                <w:p w14:paraId="4D01F4E8">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无铅锡膏</w:t>
                  </w:r>
                  <w:r>
                    <w:rPr>
                      <w:rFonts w:hint="eastAsia" w:ascii="Times New Roman" w:hAnsi="Times New Roman" w:eastAsia="宋体" w:cs="Times New Roman"/>
                      <w:sz w:val="21"/>
                      <w:szCs w:val="21"/>
                      <w:vertAlign w:val="superscript"/>
                      <w:lang w:val="en-US" w:eastAsia="zh-CN"/>
                    </w:rPr>
                    <w:t>a</w:t>
                  </w:r>
                </w:p>
              </w:tc>
              <w:tc>
                <w:tcPr>
                  <w:tcW w:w="891" w:type="pct"/>
                  <w:tcBorders>
                    <w:top w:val="single" w:color="auto" w:sz="4" w:space="0"/>
                    <w:left w:val="single" w:color="auto" w:sz="4" w:space="0"/>
                    <w:bottom w:val="single" w:color="auto" w:sz="4" w:space="0"/>
                    <w:right w:val="single" w:color="auto" w:sz="4" w:space="0"/>
                  </w:tcBorders>
                  <w:vAlign w:val="center"/>
                </w:tcPr>
                <w:p w14:paraId="3C378E8B">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0.5t</w:t>
                  </w:r>
                </w:p>
              </w:tc>
              <w:tc>
                <w:tcPr>
                  <w:tcW w:w="943" w:type="pct"/>
                  <w:tcBorders>
                    <w:top w:val="single" w:color="auto" w:sz="4" w:space="0"/>
                    <w:left w:val="single" w:color="auto" w:sz="4" w:space="0"/>
                    <w:bottom w:val="single" w:color="auto" w:sz="4" w:space="0"/>
                    <w:right w:val="single" w:color="auto" w:sz="4" w:space="0"/>
                  </w:tcBorders>
                  <w:vAlign w:val="center"/>
                </w:tcPr>
                <w:p w14:paraId="48046C57">
                  <w:pPr>
                    <w:spacing w:line="360" w:lineRule="exact"/>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0.05t</w:t>
                  </w:r>
                </w:p>
              </w:tc>
              <w:tc>
                <w:tcPr>
                  <w:tcW w:w="934" w:type="pct"/>
                  <w:tcBorders>
                    <w:top w:val="single" w:color="auto" w:sz="4" w:space="0"/>
                    <w:left w:val="single" w:color="auto" w:sz="4" w:space="0"/>
                    <w:bottom w:val="single" w:color="auto" w:sz="4" w:space="0"/>
                    <w:right w:val="single" w:color="auto" w:sz="4" w:space="0"/>
                  </w:tcBorders>
                  <w:vAlign w:val="center"/>
                </w:tcPr>
                <w:p w14:paraId="6035BB96">
                  <w:pPr>
                    <w:spacing w:line="360" w:lineRule="exact"/>
                    <w:jc w:val="center"/>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辅料存放区</w:t>
                  </w:r>
                </w:p>
              </w:tc>
              <w:tc>
                <w:tcPr>
                  <w:tcW w:w="1137" w:type="pct"/>
                  <w:tcBorders>
                    <w:top w:val="single" w:color="auto" w:sz="4" w:space="0"/>
                    <w:left w:val="single" w:color="auto" w:sz="4" w:space="0"/>
                    <w:bottom w:val="single" w:color="auto" w:sz="4" w:space="0"/>
                    <w:right w:val="single" w:color="auto" w:sz="4" w:space="0"/>
                  </w:tcBorders>
                  <w:vAlign w:val="center"/>
                </w:tcPr>
                <w:p w14:paraId="53B3ED84">
                  <w:pPr>
                    <w:spacing w:line="360" w:lineRule="exact"/>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500g/瓶</w:t>
                  </w:r>
                </w:p>
              </w:tc>
            </w:tr>
            <w:tr w14:paraId="6750B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345" w:type="pct"/>
                  <w:tcBorders>
                    <w:top w:val="single" w:color="auto" w:sz="4" w:space="0"/>
                    <w:left w:val="single" w:color="auto" w:sz="4" w:space="0"/>
                    <w:bottom w:val="single" w:color="auto" w:sz="4" w:space="0"/>
                    <w:right w:val="single" w:color="auto" w:sz="4" w:space="0"/>
                  </w:tcBorders>
                  <w:vAlign w:val="center"/>
                </w:tcPr>
                <w:p w14:paraId="1F4D8EFD">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8</w:t>
                  </w:r>
                </w:p>
              </w:tc>
              <w:tc>
                <w:tcPr>
                  <w:tcW w:w="746" w:type="pct"/>
                  <w:tcBorders>
                    <w:top w:val="single" w:color="auto" w:sz="4" w:space="0"/>
                    <w:left w:val="single" w:color="auto" w:sz="4" w:space="0"/>
                    <w:bottom w:val="single" w:color="auto" w:sz="4" w:space="0"/>
                    <w:right w:val="single" w:color="auto" w:sz="4" w:space="0"/>
                  </w:tcBorders>
                  <w:vAlign w:val="center"/>
                </w:tcPr>
                <w:p w14:paraId="766DB59B">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无铅锡丝</w:t>
                  </w:r>
                </w:p>
              </w:tc>
              <w:tc>
                <w:tcPr>
                  <w:tcW w:w="891" w:type="pct"/>
                  <w:tcBorders>
                    <w:top w:val="single" w:color="auto" w:sz="4" w:space="0"/>
                    <w:left w:val="single" w:color="auto" w:sz="4" w:space="0"/>
                    <w:bottom w:val="single" w:color="auto" w:sz="4" w:space="0"/>
                    <w:right w:val="single" w:color="auto" w:sz="4" w:space="0"/>
                  </w:tcBorders>
                  <w:vAlign w:val="center"/>
                </w:tcPr>
                <w:p w14:paraId="268260A8">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0.1t</w:t>
                  </w:r>
                </w:p>
              </w:tc>
              <w:tc>
                <w:tcPr>
                  <w:tcW w:w="943" w:type="pct"/>
                  <w:tcBorders>
                    <w:top w:val="single" w:color="auto" w:sz="4" w:space="0"/>
                    <w:left w:val="single" w:color="auto" w:sz="4" w:space="0"/>
                    <w:bottom w:val="single" w:color="auto" w:sz="4" w:space="0"/>
                    <w:right w:val="single" w:color="auto" w:sz="4" w:space="0"/>
                  </w:tcBorders>
                  <w:vAlign w:val="center"/>
                </w:tcPr>
                <w:p w14:paraId="6373DFBC">
                  <w:pPr>
                    <w:spacing w:line="360" w:lineRule="exact"/>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0.001t</w:t>
                  </w:r>
                </w:p>
              </w:tc>
              <w:tc>
                <w:tcPr>
                  <w:tcW w:w="934" w:type="pct"/>
                  <w:tcBorders>
                    <w:top w:val="single" w:color="auto" w:sz="4" w:space="0"/>
                    <w:left w:val="single" w:color="auto" w:sz="4" w:space="0"/>
                    <w:bottom w:val="single" w:color="auto" w:sz="4" w:space="0"/>
                    <w:right w:val="single" w:color="auto" w:sz="4" w:space="0"/>
                  </w:tcBorders>
                  <w:vAlign w:val="center"/>
                </w:tcPr>
                <w:p w14:paraId="3CF4BE52">
                  <w:pPr>
                    <w:spacing w:line="360" w:lineRule="exact"/>
                    <w:jc w:val="center"/>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辅料存放区</w:t>
                  </w:r>
                </w:p>
              </w:tc>
              <w:tc>
                <w:tcPr>
                  <w:tcW w:w="1137" w:type="pct"/>
                  <w:tcBorders>
                    <w:top w:val="single" w:color="auto" w:sz="4" w:space="0"/>
                    <w:left w:val="single" w:color="auto" w:sz="4" w:space="0"/>
                    <w:bottom w:val="single" w:color="auto" w:sz="4" w:space="0"/>
                    <w:right w:val="single" w:color="auto" w:sz="4" w:space="0"/>
                  </w:tcBorders>
                  <w:vAlign w:val="center"/>
                </w:tcPr>
                <w:p w14:paraId="78523D8A">
                  <w:pPr>
                    <w:spacing w:line="360" w:lineRule="exact"/>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w:t>
                  </w:r>
                </w:p>
              </w:tc>
            </w:tr>
            <w:tr w14:paraId="52D4A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345" w:type="pct"/>
                  <w:tcBorders>
                    <w:top w:val="single" w:color="auto" w:sz="4" w:space="0"/>
                    <w:left w:val="single" w:color="auto" w:sz="4" w:space="0"/>
                    <w:bottom w:val="single" w:color="auto" w:sz="4" w:space="0"/>
                    <w:right w:val="single" w:color="auto" w:sz="4" w:space="0"/>
                  </w:tcBorders>
                  <w:vAlign w:val="center"/>
                </w:tcPr>
                <w:p w14:paraId="4D0DAC4C">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9</w:t>
                  </w:r>
                </w:p>
              </w:tc>
              <w:tc>
                <w:tcPr>
                  <w:tcW w:w="746" w:type="pct"/>
                  <w:tcBorders>
                    <w:top w:val="single" w:color="auto" w:sz="4" w:space="0"/>
                    <w:left w:val="single" w:color="auto" w:sz="4" w:space="0"/>
                    <w:bottom w:val="single" w:color="auto" w:sz="4" w:space="0"/>
                    <w:right w:val="single" w:color="auto" w:sz="4" w:space="0"/>
                  </w:tcBorders>
                  <w:vAlign w:val="center"/>
                </w:tcPr>
                <w:p w14:paraId="5A66B798">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助焊剂</w:t>
                  </w:r>
                  <w:r>
                    <w:rPr>
                      <w:rFonts w:hint="eastAsia" w:ascii="Times New Roman" w:hAnsi="Times New Roman" w:eastAsia="宋体" w:cs="Times New Roman"/>
                      <w:sz w:val="21"/>
                      <w:szCs w:val="21"/>
                      <w:vertAlign w:val="superscript"/>
                      <w:lang w:val="en-US" w:eastAsia="zh-CN"/>
                    </w:rPr>
                    <w:t>b</w:t>
                  </w:r>
                </w:p>
              </w:tc>
              <w:tc>
                <w:tcPr>
                  <w:tcW w:w="891" w:type="pct"/>
                  <w:tcBorders>
                    <w:top w:val="single" w:color="auto" w:sz="4" w:space="0"/>
                    <w:left w:val="single" w:color="auto" w:sz="4" w:space="0"/>
                    <w:bottom w:val="single" w:color="auto" w:sz="4" w:space="0"/>
                    <w:right w:val="single" w:color="auto" w:sz="4" w:space="0"/>
                  </w:tcBorders>
                  <w:vAlign w:val="center"/>
                </w:tcPr>
                <w:p w14:paraId="7D817205">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0.05t</w:t>
                  </w:r>
                </w:p>
              </w:tc>
              <w:tc>
                <w:tcPr>
                  <w:tcW w:w="943" w:type="pct"/>
                  <w:tcBorders>
                    <w:top w:val="single" w:color="auto" w:sz="4" w:space="0"/>
                    <w:left w:val="single" w:color="auto" w:sz="4" w:space="0"/>
                    <w:bottom w:val="single" w:color="auto" w:sz="4" w:space="0"/>
                    <w:right w:val="single" w:color="auto" w:sz="4" w:space="0"/>
                  </w:tcBorders>
                  <w:vAlign w:val="center"/>
                </w:tcPr>
                <w:p w14:paraId="791439A2">
                  <w:pPr>
                    <w:spacing w:line="360" w:lineRule="exact"/>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0.005t</w:t>
                  </w:r>
                </w:p>
              </w:tc>
              <w:tc>
                <w:tcPr>
                  <w:tcW w:w="934" w:type="pct"/>
                  <w:tcBorders>
                    <w:top w:val="single" w:color="auto" w:sz="4" w:space="0"/>
                    <w:left w:val="single" w:color="auto" w:sz="4" w:space="0"/>
                    <w:bottom w:val="single" w:color="auto" w:sz="4" w:space="0"/>
                    <w:right w:val="single" w:color="auto" w:sz="4" w:space="0"/>
                  </w:tcBorders>
                  <w:vAlign w:val="center"/>
                </w:tcPr>
                <w:p w14:paraId="4A6E5A89">
                  <w:pPr>
                    <w:spacing w:line="360" w:lineRule="exact"/>
                    <w:jc w:val="center"/>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辅料存放区</w:t>
                  </w:r>
                </w:p>
              </w:tc>
              <w:tc>
                <w:tcPr>
                  <w:tcW w:w="1137" w:type="pct"/>
                  <w:tcBorders>
                    <w:top w:val="single" w:color="auto" w:sz="4" w:space="0"/>
                    <w:left w:val="single" w:color="auto" w:sz="4" w:space="0"/>
                    <w:bottom w:val="single" w:color="auto" w:sz="4" w:space="0"/>
                    <w:right w:val="single" w:color="auto" w:sz="4" w:space="0"/>
                  </w:tcBorders>
                  <w:vAlign w:val="center"/>
                </w:tcPr>
                <w:p w14:paraId="1757C2BE">
                  <w:pPr>
                    <w:spacing w:line="360" w:lineRule="exact"/>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1L/瓶</w:t>
                  </w:r>
                </w:p>
              </w:tc>
            </w:tr>
            <w:tr w14:paraId="3DC1C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345" w:type="pct"/>
                  <w:tcBorders>
                    <w:top w:val="single" w:color="auto" w:sz="4" w:space="0"/>
                    <w:left w:val="single" w:color="auto" w:sz="4" w:space="0"/>
                    <w:bottom w:val="single" w:color="auto" w:sz="4" w:space="0"/>
                    <w:right w:val="single" w:color="auto" w:sz="4" w:space="0"/>
                  </w:tcBorders>
                  <w:vAlign w:val="center"/>
                </w:tcPr>
                <w:p w14:paraId="5BAC9733">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10</w:t>
                  </w:r>
                </w:p>
              </w:tc>
              <w:tc>
                <w:tcPr>
                  <w:tcW w:w="746" w:type="pct"/>
                  <w:tcBorders>
                    <w:top w:val="single" w:color="auto" w:sz="4" w:space="0"/>
                    <w:left w:val="single" w:color="auto" w:sz="4" w:space="0"/>
                    <w:bottom w:val="single" w:color="auto" w:sz="4" w:space="0"/>
                    <w:right w:val="single" w:color="auto" w:sz="4" w:space="0"/>
                  </w:tcBorders>
                  <w:vAlign w:val="center"/>
                </w:tcPr>
                <w:p w14:paraId="463DE3AF">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无水乙醇</w:t>
                  </w:r>
                </w:p>
              </w:tc>
              <w:tc>
                <w:tcPr>
                  <w:tcW w:w="891" w:type="pct"/>
                  <w:tcBorders>
                    <w:top w:val="single" w:color="auto" w:sz="4" w:space="0"/>
                    <w:left w:val="single" w:color="auto" w:sz="4" w:space="0"/>
                    <w:bottom w:val="single" w:color="auto" w:sz="4" w:space="0"/>
                    <w:right w:val="single" w:color="auto" w:sz="4" w:space="0"/>
                  </w:tcBorders>
                  <w:vAlign w:val="center"/>
                </w:tcPr>
                <w:p w14:paraId="0AB33DAD">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0.01t</w:t>
                  </w:r>
                </w:p>
              </w:tc>
              <w:tc>
                <w:tcPr>
                  <w:tcW w:w="943" w:type="pct"/>
                  <w:tcBorders>
                    <w:top w:val="single" w:color="auto" w:sz="4" w:space="0"/>
                    <w:left w:val="single" w:color="auto" w:sz="4" w:space="0"/>
                    <w:bottom w:val="single" w:color="auto" w:sz="4" w:space="0"/>
                    <w:right w:val="single" w:color="auto" w:sz="4" w:space="0"/>
                  </w:tcBorders>
                  <w:vAlign w:val="center"/>
                </w:tcPr>
                <w:p w14:paraId="51D52A5D">
                  <w:pPr>
                    <w:spacing w:line="360" w:lineRule="exact"/>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0.001t</w:t>
                  </w:r>
                </w:p>
              </w:tc>
              <w:tc>
                <w:tcPr>
                  <w:tcW w:w="934" w:type="pct"/>
                  <w:tcBorders>
                    <w:top w:val="single" w:color="auto" w:sz="4" w:space="0"/>
                    <w:left w:val="single" w:color="auto" w:sz="4" w:space="0"/>
                    <w:bottom w:val="single" w:color="auto" w:sz="4" w:space="0"/>
                    <w:right w:val="single" w:color="auto" w:sz="4" w:space="0"/>
                  </w:tcBorders>
                  <w:vAlign w:val="center"/>
                </w:tcPr>
                <w:p w14:paraId="79333107">
                  <w:pPr>
                    <w:spacing w:line="360" w:lineRule="exact"/>
                    <w:jc w:val="center"/>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辅料存放区</w:t>
                  </w:r>
                </w:p>
              </w:tc>
              <w:tc>
                <w:tcPr>
                  <w:tcW w:w="1137" w:type="pct"/>
                  <w:tcBorders>
                    <w:top w:val="single" w:color="auto" w:sz="4" w:space="0"/>
                    <w:left w:val="single" w:color="auto" w:sz="4" w:space="0"/>
                    <w:bottom w:val="single" w:color="auto" w:sz="4" w:space="0"/>
                    <w:right w:val="single" w:color="auto" w:sz="4" w:space="0"/>
                  </w:tcBorders>
                  <w:vAlign w:val="center"/>
                </w:tcPr>
                <w:p w14:paraId="2041DECE">
                  <w:pPr>
                    <w:spacing w:line="360" w:lineRule="exact"/>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500ml/瓶</w:t>
                  </w:r>
                </w:p>
              </w:tc>
            </w:tr>
            <w:tr w14:paraId="2B5ED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1561D2A6">
                  <w:pPr>
                    <w:spacing w:line="360" w:lineRule="exact"/>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11</w:t>
                  </w:r>
                </w:p>
              </w:tc>
              <w:tc>
                <w:tcPr>
                  <w:tcW w:w="746" w:type="pct"/>
                  <w:tcBorders>
                    <w:top w:val="single" w:color="auto" w:sz="4" w:space="0"/>
                    <w:left w:val="single" w:color="auto" w:sz="4" w:space="0"/>
                    <w:bottom w:val="single" w:color="auto" w:sz="4" w:space="0"/>
                    <w:right w:val="single" w:color="auto" w:sz="4" w:space="0"/>
                  </w:tcBorders>
                  <w:vAlign w:val="center"/>
                </w:tcPr>
                <w:p w14:paraId="1C9A46B5">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氮气</w:t>
                  </w:r>
                </w:p>
              </w:tc>
              <w:tc>
                <w:tcPr>
                  <w:tcW w:w="891" w:type="pct"/>
                  <w:tcBorders>
                    <w:top w:val="single" w:color="auto" w:sz="4" w:space="0"/>
                    <w:left w:val="single" w:color="auto" w:sz="4" w:space="0"/>
                    <w:bottom w:val="single" w:color="auto" w:sz="4" w:space="0"/>
                    <w:right w:val="single" w:color="auto" w:sz="4" w:space="0"/>
                  </w:tcBorders>
                  <w:vAlign w:val="center"/>
                </w:tcPr>
                <w:p w14:paraId="53FF8595">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20m</w:t>
                  </w:r>
                  <w:r>
                    <w:rPr>
                      <w:rFonts w:hint="eastAsia" w:ascii="Times New Roman" w:hAnsi="Times New Roman" w:eastAsia="宋体" w:cs="Times New Roman"/>
                      <w:sz w:val="21"/>
                      <w:szCs w:val="21"/>
                      <w:vertAlign w:val="superscript"/>
                      <w:lang w:val="en-US" w:eastAsia="zh-CN"/>
                    </w:rPr>
                    <w:t>3</w:t>
                  </w:r>
                </w:p>
              </w:tc>
              <w:tc>
                <w:tcPr>
                  <w:tcW w:w="943" w:type="pct"/>
                  <w:tcBorders>
                    <w:top w:val="single" w:color="auto" w:sz="4" w:space="0"/>
                    <w:left w:val="single" w:color="auto" w:sz="4" w:space="0"/>
                    <w:bottom w:val="single" w:color="auto" w:sz="4" w:space="0"/>
                    <w:right w:val="single" w:color="auto" w:sz="4" w:space="0"/>
                  </w:tcBorders>
                  <w:vAlign w:val="center"/>
                </w:tcPr>
                <w:p w14:paraId="49B398BA">
                  <w:pPr>
                    <w:spacing w:line="360" w:lineRule="exact"/>
                    <w:jc w:val="center"/>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sz w:val="21"/>
                      <w:szCs w:val="21"/>
                      <w:lang w:val="en-US" w:eastAsia="zh-CN"/>
                    </w:rPr>
                    <w:t>20m</w:t>
                  </w:r>
                  <w:r>
                    <w:rPr>
                      <w:rFonts w:hint="eastAsia" w:ascii="Times New Roman" w:hAnsi="Times New Roman" w:eastAsia="宋体" w:cs="Times New Roman"/>
                      <w:sz w:val="21"/>
                      <w:szCs w:val="21"/>
                      <w:vertAlign w:val="superscript"/>
                      <w:lang w:val="en-US" w:eastAsia="zh-CN"/>
                    </w:rPr>
                    <w:t>3</w:t>
                  </w:r>
                </w:p>
              </w:tc>
              <w:tc>
                <w:tcPr>
                  <w:tcW w:w="934" w:type="pct"/>
                  <w:tcBorders>
                    <w:top w:val="single" w:color="auto" w:sz="4" w:space="0"/>
                    <w:left w:val="single" w:color="auto" w:sz="4" w:space="0"/>
                    <w:bottom w:val="single" w:color="auto" w:sz="4" w:space="0"/>
                    <w:right w:val="single" w:color="auto" w:sz="4" w:space="0"/>
                  </w:tcBorders>
                  <w:vAlign w:val="center"/>
                </w:tcPr>
                <w:p w14:paraId="3159CD48">
                  <w:pPr>
                    <w:spacing w:line="360" w:lineRule="exact"/>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生产车间</w:t>
                  </w:r>
                </w:p>
              </w:tc>
              <w:tc>
                <w:tcPr>
                  <w:tcW w:w="1137" w:type="pct"/>
                  <w:tcBorders>
                    <w:top w:val="single" w:color="auto" w:sz="4" w:space="0"/>
                    <w:left w:val="single" w:color="auto" w:sz="4" w:space="0"/>
                    <w:bottom w:val="single" w:color="auto" w:sz="4" w:space="0"/>
                    <w:right w:val="single" w:color="auto" w:sz="4" w:space="0"/>
                  </w:tcBorders>
                  <w:vAlign w:val="center"/>
                </w:tcPr>
                <w:p w14:paraId="23CCFA0B">
                  <w:pPr>
                    <w:spacing w:line="360" w:lineRule="exact"/>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w:t>
                  </w:r>
                </w:p>
              </w:tc>
            </w:tr>
            <w:tr w14:paraId="56C3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333B3326">
                  <w:pPr>
                    <w:spacing w:line="36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12</w:t>
                  </w:r>
                </w:p>
              </w:tc>
              <w:tc>
                <w:tcPr>
                  <w:tcW w:w="746" w:type="pct"/>
                  <w:tcBorders>
                    <w:top w:val="single" w:color="auto" w:sz="4" w:space="0"/>
                    <w:left w:val="single" w:color="auto" w:sz="4" w:space="0"/>
                    <w:bottom w:val="single" w:color="auto" w:sz="4" w:space="0"/>
                    <w:right w:val="single" w:color="auto" w:sz="4" w:space="0"/>
                  </w:tcBorders>
                  <w:vAlign w:val="center"/>
                </w:tcPr>
                <w:p w14:paraId="408C493E">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水</w:t>
                  </w:r>
                </w:p>
              </w:tc>
              <w:tc>
                <w:tcPr>
                  <w:tcW w:w="891" w:type="pct"/>
                  <w:tcBorders>
                    <w:top w:val="single" w:color="auto" w:sz="4" w:space="0"/>
                    <w:left w:val="single" w:color="auto" w:sz="4" w:space="0"/>
                    <w:bottom w:val="single" w:color="auto" w:sz="4" w:space="0"/>
                    <w:right w:val="single" w:color="auto" w:sz="4" w:space="0"/>
                  </w:tcBorders>
                  <w:shd w:val="clear" w:color="auto" w:fill="auto"/>
                  <w:vAlign w:val="center"/>
                </w:tcPr>
                <w:p w14:paraId="7A02CDCB">
                  <w:pPr>
                    <w:spacing w:line="36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0"/>
                      <w:sz w:val="21"/>
                      <w:szCs w:val="21"/>
                      <w:lang w:val="en-US" w:eastAsia="zh-CN"/>
                    </w:rPr>
                    <w:t>450t</w:t>
                  </w:r>
                  <w:r>
                    <w:rPr>
                      <w:rFonts w:ascii="Times New Roman" w:hAnsi="Times New Roman" w:cs="Times New Roman"/>
                      <w:sz w:val="21"/>
                      <w:szCs w:val="21"/>
                    </w:rPr>
                    <w:t>/a</w:t>
                  </w:r>
                </w:p>
              </w:tc>
              <w:tc>
                <w:tcPr>
                  <w:tcW w:w="943" w:type="pct"/>
                  <w:tcBorders>
                    <w:top w:val="single" w:color="auto" w:sz="4" w:space="0"/>
                    <w:left w:val="single" w:color="auto" w:sz="4" w:space="0"/>
                    <w:bottom w:val="single" w:color="auto" w:sz="4" w:space="0"/>
                    <w:right w:val="single" w:color="auto" w:sz="4" w:space="0"/>
                  </w:tcBorders>
                  <w:vAlign w:val="center"/>
                </w:tcPr>
                <w:p w14:paraId="6BBE4FB3">
                  <w:pPr>
                    <w:spacing w:line="360" w:lineRule="exact"/>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highlight w:val="none"/>
                      <w:lang w:val="en-US" w:eastAsia="zh-CN"/>
                    </w:rPr>
                    <w:t>/</w:t>
                  </w:r>
                </w:p>
              </w:tc>
              <w:tc>
                <w:tcPr>
                  <w:tcW w:w="934" w:type="pct"/>
                  <w:tcBorders>
                    <w:top w:val="single" w:color="auto" w:sz="4" w:space="0"/>
                    <w:left w:val="single" w:color="auto" w:sz="4" w:space="0"/>
                    <w:bottom w:val="single" w:color="auto" w:sz="4" w:space="0"/>
                    <w:right w:val="single" w:color="auto" w:sz="4" w:space="0"/>
                  </w:tcBorders>
                  <w:vAlign w:val="center"/>
                </w:tcPr>
                <w:p w14:paraId="28D6694D">
                  <w:pPr>
                    <w:spacing w:line="360" w:lineRule="exact"/>
                    <w:jc w:val="center"/>
                    <w:rPr>
                      <w:rFonts w:hint="eastAsia" w:ascii="Times New Roman" w:hAnsi="Times New Roman" w:eastAsia="宋体" w:cs="Times New Roman"/>
                      <w:kern w:val="0"/>
                      <w:sz w:val="21"/>
                      <w:szCs w:val="21"/>
                    </w:rPr>
                  </w:pPr>
                  <w:r>
                    <w:rPr>
                      <w:rFonts w:hint="eastAsia" w:ascii="Times New Roman" w:hAnsi="Times New Roman" w:eastAsia="宋体" w:cs="Times New Roman"/>
                      <w:szCs w:val="21"/>
                      <w:highlight w:val="none"/>
                      <w:lang w:val="en-US" w:eastAsia="zh-CN"/>
                    </w:rPr>
                    <w:t>/</w:t>
                  </w:r>
                </w:p>
              </w:tc>
              <w:tc>
                <w:tcPr>
                  <w:tcW w:w="1137" w:type="pct"/>
                  <w:tcBorders>
                    <w:top w:val="single" w:color="auto" w:sz="4" w:space="0"/>
                    <w:left w:val="single" w:color="auto" w:sz="4" w:space="0"/>
                    <w:bottom w:val="single" w:color="auto" w:sz="4" w:space="0"/>
                    <w:right w:val="single" w:color="auto" w:sz="4" w:space="0"/>
                  </w:tcBorders>
                  <w:vAlign w:val="center"/>
                </w:tcPr>
                <w:p w14:paraId="57AAF159">
                  <w:pPr>
                    <w:spacing w:line="360" w:lineRule="exact"/>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市政供水管网</w:t>
                  </w:r>
                </w:p>
                <w:p w14:paraId="004421B3">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Cs w:val="21"/>
                      <w:highlight w:val="none"/>
                      <w:lang w:val="en-US" w:eastAsia="zh-CN"/>
                    </w:rPr>
                    <w:t>统一供水</w:t>
                  </w:r>
                </w:p>
              </w:tc>
            </w:tr>
            <w:tr w14:paraId="3C86E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345" w:type="pct"/>
                  <w:tcBorders>
                    <w:top w:val="single" w:color="auto" w:sz="4" w:space="0"/>
                    <w:left w:val="single" w:color="auto" w:sz="4" w:space="0"/>
                    <w:bottom w:val="single" w:color="auto" w:sz="4" w:space="0"/>
                    <w:right w:val="single" w:color="auto" w:sz="4" w:space="0"/>
                  </w:tcBorders>
                  <w:vAlign w:val="center"/>
                </w:tcPr>
                <w:p w14:paraId="54E11360">
                  <w:pPr>
                    <w:spacing w:line="36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13</w:t>
                  </w:r>
                </w:p>
              </w:tc>
              <w:tc>
                <w:tcPr>
                  <w:tcW w:w="746" w:type="pct"/>
                  <w:tcBorders>
                    <w:top w:val="single" w:color="auto" w:sz="4" w:space="0"/>
                    <w:left w:val="single" w:color="auto" w:sz="4" w:space="0"/>
                    <w:bottom w:val="single" w:color="auto" w:sz="4" w:space="0"/>
                    <w:right w:val="single" w:color="auto" w:sz="4" w:space="0"/>
                  </w:tcBorders>
                  <w:vAlign w:val="center"/>
                </w:tcPr>
                <w:p w14:paraId="0ED9136C">
                  <w:pPr>
                    <w:spacing w:line="36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电</w:t>
                  </w:r>
                </w:p>
              </w:tc>
              <w:tc>
                <w:tcPr>
                  <w:tcW w:w="891" w:type="pct"/>
                  <w:tcBorders>
                    <w:top w:val="single" w:color="auto" w:sz="4" w:space="0"/>
                    <w:left w:val="single" w:color="auto" w:sz="4" w:space="0"/>
                    <w:bottom w:val="single" w:color="auto" w:sz="4" w:space="0"/>
                    <w:right w:val="single" w:color="auto" w:sz="4" w:space="0"/>
                  </w:tcBorders>
                  <w:shd w:val="clear" w:color="auto" w:fill="auto"/>
                  <w:vAlign w:val="center"/>
                </w:tcPr>
                <w:p w14:paraId="3FD81055">
                  <w:pPr>
                    <w:spacing w:line="36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highlight w:val="none"/>
                      <w:lang w:val="en-US" w:eastAsia="zh-CN"/>
                    </w:rPr>
                    <w:t>8万</w:t>
                  </w:r>
                  <w:r>
                    <w:rPr>
                      <w:rFonts w:hint="default" w:ascii="Times New Roman" w:hAnsi="Times New Roman" w:eastAsia="宋体" w:cs="Times New Roman"/>
                      <w:szCs w:val="21"/>
                      <w:highlight w:val="none"/>
                    </w:rPr>
                    <w:t>kWh/a</w:t>
                  </w:r>
                </w:p>
              </w:tc>
              <w:tc>
                <w:tcPr>
                  <w:tcW w:w="943" w:type="pct"/>
                  <w:tcBorders>
                    <w:top w:val="single" w:color="auto" w:sz="4" w:space="0"/>
                    <w:left w:val="single" w:color="auto" w:sz="4" w:space="0"/>
                    <w:bottom w:val="single" w:color="auto" w:sz="4" w:space="0"/>
                    <w:right w:val="single" w:color="auto" w:sz="4" w:space="0"/>
                  </w:tcBorders>
                  <w:vAlign w:val="center"/>
                </w:tcPr>
                <w:p w14:paraId="17272E93">
                  <w:pPr>
                    <w:spacing w:line="36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highlight w:val="none"/>
                      <w:lang w:val="en-US" w:eastAsia="zh-CN"/>
                    </w:rPr>
                    <w:t>/</w:t>
                  </w:r>
                </w:p>
              </w:tc>
              <w:tc>
                <w:tcPr>
                  <w:tcW w:w="934" w:type="pct"/>
                  <w:tcBorders>
                    <w:top w:val="single" w:color="auto" w:sz="4" w:space="0"/>
                    <w:left w:val="single" w:color="auto" w:sz="4" w:space="0"/>
                    <w:bottom w:val="single" w:color="auto" w:sz="4" w:space="0"/>
                    <w:right w:val="single" w:color="auto" w:sz="4" w:space="0"/>
                  </w:tcBorders>
                  <w:vAlign w:val="center"/>
                </w:tcPr>
                <w:p w14:paraId="5F29137E">
                  <w:pPr>
                    <w:spacing w:line="360" w:lineRule="exact"/>
                    <w:jc w:val="center"/>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w:t>
                  </w:r>
                </w:p>
              </w:tc>
              <w:tc>
                <w:tcPr>
                  <w:tcW w:w="1137" w:type="pct"/>
                  <w:tcBorders>
                    <w:top w:val="single" w:color="auto" w:sz="4" w:space="0"/>
                    <w:left w:val="single" w:color="auto" w:sz="4" w:space="0"/>
                    <w:bottom w:val="single" w:color="auto" w:sz="4" w:space="0"/>
                    <w:right w:val="single" w:color="auto" w:sz="4" w:space="0"/>
                  </w:tcBorders>
                  <w:vAlign w:val="center"/>
                </w:tcPr>
                <w:p w14:paraId="070F3A37">
                  <w:pPr>
                    <w:spacing w:line="360" w:lineRule="exact"/>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市政电网统一</w:t>
                  </w:r>
                </w:p>
                <w:p w14:paraId="50E2FECB">
                  <w:pPr>
                    <w:spacing w:line="36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Cs w:val="21"/>
                      <w:highlight w:val="none"/>
                    </w:rPr>
                    <w:t>供电</w:t>
                  </w:r>
                </w:p>
              </w:tc>
            </w:tr>
          </w:tbl>
          <w:p w14:paraId="6B3CFF98">
            <w:pPr>
              <w:pStyle w:val="7"/>
              <w:keepNext w:val="0"/>
              <w:keepLines w:val="0"/>
              <w:pageBreakBefore w:val="0"/>
              <w:widowControl w:val="0"/>
              <w:kinsoku/>
              <w:wordWrap/>
              <w:overflowPunct/>
              <w:topLinePunct w:val="0"/>
              <w:bidi w:val="0"/>
              <w:snapToGrid/>
              <w:spacing w:line="240" w:lineRule="auto"/>
              <w:ind w:firstLine="360" w:firstLineChars="200"/>
              <w:jc w:val="both"/>
              <w:rPr>
                <w:rFonts w:hint="default" w:ascii="Times New Roman" w:hAnsi="Times New Roman" w:eastAsia="宋体" w:cs="Times New Roman"/>
                <w:sz w:val="18"/>
                <w:szCs w:val="18"/>
              </w:rPr>
            </w:pPr>
            <w:r>
              <w:rPr>
                <w:rFonts w:hint="eastAsia" w:ascii="Times New Roman" w:hAnsi="Times New Roman" w:eastAsia="宋体" w:cs="Times New Roman"/>
                <w:sz w:val="18"/>
                <w:szCs w:val="18"/>
                <w:vertAlign w:val="superscript"/>
                <w:lang w:val="en-US" w:eastAsia="zh-CN"/>
              </w:rPr>
              <w:t>a</w:t>
            </w:r>
            <w:r>
              <w:rPr>
                <w:rFonts w:hint="eastAsia" w:ascii="Times New Roman" w:hAnsi="Times New Roman" w:eastAsia="宋体" w:cs="Times New Roman"/>
                <w:sz w:val="18"/>
                <w:szCs w:val="18"/>
                <w:vertAlign w:val="baseline"/>
                <w:lang w:val="en-US" w:eastAsia="zh-CN"/>
              </w:rPr>
              <w:t>锡膏</w:t>
            </w:r>
            <w:r>
              <w:rPr>
                <w:rFonts w:hint="eastAsia" w:ascii="Times New Roman" w:hAnsi="Times New Roman" w:eastAsia="宋体" w:cs="Times New Roman"/>
                <w:sz w:val="18"/>
                <w:szCs w:val="18"/>
                <w:lang w:val="en-US" w:eastAsia="zh-CN"/>
              </w:rPr>
              <w:t>用量</w:t>
            </w:r>
            <w:r>
              <w:rPr>
                <w:rFonts w:hint="default" w:ascii="Times New Roman" w:hAnsi="Times New Roman" w:eastAsia="宋体" w:cs="Times New Roman"/>
                <w:sz w:val="18"/>
                <w:szCs w:val="18"/>
              </w:rPr>
              <w:t>核算：</w:t>
            </w:r>
            <w:r>
              <w:rPr>
                <w:rFonts w:hint="eastAsia" w:ascii="Times New Roman" w:hAnsi="Times New Roman" w:eastAsia="宋体" w:cs="Times New Roman"/>
                <w:sz w:val="18"/>
                <w:szCs w:val="18"/>
                <w:lang w:val="en-US" w:eastAsia="zh-CN"/>
              </w:rPr>
              <w:t>根据</w:t>
            </w:r>
            <w:r>
              <w:rPr>
                <w:rFonts w:hint="default" w:ascii="Times New Roman" w:hAnsi="Times New Roman" w:eastAsia="宋体" w:cs="Times New Roman"/>
                <w:sz w:val="18"/>
                <w:szCs w:val="18"/>
              </w:rPr>
              <w:t>建设单位</w:t>
            </w:r>
            <w:r>
              <w:rPr>
                <w:rFonts w:hint="eastAsia" w:ascii="Times New Roman" w:hAnsi="Times New Roman" w:eastAsia="宋体" w:cs="Times New Roman"/>
                <w:sz w:val="18"/>
                <w:szCs w:val="18"/>
                <w:lang w:val="en-US" w:eastAsia="zh-CN"/>
              </w:rPr>
              <w:t>提供资料</w:t>
            </w:r>
            <w:r>
              <w:rPr>
                <w:rFonts w:hint="default" w:ascii="Times New Roman" w:hAnsi="Times New Roman" w:eastAsia="宋体" w:cs="Times New Roman"/>
                <w:sz w:val="18"/>
                <w:szCs w:val="18"/>
              </w:rPr>
              <w:t>，</w:t>
            </w:r>
            <w:r>
              <w:rPr>
                <w:rFonts w:hint="default" w:ascii="Times New Roman" w:hAnsi="Times New Roman" w:eastAsia="宋体" w:cs="Times New Roman"/>
                <w:sz w:val="18"/>
                <w:szCs w:val="18"/>
                <w:lang w:val="en-US" w:eastAsia="zh-CN"/>
              </w:rPr>
              <w:t>本项目电路板</w:t>
            </w:r>
            <w:r>
              <w:rPr>
                <w:rFonts w:hint="default" w:ascii="Times New Roman" w:hAnsi="Times New Roman" w:eastAsia="宋体" w:cs="Times New Roman"/>
                <w:sz w:val="18"/>
                <w:szCs w:val="18"/>
              </w:rPr>
              <w:t>印刷过程锡膏的</w:t>
            </w:r>
            <w:r>
              <w:rPr>
                <w:rFonts w:hint="eastAsia" w:ascii="Times New Roman" w:hAnsi="Times New Roman" w:eastAsia="宋体" w:cs="Times New Roman"/>
                <w:sz w:val="18"/>
                <w:szCs w:val="18"/>
                <w:lang w:val="en-US" w:eastAsia="zh-CN"/>
              </w:rPr>
              <w:t>最大</w:t>
            </w:r>
            <w:r>
              <w:rPr>
                <w:rFonts w:hint="default" w:ascii="Times New Roman" w:hAnsi="Times New Roman" w:eastAsia="宋体" w:cs="Times New Roman"/>
                <w:sz w:val="18"/>
                <w:szCs w:val="18"/>
              </w:rPr>
              <w:t>用量约</w:t>
            </w:r>
            <w:r>
              <w:rPr>
                <w:rFonts w:hint="eastAsia" w:ascii="Times New Roman" w:hAnsi="Times New Roman" w:eastAsia="宋体" w:cs="Times New Roman"/>
                <w:sz w:val="18"/>
                <w:szCs w:val="18"/>
                <w:lang w:val="en-US" w:eastAsia="zh-CN"/>
              </w:rPr>
              <w:t>10</w:t>
            </w:r>
            <w:r>
              <w:rPr>
                <w:rFonts w:hint="default" w:ascii="Times New Roman" w:hAnsi="Times New Roman" w:eastAsia="宋体" w:cs="Times New Roman"/>
                <w:sz w:val="18"/>
                <w:szCs w:val="18"/>
              </w:rPr>
              <w:t>g/</w:t>
            </w:r>
            <w:r>
              <w:rPr>
                <w:rFonts w:hint="eastAsia" w:ascii="Times New Roman" w:hAnsi="Times New Roman" w:eastAsia="宋体" w:cs="Times New Roman"/>
                <w:sz w:val="18"/>
                <w:szCs w:val="18"/>
                <w:lang w:val="en-US" w:eastAsia="zh-CN"/>
              </w:rPr>
              <w:t>块</w:t>
            </w:r>
            <w:r>
              <w:rPr>
                <w:rFonts w:hint="default" w:ascii="Times New Roman" w:hAnsi="Times New Roman" w:eastAsia="宋体" w:cs="Times New Roman"/>
                <w:sz w:val="18"/>
                <w:szCs w:val="18"/>
              </w:rPr>
              <w:t>，</w:t>
            </w:r>
            <w:r>
              <w:rPr>
                <w:rFonts w:hint="default" w:ascii="Times New Roman" w:hAnsi="Times New Roman" w:eastAsia="宋体" w:cs="Times New Roman"/>
                <w:sz w:val="18"/>
                <w:szCs w:val="18"/>
                <w:lang w:val="en-US" w:eastAsia="zh-CN"/>
              </w:rPr>
              <w:t>本项目电路板使用量为50</w:t>
            </w:r>
            <w:r>
              <w:rPr>
                <w:rFonts w:hint="eastAsia" w:ascii="Times New Roman" w:hAnsi="Times New Roman" w:eastAsia="宋体" w:cs="Times New Roman"/>
                <w:sz w:val="18"/>
                <w:szCs w:val="18"/>
                <w:lang w:val="en-US" w:eastAsia="zh-CN"/>
              </w:rPr>
              <w:t>10</w:t>
            </w:r>
            <w:r>
              <w:rPr>
                <w:rFonts w:hint="default" w:ascii="Times New Roman" w:hAnsi="Times New Roman" w:eastAsia="宋体" w:cs="Times New Roman"/>
                <w:sz w:val="18"/>
                <w:szCs w:val="18"/>
                <w:lang w:val="en-US" w:eastAsia="zh-CN"/>
              </w:rPr>
              <w:t>0块，</w:t>
            </w:r>
            <w:r>
              <w:rPr>
                <w:rFonts w:hint="default" w:ascii="Times New Roman" w:hAnsi="Times New Roman" w:eastAsia="宋体" w:cs="Times New Roman"/>
                <w:sz w:val="18"/>
                <w:szCs w:val="18"/>
              </w:rPr>
              <w:t>则锡膏用量=</w:t>
            </w:r>
            <w:r>
              <w:rPr>
                <w:rFonts w:hint="default" w:ascii="Times New Roman" w:hAnsi="Times New Roman" w:eastAsia="宋体" w:cs="Times New Roman"/>
                <w:sz w:val="18"/>
                <w:szCs w:val="18"/>
                <w:lang w:val="en-US" w:eastAsia="zh-CN"/>
              </w:rPr>
              <w:t>50</w:t>
            </w:r>
            <w:r>
              <w:rPr>
                <w:rFonts w:hint="eastAsia" w:ascii="Times New Roman" w:hAnsi="Times New Roman" w:eastAsia="宋体" w:cs="Times New Roman"/>
                <w:sz w:val="18"/>
                <w:szCs w:val="18"/>
                <w:lang w:val="en-US" w:eastAsia="zh-CN"/>
              </w:rPr>
              <w:t>10</w:t>
            </w:r>
            <w:r>
              <w:rPr>
                <w:rFonts w:hint="default" w:ascii="Times New Roman" w:hAnsi="Times New Roman" w:eastAsia="宋体" w:cs="Times New Roman"/>
                <w:sz w:val="18"/>
                <w:szCs w:val="18"/>
                <w:lang w:val="en-US" w:eastAsia="zh-CN"/>
              </w:rPr>
              <w:t>0块</w:t>
            </w:r>
            <w:r>
              <w:rPr>
                <w:rFonts w:hint="default" w:ascii="Times New Roman" w:hAnsi="Times New Roman" w:eastAsia="宋体" w:cs="Times New Roman"/>
                <w:sz w:val="18"/>
                <w:szCs w:val="18"/>
              </w:rPr>
              <w:t>/a</w:t>
            </w:r>
            <w:r>
              <w:rPr>
                <w:rFonts w:hint="default" w:ascii="Arial" w:hAnsi="Arial" w:eastAsia="宋体" w:cs="Arial"/>
                <w:sz w:val="18"/>
                <w:szCs w:val="18"/>
              </w:rPr>
              <w:t>×</w:t>
            </w:r>
            <w:r>
              <w:rPr>
                <w:rFonts w:hint="eastAsia" w:ascii="Times New Roman" w:hAnsi="Times New Roman" w:eastAsia="宋体" w:cs="Times New Roman"/>
                <w:sz w:val="18"/>
                <w:szCs w:val="18"/>
                <w:lang w:val="en-US" w:eastAsia="zh-CN"/>
              </w:rPr>
              <w:t>10</w:t>
            </w:r>
            <w:r>
              <w:rPr>
                <w:rFonts w:hint="default" w:ascii="Times New Roman" w:hAnsi="Times New Roman" w:eastAsia="宋体" w:cs="Times New Roman"/>
                <w:sz w:val="18"/>
                <w:szCs w:val="18"/>
              </w:rPr>
              <w:t>g/</w:t>
            </w:r>
            <w:r>
              <w:rPr>
                <w:rFonts w:hint="eastAsia" w:ascii="Times New Roman" w:hAnsi="Times New Roman" w:eastAsia="宋体" w:cs="Times New Roman"/>
                <w:sz w:val="18"/>
                <w:szCs w:val="18"/>
                <w:lang w:val="en-US" w:eastAsia="zh-CN"/>
              </w:rPr>
              <w:t>块</w:t>
            </w:r>
            <w:r>
              <w:rPr>
                <w:rFonts w:hint="eastAsia" w:ascii="宋体" w:hAnsi="宋体" w:eastAsia="宋体" w:cs="宋体"/>
                <w:sz w:val="18"/>
                <w:szCs w:val="18"/>
                <w:lang w:val="en-US" w:eastAsia="zh-CN"/>
              </w:rPr>
              <w:t>≈</w:t>
            </w:r>
            <w:r>
              <w:rPr>
                <w:rFonts w:hint="default" w:ascii="Times New Roman" w:hAnsi="Times New Roman" w:eastAsia="宋体" w:cs="Times New Roman"/>
                <w:sz w:val="18"/>
                <w:szCs w:val="18"/>
                <w:lang w:val="en-US" w:eastAsia="zh-CN"/>
              </w:rPr>
              <w:t>0.</w:t>
            </w:r>
            <w:r>
              <w:rPr>
                <w:rFonts w:hint="eastAsia" w:ascii="Times New Roman" w:hAnsi="Times New Roman" w:eastAsia="宋体" w:cs="Times New Roman"/>
                <w:sz w:val="18"/>
                <w:szCs w:val="18"/>
                <w:lang w:val="en-US" w:eastAsia="zh-CN"/>
              </w:rPr>
              <w:t>5</w:t>
            </w:r>
            <w:r>
              <w:rPr>
                <w:rFonts w:hint="default" w:ascii="Times New Roman" w:hAnsi="Times New Roman" w:eastAsia="宋体" w:cs="Times New Roman"/>
                <w:sz w:val="18"/>
                <w:szCs w:val="18"/>
              </w:rPr>
              <w:t>t/a。</w:t>
            </w:r>
          </w:p>
          <w:p w14:paraId="698513A8">
            <w:pPr>
              <w:pStyle w:val="7"/>
              <w:keepNext w:val="0"/>
              <w:keepLines w:val="0"/>
              <w:pageBreakBefore w:val="0"/>
              <w:widowControl w:val="0"/>
              <w:kinsoku/>
              <w:wordWrap/>
              <w:overflowPunct/>
              <w:topLinePunct w:val="0"/>
              <w:bidi w:val="0"/>
              <w:snapToGrid/>
              <w:spacing w:line="240" w:lineRule="auto"/>
              <w:ind w:firstLine="360" w:firstLineChars="200"/>
              <w:jc w:val="both"/>
              <w:rPr>
                <w:rFonts w:hint="default" w:ascii="Times New Roman" w:hAnsi="Times New Roman" w:eastAsia="宋体" w:cs="Times New Roman"/>
                <w:sz w:val="18"/>
                <w:szCs w:val="18"/>
                <w:lang w:val="en-US" w:eastAsia="zh-CN"/>
              </w:rPr>
            </w:pPr>
            <w:r>
              <w:rPr>
                <w:rFonts w:hint="eastAsia" w:ascii="Times New Roman" w:hAnsi="Times New Roman" w:eastAsia="宋体" w:cs="Times New Roman"/>
                <w:sz w:val="18"/>
                <w:szCs w:val="18"/>
                <w:vertAlign w:val="superscript"/>
                <w:lang w:val="en-US" w:eastAsia="zh-CN"/>
              </w:rPr>
              <w:t>b</w:t>
            </w:r>
            <w:r>
              <w:rPr>
                <w:rFonts w:hint="eastAsia" w:ascii="Times New Roman" w:hAnsi="Times New Roman" w:eastAsia="宋体" w:cs="Times New Roman"/>
                <w:sz w:val="18"/>
                <w:szCs w:val="18"/>
                <w:lang w:val="en-US" w:eastAsia="zh-CN"/>
              </w:rPr>
              <w:t>助焊剂用量核算：根据</w:t>
            </w:r>
            <w:r>
              <w:rPr>
                <w:rFonts w:hint="default" w:ascii="Times New Roman" w:hAnsi="Times New Roman" w:eastAsia="宋体" w:cs="Times New Roman"/>
                <w:sz w:val="18"/>
                <w:szCs w:val="18"/>
              </w:rPr>
              <w:t>建设单位</w:t>
            </w:r>
            <w:r>
              <w:rPr>
                <w:rFonts w:hint="eastAsia" w:ascii="Times New Roman" w:hAnsi="Times New Roman" w:eastAsia="宋体" w:cs="Times New Roman"/>
                <w:sz w:val="18"/>
                <w:szCs w:val="18"/>
                <w:lang w:val="en-US" w:eastAsia="zh-CN"/>
              </w:rPr>
              <w:t>提供资料，本项目助焊剂用量约为锡膏用量的10%，则本项目助焊剂用量为0.05t/a。</w:t>
            </w:r>
          </w:p>
          <w:p w14:paraId="3E32592D">
            <w:pPr>
              <w:pStyle w:val="7"/>
              <w:keepNext w:val="0"/>
              <w:keepLines w:val="0"/>
              <w:pageBreakBefore w:val="0"/>
              <w:widowControl w:val="0"/>
              <w:kinsoku/>
              <w:wordWrap/>
              <w:overflowPunct/>
              <w:topLinePunct w:val="0"/>
              <w:bidi w:val="0"/>
              <w:snapToGrid/>
              <w:spacing w:line="360" w:lineRule="auto"/>
              <w:jc w:val="center"/>
              <w:rPr>
                <w:rFonts w:hint="default" w:ascii="Times New Roman" w:hAnsi="Times New Roman" w:cs="Times New Roman"/>
                <w:bCs/>
                <w:sz w:val="24"/>
              </w:rPr>
            </w:pPr>
            <w:r>
              <w:rPr>
                <w:rFonts w:hint="default" w:ascii="Times New Roman" w:hAnsi="Times New Roman" w:cs="Times New Roman"/>
                <w:sz w:val="21"/>
                <w:szCs w:val="21"/>
              </w:rPr>
              <w:t>表</w:t>
            </w:r>
            <w:r>
              <w:rPr>
                <w:rFonts w:hint="eastAsia" w:ascii="Times New Roman" w:hAnsi="Times New Roman" w:cs="Times New Roman"/>
                <w:sz w:val="21"/>
                <w:szCs w:val="21"/>
                <w:lang w:val="en-US" w:eastAsia="zh-CN"/>
              </w:rPr>
              <w:t>2-7</w:t>
            </w:r>
            <w:r>
              <w:rPr>
                <w:rFonts w:hint="default" w:ascii="Times New Roman" w:hAnsi="Times New Roman" w:cs="Times New Roman"/>
                <w:sz w:val="21"/>
                <w:szCs w:val="21"/>
              </w:rPr>
              <w:t xml:space="preserve"> </w:t>
            </w:r>
            <w:r>
              <w:rPr>
                <w:rFonts w:hint="eastAsia" w:ascii="Times New Roman" w:hAnsi="Times New Roman" w:cs="Times New Roman"/>
                <w:sz w:val="21"/>
                <w:szCs w:val="21"/>
                <w:lang w:val="en-US" w:eastAsia="zh-CN"/>
              </w:rPr>
              <w:t>原辅材料理化性质</w:t>
            </w:r>
            <w:r>
              <w:rPr>
                <w:rFonts w:hint="default" w:ascii="Times New Roman" w:hAnsi="Times New Roman" w:cs="Times New Roman"/>
                <w:sz w:val="21"/>
                <w:szCs w:val="21"/>
              </w:rPr>
              <w:t>一览表</w:t>
            </w:r>
          </w:p>
          <w:tbl>
            <w:tblPr>
              <w:tblStyle w:val="2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4"/>
              <w:gridCol w:w="7022"/>
            </w:tblGrid>
            <w:tr w14:paraId="698E3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689" w:type="pct"/>
                  <w:tcBorders>
                    <w:top w:val="single" w:color="auto" w:sz="4" w:space="0"/>
                    <w:left w:val="single" w:color="auto" w:sz="4" w:space="0"/>
                    <w:bottom w:val="single" w:color="auto" w:sz="4" w:space="0"/>
                    <w:right w:val="single" w:color="auto" w:sz="4" w:space="0"/>
                  </w:tcBorders>
                  <w:vAlign w:val="center"/>
                </w:tcPr>
                <w:p w14:paraId="0BC3A81F">
                  <w:pPr>
                    <w:spacing w:line="360" w:lineRule="exact"/>
                    <w:jc w:val="center"/>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名称</w:t>
                  </w:r>
                </w:p>
              </w:tc>
              <w:tc>
                <w:tcPr>
                  <w:tcW w:w="4310" w:type="pct"/>
                  <w:tcBorders>
                    <w:top w:val="single" w:color="auto" w:sz="4" w:space="0"/>
                    <w:left w:val="single" w:color="auto" w:sz="4" w:space="0"/>
                    <w:bottom w:val="single" w:color="auto" w:sz="4" w:space="0"/>
                    <w:right w:val="single" w:color="auto" w:sz="4" w:space="0"/>
                  </w:tcBorders>
                  <w:vAlign w:val="center"/>
                </w:tcPr>
                <w:p w14:paraId="500BE1E8">
                  <w:pPr>
                    <w:spacing w:line="360" w:lineRule="exact"/>
                    <w:jc w:val="center"/>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理化特性</w:t>
                  </w:r>
                </w:p>
              </w:tc>
            </w:tr>
            <w:tr w14:paraId="2E6C7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89" w:type="pct"/>
                  <w:tcBorders>
                    <w:top w:val="single" w:color="auto" w:sz="4" w:space="0"/>
                    <w:left w:val="single" w:color="auto" w:sz="4" w:space="0"/>
                    <w:bottom w:val="single" w:color="auto" w:sz="4" w:space="0"/>
                    <w:right w:val="single" w:color="auto" w:sz="4" w:space="0"/>
                  </w:tcBorders>
                  <w:vAlign w:val="center"/>
                </w:tcPr>
                <w:p w14:paraId="7E32B203">
                  <w:pPr>
                    <w:spacing w:line="36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无铅</w:t>
                  </w:r>
                </w:p>
                <w:p w14:paraId="5829FA9A">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锡膏</w:t>
                  </w:r>
                </w:p>
              </w:tc>
              <w:tc>
                <w:tcPr>
                  <w:tcW w:w="4310" w:type="pct"/>
                  <w:tcBorders>
                    <w:top w:val="single" w:color="auto" w:sz="4" w:space="0"/>
                    <w:left w:val="single" w:color="auto" w:sz="4" w:space="0"/>
                    <w:bottom w:val="single" w:color="auto" w:sz="4" w:space="0"/>
                    <w:right w:val="single" w:color="auto" w:sz="4" w:space="0"/>
                  </w:tcBorders>
                  <w:shd w:val="clear" w:color="auto" w:fill="auto"/>
                  <w:vAlign w:val="center"/>
                </w:tcPr>
                <w:p w14:paraId="51959445">
                  <w:pPr>
                    <w:spacing w:line="360" w:lineRule="exact"/>
                    <w:jc w:val="center"/>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成分为</w:t>
                  </w:r>
                  <w:r>
                    <w:rPr>
                      <w:rFonts w:hint="default" w:ascii="Times New Roman" w:hAnsi="Times New Roman" w:eastAsia="宋体" w:cs="Times New Roman"/>
                      <w:sz w:val="21"/>
                      <w:szCs w:val="21"/>
                      <w:highlight w:val="none"/>
                      <w:lang w:val="en-US" w:eastAsia="zh-CN"/>
                    </w:rPr>
                    <w:t>锡</w:t>
                  </w:r>
                  <w:r>
                    <w:rPr>
                      <w:rFonts w:hint="eastAsia" w:ascii="Times New Roman" w:hAnsi="Times New Roman" w:eastAsia="宋体" w:cs="Times New Roman"/>
                      <w:sz w:val="21"/>
                      <w:szCs w:val="21"/>
                      <w:highlight w:val="none"/>
                      <w:lang w:val="en-US" w:eastAsia="zh-CN"/>
                    </w:rPr>
                    <w:t>90</w:t>
                  </w:r>
                  <w:r>
                    <w:rPr>
                      <w:rFonts w:hint="default" w:ascii="Times New Roman" w:hAnsi="Times New Roman" w:eastAsia="宋体" w:cs="Times New Roman"/>
                      <w:sz w:val="21"/>
                      <w:szCs w:val="21"/>
                      <w:highlight w:val="none"/>
                      <w:lang w:val="en-US" w:eastAsia="zh-CN"/>
                    </w:rPr>
                    <w:t>%</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银</w:t>
                  </w:r>
                  <w:r>
                    <w:rPr>
                      <w:rFonts w:hint="eastAsia" w:ascii="Times New Roman" w:hAnsi="Times New Roman" w:eastAsia="宋体" w:cs="Times New Roman"/>
                      <w:sz w:val="21"/>
                      <w:szCs w:val="21"/>
                      <w:highlight w:val="none"/>
                      <w:lang w:val="en-US" w:eastAsia="zh-CN"/>
                    </w:rPr>
                    <w:t>0.3</w:t>
                  </w:r>
                  <w:r>
                    <w:rPr>
                      <w:rFonts w:hint="default" w:ascii="Times New Roman" w:hAnsi="Times New Roman" w:eastAsia="宋体" w:cs="Times New Roman"/>
                      <w:sz w:val="21"/>
                      <w:szCs w:val="21"/>
                      <w:highlight w:val="none"/>
                      <w:lang w:val="en-US" w:eastAsia="zh-CN"/>
                    </w:rPr>
                    <w:t>%</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铜</w:t>
                  </w:r>
                  <w:r>
                    <w:rPr>
                      <w:rFonts w:hint="eastAsia" w:ascii="Times New Roman" w:hAnsi="Times New Roman" w:eastAsia="宋体" w:cs="Times New Roman"/>
                      <w:sz w:val="21"/>
                      <w:szCs w:val="21"/>
                      <w:highlight w:val="none"/>
                      <w:lang w:val="en-US" w:eastAsia="zh-CN"/>
                    </w:rPr>
                    <w:t>0.7</w:t>
                  </w:r>
                  <w:r>
                    <w:rPr>
                      <w:rFonts w:hint="default" w:ascii="Times New Roman" w:hAnsi="Times New Roman" w:eastAsia="宋体" w:cs="Times New Roman"/>
                      <w:sz w:val="21"/>
                      <w:szCs w:val="21"/>
                      <w:highlight w:val="none"/>
                      <w:lang w:val="en-US" w:eastAsia="zh-CN"/>
                    </w:rPr>
                    <w:t>%</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松香</w:t>
                  </w:r>
                  <w:r>
                    <w:rPr>
                      <w:rFonts w:hint="eastAsia" w:ascii="Times New Roman" w:hAnsi="Times New Roman" w:eastAsia="宋体" w:cs="Times New Roman"/>
                      <w:sz w:val="21"/>
                      <w:szCs w:val="21"/>
                      <w:highlight w:val="none"/>
                      <w:lang w:val="en-US" w:eastAsia="zh-CN"/>
                    </w:rPr>
                    <w:t>树脂5</w:t>
                  </w:r>
                  <w:r>
                    <w:rPr>
                      <w:rFonts w:hint="default" w:ascii="Times New Roman" w:hAnsi="Times New Roman" w:eastAsia="宋体" w:cs="Times New Roman"/>
                      <w:sz w:val="21"/>
                      <w:szCs w:val="21"/>
                      <w:highlight w:val="none"/>
                      <w:lang w:val="en-US" w:eastAsia="zh-CN"/>
                    </w:rPr>
                    <w:t>%，</w:t>
                  </w:r>
                  <w:r>
                    <w:rPr>
                      <w:rFonts w:hint="eastAsia" w:ascii="Times New Roman" w:hAnsi="Times New Roman" w:eastAsia="宋体" w:cs="Times New Roman"/>
                      <w:sz w:val="21"/>
                      <w:szCs w:val="21"/>
                      <w:highlight w:val="none"/>
                      <w:lang w:val="en-US" w:eastAsia="zh-CN"/>
                    </w:rPr>
                    <w:t>触变剂</w:t>
                  </w:r>
                  <w:r>
                    <w:rPr>
                      <w:rFonts w:hint="default" w:ascii="Times New Roman" w:hAnsi="Times New Roman" w:eastAsia="宋体" w:cs="Times New Roman"/>
                      <w:sz w:val="21"/>
                      <w:szCs w:val="21"/>
                      <w:highlight w:val="none"/>
                      <w:lang w:val="en-US" w:eastAsia="zh-CN"/>
                    </w:rPr>
                    <w:t>1%，</w:t>
                  </w:r>
                  <w:r>
                    <w:rPr>
                      <w:rFonts w:hint="eastAsia" w:ascii="Times New Roman" w:hAnsi="Times New Roman" w:eastAsia="宋体" w:cs="Times New Roman"/>
                      <w:sz w:val="21"/>
                      <w:szCs w:val="21"/>
                      <w:highlight w:val="none"/>
                      <w:lang w:val="en-US" w:eastAsia="zh-CN"/>
                    </w:rPr>
                    <w:t>活性剂1%，溶剂2%。形态：膏状；外观颜色：金属灰色；气味：微刺激气味；溶解性：不溶于水；熔化点：217℃；闪点：60℃。</w:t>
                  </w:r>
                  <w:r>
                    <w:rPr>
                      <w:rFonts w:hint="default" w:ascii="Times New Roman" w:hAnsi="Times New Roman" w:eastAsia="宋体" w:cs="Times New Roman"/>
                      <w:sz w:val="21"/>
                      <w:szCs w:val="21"/>
                      <w:highlight w:val="none"/>
                      <w:lang w:val="en-US" w:eastAsia="zh-CN"/>
                    </w:rPr>
                    <w:t>对眼睛、皮肤、粘膜和上呼吸道有刺激作用</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长期吸入锡的烟雾或粉尘可引起尘肺（或锡末沉着症）。</w:t>
                  </w:r>
                  <w:r>
                    <w:rPr>
                      <w:rFonts w:hint="eastAsia" w:ascii="Times New Roman" w:hAnsi="Times New Roman" w:eastAsia="宋体" w:cs="Times New Roman"/>
                      <w:sz w:val="21"/>
                      <w:szCs w:val="21"/>
                      <w:highlight w:val="none"/>
                      <w:lang w:val="en-US" w:eastAsia="zh-CN"/>
                    </w:rPr>
                    <w:t>MSDS详见附件4。</w:t>
                  </w:r>
                </w:p>
              </w:tc>
            </w:tr>
            <w:tr w14:paraId="24777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89" w:type="pct"/>
                  <w:tcBorders>
                    <w:top w:val="single" w:color="auto" w:sz="4" w:space="0"/>
                    <w:left w:val="single" w:color="auto" w:sz="4" w:space="0"/>
                    <w:bottom w:val="single" w:color="auto" w:sz="4" w:space="0"/>
                    <w:right w:val="single" w:color="auto" w:sz="4" w:space="0"/>
                  </w:tcBorders>
                  <w:shd w:val="clear" w:color="auto" w:fill="auto"/>
                  <w:vAlign w:val="center"/>
                </w:tcPr>
                <w:p w14:paraId="34B79B28">
                  <w:pPr>
                    <w:spacing w:line="360" w:lineRule="exact"/>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助焊剂</w:t>
                  </w:r>
                </w:p>
              </w:tc>
              <w:tc>
                <w:tcPr>
                  <w:tcW w:w="4310" w:type="pct"/>
                  <w:tcBorders>
                    <w:top w:val="single" w:color="auto" w:sz="4" w:space="0"/>
                    <w:left w:val="single" w:color="auto" w:sz="4" w:space="0"/>
                    <w:bottom w:val="single" w:color="auto" w:sz="4" w:space="0"/>
                    <w:right w:val="single" w:color="auto" w:sz="4" w:space="0"/>
                  </w:tcBorders>
                  <w:shd w:val="clear" w:color="auto" w:fill="auto"/>
                  <w:vAlign w:val="center"/>
                </w:tcPr>
                <w:p w14:paraId="37FBDDD9">
                  <w:pPr>
                    <w:spacing w:line="360" w:lineRule="exact"/>
                    <w:jc w:val="center"/>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sz w:val="21"/>
                      <w:szCs w:val="21"/>
                      <w:highlight w:val="none"/>
                      <w:lang w:val="en-US" w:eastAsia="zh-CN"/>
                    </w:rPr>
                    <w:t>易燃液体，成分为</w:t>
                  </w:r>
                  <w:r>
                    <w:rPr>
                      <w:rFonts w:hint="default" w:ascii="Times New Roman" w:hAnsi="Times New Roman" w:eastAsia="宋体" w:cs="Times New Roman"/>
                      <w:sz w:val="21"/>
                      <w:szCs w:val="21"/>
                      <w:highlight w:val="none"/>
                      <w:lang w:val="en-US" w:eastAsia="zh-CN"/>
                    </w:rPr>
                    <w:t>醇类</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混合醇</w:t>
                  </w:r>
                  <w:r>
                    <w:rPr>
                      <w:rFonts w:hint="eastAsia" w:ascii="Times New Roman" w:hAnsi="Times New Roman" w:eastAsia="宋体" w:cs="Times New Roman"/>
                      <w:sz w:val="21"/>
                      <w:szCs w:val="21"/>
                      <w:highlight w:val="none"/>
                      <w:lang w:val="en-US" w:eastAsia="zh-CN"/>
                    </w:rPr>
                    <w:t>）75%，</w:t>
                  </w:r>
                  <w:r>
                    <w:rPr>
                      <w:rFonts w:hint="default" w:ascii="Times New Roman" w:hAnsi="Times New Roman" w:eastAsia="宋体" w:cs="Times New Roman"/>
                      <w:sz w:val="21"/>
                      <w:szCs w:val="21"/>
                      <w:highlight w:val="none"/>
                      <w:lang w:val="en-US" w:eastAsia="zh-CN"/>
                    </w:rPr>
                    <w:t>活性剂</w:t>
                  </w:r>
                  <w:r>
                    <w:rPr>
                      <w:rFonts w:hint="eastAsia" w:ascii="Times New Roman" w:hAnsi="Times New Roman" w:eastAsia="宋体" w:cs="Times New Roman"/>
                      <w:sz w:val="21"/>
                      <w:szCs w:val="21"/>
                      <w:highlight w:val="none"/>
                      <w:lang w:val="en-US" w:eastAsia="zh-CN"/>
                    </w:rPr>
                    <w:t>1.2%，</w:t>
                  </w:r>
                  <w:r>
                    <w:rPr>
                      <w:rFonts w:hint="default" w:ascii="Times New Roman" w:hAnsi="Times New Roman" w:eastAsia="宋体" w:cs="Times New Roman"/>
                      <w:szCs w:val="21"/>
                      <w:highlight w:val="none"/>
                    </w:rPr>
                    <w:t>十六酸季戊四醇酯</w:t>
                  </w:r>
                  <w:r>
                    <w:rPr>
                      <w:rFonts w:hint="eastAsia" w:ascii="Times New Roman" w:hAnsi="Times New Roman" w:eastAsia="宋体" w:cs="Times New Roman"/>
                      <w:sz w:val="21"/>
                      <w:szCs w:val="21"/>
                      <w:highlight w:val="none"/>
                      <w:lang w:val="en-US" w:eastAsia="zh-CN"/>
                    </w:rPr>
                    <w:t>0.8%，松香树脂23%。急性中毒：LD</w:t>
                  </w:r>
                  <w:r>
                    <w:rPr>
                      <w:rFonts w:hint="eastAsia" w:ascii="Times New Roman" w:hAnsi="Times New Roman" w:eastAsia="宋体" w:cs="Times New Roman"/>
                      <w:sz w:val="21"/>
                      <w:szCs w:val="21"/>
                      <w:highlight w:val="none"/>
                      <w:vertAlign w:val="subscript"/>
                      <w:lang w:val="en-US" w:eastAsia="zh-CN"/>
                    </w:rPr>
                    <w:t>50</w:t>
                  </w:r>
                  <w:r>
                    <w:rPr>
                      <w:rFonts w:hint="eastAsia" w:ascii="Times New Roman" w:hAnsi="Times New Roman" w:eastAsia="宋体" w:cs="Times New Roman"/>
                      <w:sz w:val="21"/>
                      <w:szCs w:val="21"/>
                      <w:highlight w:val="none"/>
                      <w:lang w:val="en-US" w:eastAsia="zh-CN"/>
                    </w:rPr>
                    <w:t>：5045mg/kg（大鼠经口）；12800 mg/kg（兔经皮）。熔点：-89℃；沸点（初沸点）：&gt;35℃；闪点：11.5℃；爆炸上限：7.99%（V/V），爆炸下限：1.72%（V/V）；相对密度（水=1）：0.912（g/cm）；溶解性：微溶于水，能与乙醇混溶；自燃温度：460℃。MSDS详见附件5。</w:t>
                  </w:r>
                </w:p>
              </w:tc>
            </w:tr>
            <w:tr w14:paraId="051E5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89" w:type="pct"/>
                  <w:tcBorders>
                    <w:top w:val="single" w:color="auto" w:sz="4" w:space="0"/>
                    <w:left w:val="single" w:color="auto" w:sz="4" w:space="0"/>
                    <w:bottom w:val="single" w:color="auto" w:sz="4" w:space="0"/>
                    <w:right w:val="single" w:color="auto" w:sz="4" w:space="0"/>
                  </w:tcBorders>
                  <w:vAlign w:val="center"/>
                </w:tcPr>
                <w:p w14:paraId="7B03F634">
                  <w:pPr>
                    <w:spacing w:line="36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无铅</w:t>
                  </w:r>
                </w:p>
                <w:p w14:paraId="34F4193B">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锡丝</w:t>
                  </w:r>
                </w:p>
              </w:tc>
              <w:tc>
                <w:tcPr>
                  <w:tcW w:w="4310" w:type="pct"/>
                  <w:tcBorders>
                    <w:top w:val="single" w:color="auto" w:sz="4" w:space="0"/>
                    <w:left w:val="single" w:color="auto" w:sz="4" w:space="0"/>
                    <w:bottom w:val="single" w:color="auto" w:sz="4" w:space="0"/>
                    <w:right w:val="single" w:color="auto" w:sz="4" w:space="0"/>
                  </w:tcBorders>
                  <w:shd w:val="clear" w:color="auto" w:fill="auto"/>
                  <w:vAlign w:val="center"/>
                </w:tcPr>
                <w:p w14:paraId="02DA9D19">
                  <w:pPr>
                    <w:spacing w:line="360" w:lineRule="exact"/>
                    <w:jc w:val="center"/>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成分为锡97%，铜1%，树脂2%。</w:t>
                  </w:r>
                  <w:r>
                    <w:rPr>
                      <w:rFonts w:hint="default" w:ascii="Times New Roman" w:hAnsi="Times New Roman" w:eastAsia="宋体" w:cs="Times New Roman"/>
                      <w:sz w:val="21"/>
                      <w:szCs w:val="21"/>
                      <w:highlight w:val="none"/>
                      <w:lang w:val="en-US" w:eastAsia="zh-CN"/>
                    </w:rPr>
                    <w:t>银</w:t>
                  </w:r>
                  <w:r>
                    <w:rPr>
                      <w:rFonts w:hint="eastAsia" w:ascii="Times New Roman" w:hAnsi="Times New Roman" w:eastAsia="宋体" w:cs="Times New Roman"/>
                      <w:sz w:val="21"/>
                      <w:szCs w:val="21"/>
                      <w:highlight w:val="none"/>
                      <w:lang w:val="en-US" w:eastAsia="zh-CN"/>
                    </w:rPr>
                    <w:t>白</w:t>
                  </w:r>
                  <w:r>
                    <w:rPr>
                      <w:rFonts w:hint="default" w:ascii="Times New Roman" w:hAnsi="Times New Roman" w:eastAsia="宋体" w:cs="Times New Roman"/>
                      <w:sz w:val="21"/>
                      <w:szCs w:val="21"/>
                      <w:highlight w:val="none"/>
                      <w:lang w:val="en-US" w:eastAsia="zh-CN"/>
                    </w:rPr>
                    <w:t>色，固体，密度为7.</w:t>
                  </w:r>
                  <w:r>
                    <w:rPr>
                      <w:rFonts w:hint="eastAsia" w:ascii="Times New Roman" w:hAnsi="Times New Roman" w:eastAsia="宋体" w:cs="Times New Roman"/>
                      <w:sz w:val="21"/>
                      <w:szCs w:val="21"/>
                      <w:highlight w:val="none"/>
                      <w:lang w:val="en-US" w:eastAsia="zh-CN"/>
                    </w:rPr>
                    <w:t>4</w:t>
                  </w:r>
                  <w:r>
                    <w:rPr>
                      <w:rFonts w:hint="default" w:ascii="Times New Roman" w:hAnsi="Times New Roman" w:eastAsia="宋体" w:cs="Times New Roman"/>
                      <w:sz w:val="21"/>
                      <w:szCs w:val="21"/>
                      <w:highlight w:val="none"/>
                      <w:lang w:val="en-US" w:eastAsia="zh-CN"/>
                    </w:rPr>
                    <w:t>g/cm</w:t>
                  </w:r>
                  <w:r>
                    <w:rPr>
                      <w:rFonts w:hint="eastAsia" w:ascii="Times New Roman" w:hAnsi="Times New Roman" w:eastAsia="宋体" w:cs="Times New Roman"/>
                      <w:sz w:val="21"/>
                      <w:szCs w:val="21"/>
                      <w:highlight w:val="none"/>
                      <w:vertAlign w:val="superscript"/>
                      <w:lang w:val="en-US" w:eastAsia="zh-CN"/>
                    </w:rPr>
                    <w:t>3</w:t>
                  </w:r>
                  <w:r>
                    <w:rPr>
                      <w:rFonts w:hint="default" w:ascii="Times New Roman" w:hAnsi="Times New Roman" w:eastAsia="宋体" w:cs="Times New Roman"/>
                      <w:sz w:val="21"/>
                      <w:szCs w:val="21"/>
                      <w:highlight w:val="none"/>
                      <w:lang w:val="en-US" w:eastAsia="zh-CN"/>
                    </w:rPr>
                    <w:t>，不溶于水，熔点</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2</w:t>
                  </w:r>
                  <w:r>
                    <w:rPr>
                      <w:rFonts w:hint="eastAsia" w:ascii="Times New Roman" w:hAnsi="Times New Roman" w:eastAsia="宋体" w:cs="Times New Roman"/>
                      <w:sz w:val="21"/>
                      <w:szCs w:val="21"/>
                      <w:highlight w:val="none"/>
                      <w:lang w:val="en-US" w:eastAsia="zh-CN"/>
                    </w:rPr>
                    <w:t>2</w:t>
                  </w:r>
                  <w:r>
                    <w:rPr>
                      <w:rFonts w:hint="default" w:ascii="Times New Roman" w:hAnsi="Times New Roman" w:eastAsia="宋体" w:cs="Times New Roman"/>
                      <w:sz w:val="21"/>
                      <w:szCs w:val="21"/>
                      <w:highlight w:val="none"/>
                      <w:lang w:val="en-US" w:eastAsia="zh-CN"/>
                    </w:rPr>
                    <w:t>7°C，锡灰会引起皮肤发炎、刺激沾液膜，引起尘肺病。熔锡进入眼中可能造成永久伤害，皮肤与熔锡接触可造成严重的组织伤害。</w:t>
                  </w:r>
                  <w:r>
                    <w:rPr>
                      <w:rFonts w:hint="eastAsia" w:ascii="Times New Roman" w:hAnsi="Times New Roman" w:eastAsia="宋体" w:cs="Times New Roman"/>
                      <w:sz w:val="21"/>
                      <w:szCs w:val="21"/>
                      <w:highlight w:val="none"/>
                      <w:lang w:val="en-US" w:eastAsia="zh-CN"/>
                    </w:rPr>
                    <w:t>MSDS详见附件6。</w:t>
                  </w:r>
                </w:p>
              </w:tc>
            </w:tr>
            <w:tr w14:paraId="56959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89" w:type="pct"/>
                  <w:tcBorders>
                    <w:top w:val="single" w:color="auto" w:sz="4" w:space="0"/>
                    <w:left w:val="single" w:color="auto" w:sz="4" w:space="0"/>
                    <w:bottom w:val="single" w:color="auto" w:sz="4" w:space="0"/>
                    <w:right w:val="single" w:color="auto" w:sz="4" w:space="0"/>
                  </w:tcBorders>
                  <w:vAlign w:val="center"/>
                </w:tcPr>
                <w:p w14:paraId="479CA087">
                  <w:pPr>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乙醇</w:t>
                  </w:r>
                </w:p>
              </w:tc>
              <w:tc>
                <w:tcPr>
                  <w:tcW w:w="4310" w:type="pct"/>
                  <w:tcBorders>
                    <w:top w:val="single" w:color="auto" w:sz="4" w:space="0"/>
                    <w:left w:val="single" w:color="auto" w:sz="4" w:space="0"/>
                    <w:bottom w:val="single" w:color="auto" w:sz="4" w:space="0"/>
                    <w:right w:val="single" w:color="auto" w:sz="4" w:space="0"/>
                  </w:tcBorders>
                  <w:shd w:val="clear" w:color="auto" w:fill="auto"/>
                  <w:vAlign w:val="center"/>
                </w:tcPr>
                <w:p w14:paraId="59DC39CB">
                  <w:pPr>
                    <w:spacing w:line="360" w:lineRule="exact"/>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外观与性状</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无色液体，有酒香。熔点</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-114.1</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相对密度</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水=1</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0.79</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燃烧热</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kJ/mol</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1365.5</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临界压力</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MPa</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6.38</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沸点</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78.3</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饱和蒸气压</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kpa</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5.33</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19℃</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临界温度</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243.1</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折射率</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1.366</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溶解性</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与水混溶，可混溶于醚、氯仿、甘油等多数有机溶剂。闪点</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12</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爆炸上限%</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V/V</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19.0</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爆炸下限%</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V/V</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3.3</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引燃温度</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363</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倾点</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无</w:t>
                  </w:r>
                  <w:r>
                    <w:rPr>
                      <w:rFonts w:hint="eastAsia" w:ascii="Times New Roman" w:hAnsi="Times New Roman" w:eastAsia="宋体" w:cs="Times New Roman"/>
                      <w:sz w:val="21"/>
                      <w:szCs w:val="21"/>
                      <w:highlight w:val="none"/>
                      <w:lang w:val="en-US" w:eastAsia="zh-CN"/>
                    </w:rPr>
                    <w:t>。急性毒性：LD</w:t>
                  </w:r>
                  <w:r>
                    <w:rPr>
                      <w:rFonts w:hint="eastAsia" w:ascii="Times New Roman" w:hAnsi="Times New Roman" w:eastAsia="宋体" w:cs="Times New Roman"/>
                      <w:sz w:val="21"/>
                      <w:szCs w:val="21"/>
                      <w:highlight w:val="none"/>
                      <w:vertAlign w:val="subscript"/>
                      <w:lang w:val="en-US" w:eastAsia="zh-CN"/>
                    </w:rPr>
                    <w:t>50</w:t>
                  </w:r>
                  <w:r>
                    <w:rPr>
                      <w:rFonts w:hint="eastAsia" w:ascii="Times New Roman" w:hAnsi="Times New Roman" w:eastAsia="宋体" w:cs="Times New Roman"/>
                      <w:sz w:val="21"/>
                      <w:szCs w:val="21"/>
                      <w:highlight w:val="none"/>
                      <w:lang w:val="en-US" w:eastAsia="zh-CN"/>
                    </w:rPr>
                    <w:t xml:space="preserve"> ：7060mg/Kg（兔经口）；7430 mg/Kg（兔经皮），LC</w:t>
                  </w:r>
                  <w:r>
                    <w:rPr>
                      <w:rFonts w:hint="eastAsia" w:ascii="Times New Roman" w:hAnsi="Times New Roman" w:eastAsia="宋体" w:cs="Times New Roman"/>
                      <w:sz w:val="21"/>
                      <w:szCs w:val="21"/>
                      <w:highlight w:val="none"/>
                      <w:vertAlign w:val="subscript"/>
                      <w:lang w:val="en-US" w:eastAsia="zh-CN"/>
                    </w:rPr>
                    <w:t>50</w:t>
                  </w:r>
                  <w:r>
                    <w:rPr>
                      <w:rFonts w:hint="eastAsia" w:ascii="Times New Roman" w:hAnsi="Times New Roman" w:eastAsia="宋体" w:cs="Times New Roman"/>
                      <w:sz w:val="21"/>
                      <w:szCs w:val="21"/>
                      <w:highlight w:val="none"/>
                      <w:lang w:val="en-US" w:eastAsia="zh-CN"/>
                    </w:rPr>
                    <w:t>：37620mg/m</w:t>
                  </w:r>
                  <w:r>
                    <w:rPr>
                      <w:rFonts w:hint="eastAsia" w:ascii="Times New Roman" w:hAnsi="Times New Roman" w:eastAsia="宋体" w:cs="Times New Roman"/>
                      <w:sz w:val="21"/>
                      <w:szCs w:val="21"/>
                      <w:highlight w:val="none"/>
                      <w:vertAlign w:val="superscript"/>
                      <w:lang w:val="en-US" w:eastAsia="zh-CN"/>
                    </w:rPr>
                    <w:t>3</w:t>
                  </w:r>
                  <w:r>
                    <w:rPr>
                      <w:rFonts w:hint="eastAsia" w:ascii="Times New Roman" w:hAnsi="Times New Roman" w:eastAsia="宋体" w:cs="Times New Roman"/>
                      <w:sz w:val="21"/>
                      <w:szCs w:val="21"/>
                      <w:highlight w:val="none"/>
                      <w:lang w:val="en-US" w:eastAsia="zh-CN"/>
                    </w:rPr>
                    <w:t>，10小时（大鼠吸入）。</w:t>
                  </w:r>
                </w:p>
              </w:tc>
            </w:tr>
            <w:tr w14:paraId="1C7DC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89" w:type="pct"/>
                  <w:tcBorders>
                    <w:top w:val="single" w:color="auto" w:sz="4" w:space="0"/>
                    <w:left w:val="single" w:color="auto" w:sz="4" w:space="0"/>
                    <w:bottom w:val="single" w:color="auto" w:sz="4" w:space="0"/>
                    <w:right w:val="single" w:color="auto" w:sz="4" w:space="0"/>
                  </w:tcBorders>
                  <w:vAlign w:val="center"/>
                </w:tcPr>
                <w:p w14:paraId="67C301C0">
                  <w:pPr>
                    <w:spacing w:line="36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Cs w:val="21"/>
                    </w:rPr>
                    <w:t>十六酸季戊四醇酯</w:t>
                  </w:r>
                </w:p>
              </w:tc>
              <w:tc>
                <w:tcPr>
                  <w:tcW w:w="4310" w:type="pct"/>
                  <w:tcBorders>
                    <w:top w:val="single" w:color="auto" w:sz="4" w:space="0"/>
                    <w:left w:val="single" w:color="auto" w:sz="4" w:space="0"/>
                    <w:bottom w:val="single" w:color="auto" w:sz="4" w:space="0"/>
                    <w:right w:val="single" w:color="auto" w:sz="4" w:space="0"/>
                  </w:tcBorders>
                  <w:shd w:val="clear" w:color="auto" w:fill="auto"/>
                  <w:vAlign w:val="center"/>
                </w:tcPr>
                <w:p w14:paraId="2D7A7989">
                  <w:pPr>
                    <w:spacing w:line="360" w:lineRule="exact"/>
                    <w:jc w:val="center"/>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Cs w:val="21"/>
                      <w:highlight w:val="none"/>
                    </w:rPr>
                    <w:t>外观</w:t>
                  </w:r>
                  <w:r>
                    <w:rPr>
                      <w:rFonts w:hint="eastAsia" w:ascii="Times New Roman" w:hAnsi="Times New Roman" w:eastAsia="宋体" w:cs="Times New Roman"/>
                      <w:szCs w:val="21"/>
                      <w:highlight w:val="none"/>
                      <w:lang w:eastAsia="zh-CN"/>
                    </w:rPr>
                    <w:t>：</w:t>
                  </w:r>
                  <w:r>
                    <w:rPr>
                      <w:rFonts w:hint="eastAsia" w:ascii="Times New Roman" w:hAnsi="Times New Roman" w:eastAsia="宋体" w:cs="Times New Roman"/>
                      <w:szCs w:val="21"/>
                      <w:highlight w:val="none"/>
                    </w:rPr>
                    <w:t>白色至微黄色粘稠液体</w:t>
                  </w:r>
                  <w:r>
                    <w:rPr>
                      <w:rFonts w:hint="eastAsia" w:ascii="Times New Roman" w:hAnsi="Times New Roman" w:eastAsia="宋体" w:cs="Times New Roman"/>
                      <w:szCs w:val="21"/>
                      <w:highlight w:val="none"/>
                      <w:lang w:eastAsia="zh-CN"/>
                    </w:rPr>
                    <w:t>；</w:t>
                  </w:r>
                  <w:r>
                    <w:rPr>
                      <w:rFonts w:hint="eastAsia" w:ascii="Times New Roman" w:hAnsi="Times New Roman" w:eastAsia="宋体" w:cs="Times New Roman"/>
                      <w:sz w:val="21"/>
                      <w:szCs w:val="21"/>
                      <w:highlight w:val="none"/>
                      <w:lang w:val="en-US" w:eastAsia="zh-CN"/>
                    </w:rPr>
                    <w:t>分子式：C</w:t>
                  </w:r>
                  <w:r>
                    <w:rPr>
                      <w:rFonts w:hint="eastAsia" w:ascii="Times New Roman" w:hAnsi="Times New Roman" w:eastAsia="宋体" w:cs="Times New Roman"/>
                      <w:sz w:val="21"/>
                      <w:szCs w:val="21"/>
                      <w:highlight w:val="none"/>
                      <w:vertAlign w:val="subscript"/>
                      <w:lang w:val="en-US" w:eastAsia="zh-CN"/>
                    </w:rPr>
                    <w:t>69</w:t>
                  </w:r>
                  <w:r>
                    <w:rPr>
                      <w:rFonts w:hint="eastAsia" w:ascii="Times New Roman" w:hAnsi="Times New Roman" w:eastAsia="宋体" w:cs="Times New Roman"/>
                      <w:sz w:val="21"/>
                      <w:szCs w:val="21"/>
                      <w:highlight w:val="none"/>
                      <w:lang w:val="en-US" w:eastAsia="zh-CN"/>
                    </w:rPr>
                    <w:t>H</w:t>
                  </w:r>
                  <w:r>
                    <w:rPr>
                      <w:rFonts w:hint="eastAsia" w:ascii="Times New Roman" w:hAnsi="Times New Roman" w:eastAsia="宋体" w:cs="Times New Roman"/>
                      <w:sz w:val="21"/>
                      <w:szCs w:val="21"/>
                      <w:highlight w:val="none"/>
                      <w:vertAlign w:val="subscript"/>
                      <w:lang w:val="en-US" w:eastAsia="zh-CN"/>
                    </w:rPr>
                    <w:t>132</w:t>
                  </w:r>
                  <w:r>
                    <w:rPr>
                      <w:rFonts w:hint="eastAsia" w:ascii="Times New Roman" w:hAnsi="Times New Roman" w:eastAsia="宋体" w:cs="Times New Roman"/>
                      <w:sz w:val="21"/>
                      <w:szCs w:val="21"/>
                      <w:highlight w:val="none"/>
                      <w:lang w:val="en-US" w:eastAsia="zh-CN"/>
                    </w:rPr>
                    <w:t>O</w:t>
                  </w:r>
                  <w:r>
                    <w:rPr>
                      <w:rFonts w:hint="eastAsia" w:ascii="Times New Roman" w:hAnsi="Times New Roman" w:eastAsia="宋体" w:cs="Times New Roman"/>
                      <w:sz w:val="21"/>
                      <w:szCs w:val="21"/>
                      <w:highlight w:val="none"/>
                      <w:vertAlign w:val="subscript"/>
                      <w:lang w:val="en-US" w:eastAsia="zh-CN"/>
                    </w:rPr>
                    <w:t>8</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相对密度</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水=1</w:t>
                  </w:r>
                  <w:r>
                    <w:rPr>
                      <w:rFonts w:hint="eastAsia" w:ascii="Times New Roman" w:hAnsi="Times New Roman" w:eastAsia="宋体" w:cs="Times New Roman"/>
                      <w:sz w:val="21"/>
                      <w:szCs w:val="21"/>
                      <w:highlight w:val="none"/>
                      <w:lang w:val="en-US" w:eastAsia="zh-CN"/>
                    </w:rPr>
                    <w:t>）：0.91；沸点220</w:t>
                  </w:r>
                  <w:r>
                    <w:rPr>
                      <w:rFonts w:hint="default" w:ascii="Times New Roman" w:hAnsi="Times New Roman" w:eastAsia="宋体" w:cs="Times New Roman"/>
                      <w:sz w:val="21"/>
                      <w:szCs w:val="21"/>
                      <w:highlight w:val="none"/>
                      <w:lang w:val="en-US" w:eastAsia="zh-CN"/>
                    </w:rPr>
                    <w:t>℃</w:t>
                  </w:r>
                  <w:r>
                    <w:rPr>
                      <w:rFonts w:hint="eastAsia" w:ascii="Times New Roman" w:hAnsi="Times New Roman" w:eastAsia="宋体" w:cs="Times New Roman"/>
                      <w:sz w:val="21"/>
                      <w:szCs w:val="21"/>
                      <w:highlight w:val="none"/>
                      <w:lang w:val="en-US" w:eastAsia="zh-CN"/>
                    </w:rPr>
                    <w:t>；闪点：327.8</w:t>
                  </w:r>
                  <w:r>
                    <w:rPr>
                      <w:rFonts w:hint="default" w:ascii="Times New Roman" w:hAnsi="Times New Roman" w:eastAsia="宋体" w:cs="Times New Roman"/>
                      <w:sz w:val="21"/>
                      <w:szCs w:val="21"/>
                      <w:highlight w:val="none"/>
                      <w:lang w:val="en-US" w:eastAsia="zh-CN"/>
                    </w:rPr>
                    <w:t>℃</w:t>
                  </w:r>
                  <w:r>
                    <w:rPr>
                      <w:rFonts w:hint="eastAsia" w:ascii="Times New Roman" w:hAnsi="Times New Roman" w:eastAsia="宋体" w:cs="Times New Roman"/>
                      <w:sz w:val="21"/>
                      <w:szCs w:val="21"/>
                      <w:highlight w:val="none"/>
                      <w:lang w:val="en-US" w:eastAsia="zh-CN"/>
                    </w:rPr>
                    <w:t>；折射率：1.467。</w:t>
                  </w:r>
                  <w:r>
                    <w:rPr>
                      <w:rFonts w:hint="eastAsia" w:ascii="Times New Roman" w:hAnsi="Times New Roman" w:eastAsia="宋体" w:cs="Times New Roman"/>
                      <w:szCs w:val="21"/>
                      <w:highlight w:val="none"/>
                    </w:rPr>
                    <w:t>易溶于非极性有机溶剂（如甲苯、氯仿、热乙醇）。不溶于水，难溶于冷醇</w:t>
                  </w:r>
                  <w:r>
                    <w:rPr>
                      <w:rFonts w:hint="eastAsia" w:ascii="Times New Roman" w:hAnsi="Times New Roman" w:eastAsia="宋体" w:cs="Times New Roman"/>
                      <w:szCs w:val="21"/>
                      <w:highlight w:val="none"/>
                      <w:lang w:eastAsia="zh-CN"/>
                    </w:rPr>
                    <w:t>。</w:t>
                  </w:r>
                  <w:r>
                    <w:rPr>
                      <w:rFonts w:hint="eastAsia" w:ascii="Times New Roman" w:hAnsi="Times New Roman" w:eastAsia="宋体" w:cs="Times New Roman"/>
                      <w:szCs w:val="21"/>
                      <w:highlight w:val="none"/>
                    </w:rPr>
                    <w:t>低毒，但需避免吸入粉尘或长期皮肤接触。</w:t>
                  </w:r>
                </w:p>
              </w:tc>
            </w:tr>
            <w:tr w14:paraId="2A72C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89" w:type="pct"/>
                  <w:tcBorders>
                    <w:top w:val="single" w:color="auto" w:sz="4" w:space="0"/>
                    <w:left w:val="single" w:color="auto" w:sz="4" w:space="0"/>
                    <w:bottom w:val="single" w:color="auto" w:sz="4" w:space="0"/>
                    <w:right w:val="single" w:color="auto" w:sz="4" w:space="0"/>
                  </w:tcBorders>
                  <w:vAlign w:val="center"/>
                </w:tcPr>
                <w:p w14:paraId="09082CFE">
                  <w:pPr>
                    <w:spacing w:line="360" w:lineRule="exact"/>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松香</w:t>
                  </w:r>
                </w:p>
                <w:p w14:paraId="19EA7C30">
                  <w:pPr>
                    <w:spacing w:line="360" w:lineRule="exact"/>
                    <w:jc w:val="center"/>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highlight w:val="none"/>
                      <w:lang w:val="en-US" w:eastAsia="zh-CN"/>
                    </w:rPr>
                    <w:t>树脂</w:t>
                  </w:r>
                </w:p>
              </w:tc>
              <w:tc>
                <w:tcPr>
                  <w:tcW w:w="4310" w:type="pct"/>
                  <w:tcBorders>
                    <w:top w:val="single" w:color="auto" w:sz="4" w:space="0"/>
                    <w:left w:val="single" w:color="auto" w:sz="4" w:space="0"/>
                    <w:bottom w:val="single" w:color="auto" w:sz="4" w:space="0"/>
                    <w:right w:val="single" w:color="auto" w:sz="4" w:space="0"/>
                  </w:tcBorders>
                  <w:shd w:val="clear" w:color="auto" w:fill="auto"/>
                  <w:vAlign w:val="center"/>
                </w:tcPr>
                <w:p w14:paraId="15CA17E2">
                  <w:pPr>
                    <w:spacing w:line="360" w:lineRule="exact"/>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松香树脂是一种浅色的，经过高度聚合</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二聚合</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的高软化点，高粘性，和更好的抗氧化性，并且在液体状态下或在溶液里完全抗结晶。熔点172~175℃，旋光度</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102°</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无水乙醇</w:t>
                  </w:r>
                  <w:r>
                    <w:rPr>
                      <w:rFonts w:hint="eastAsia" w:ascii="Times New Roman" w:hAnsi="Times New Roman" w:eastAsia="宋体" w:cs="Times New Roman"/>
                      <w:sz w:val="21"/>
                      <w:szCs w:val="21"/>
                      <w:highlight w:val="none"/>
                      <w:lang w:val="en-US" w:eastAsia="zh-CN"/>
                    </w:rPr>
                    <w:t>）</w:t>
                  </w:r>
                  <w:r>
                    <w:rPr>
                      <w:rFonts w:hint="default" w:ascii="Times New Roman" w:hAnsi="Times New Roman" w:eastAsia="宋体" w:cs="Times New Roman"/>
                      <w:sz w:val="21"/>
                      <w:szCs w:val="21"/>
                      <w:highlight w:val="none"/>
                      <w:lang w:val="en-US" w:eastAsia="zh-CN"/>
                    </w:rPr>
                    <w:t>。不溶于水，溶于乙醇、苯、氯仿、乙醚、丙酮、二硫化碳以及稀氢氧化钠水溶液。它的多种用途包括油漆，干燥剂，合成树脂，汽车油墨，地砖，橡胶合成物，助焊剂、焊锡膏，以及各种胶粘剂和保护涂料。</w:t>
                  </w:r>
                </w:p>
              </w:tc>
            </w:tr>
          </w:tbl>
          <w:p w14:paraId="3ED4C096">
            <w:pPr>
              <w:keepNext w:val="0"/>
              <w:keepLines w:val="0"/>
              <w:pageBreakBefore w:val="0"/>
              <w:widowControl w:val="0"/>
              <w:shd w:val="clear"/>
              <w:kinsoku/>
              <w:wordWrap/>
              <w:overflowPunct/>
              <w:topLinePunct w:val="0"/>
              <w:autoSpaceDE/>
              <w:autoSpaceDN/>
              <w:bidi w:val="0"/>
              <w:adjustRightInd w:val="0"/>
              <w:snapToGrid/>
              <w:spacing w:line="360" w:lineRule="auto"/>
              <w:textAlignment w:val="auto"/>
              <w:rPr>
                <w:rFonts w:hint="default"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6</w:t>
            </w:r>
            <w:r>
              <w:rPr>
                <w:rFonts w:hint="default" w:ascii="Times New Roman" w:hAnsi="Times New Roman" w:eastAsia="宋体" w:cs="Times New Roman"/>
                <w:b/>
                <w:bCs/>
                <w:sz w:val="24"/>
              </w:rPr>
              <w:t>、</w:t>
            </w:r>
            <w:r>
              <w:rPr>
                <w:rFonts w:hint="eastAsia" w:ascii="Times New Roman" w:hAnsi="Times New Roman" w:eastAsia="宋体" w:cs="Times New Roman"/>
                <w:b/>
                <w:bCs/>
                <w:sz w:val="24"/>
                <w:lang w:val="en-US" w:eastAsia="zh-CN"/>
              </w:rPr>
              <w:t>公用工程</w:t>
            </w:r>
          </w:p>
          <w:p w14:paraId="56077299">
            <w:pPr>
              <w:keepNext w:val="0"/>
              <w:keepLines w:val="0"/>
              <w:pageBreakBefore w:val="0"/>
              <w:widowControl w:val="0"/>
              <w:shd w:val="clear"/>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（1）</w:t>
            </w:r>
            <w:r>
              <w:rPr>
                <w:rFonts w:hint="eastAsia" w:ascii="Times New Roman" w:hAnsi="Times New Roman" w:eastAsia="宋体" w:cs="Times New Roman"/>
                <w:color w:val="auto"/>
                <w:sz w:val="24"/>
                <w:highlight w:val="none"/>
                <w:lang w:val="en-US" w:eastAsia="zh-CN"/>
              </w:rPr>
              <w:t>供水</w:t>
            </w:r>
          </w:p>
          <w:p w14:paraId="05D09A4A">
            <w:pPr>
              <w:keepNext w:val="0"/>
              <w:keepLines w:val="0"/>
              <w:pageBreakBefore w:val="0"/>
              <w:widowControl w:val="0"/>
              <w:shd w:val="clear"/>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本</w:t>
            </w:r>
            <w:r>
              <w:rPr>
                <w:rFonts w:hint="default" w:ascii="Times New Roman" w:hAnsi="Times New Roman" w:eastAsia="宋体" w:cs="Times New Roman"/>
                <w:color w:val="auto"/>
                <w:sz w:val="24"/>
                <w:highlight w:val="none"/>
              </w:rPr>
              <w:t>项目用水主要</w:t>
            </w:r>
            <w:r>
              <w:rPr>
                <w:rFonts w:hint="default" w:ascii="Times New Roman" w:hAnsi="Times New Roman" w:eastAsia="宋体" w:cs="Times New Roman"/>
                <w:kern w:val="0"/>
                <w:sz w:val="24"/>
                <w:highlight w:val="none"/>
              </w:rPr>
              <w:t>职工生活</w:t>
            </w:r>
            <w:r>
              <w:rPr>
                <w:rFonts w:hint="eastAsia" w:ascii="Times New Roman" w:hAnsi="Times New Roman" w:eastAsia="宋体" w:cs="Times New Roman"/>
                <w:kern w:val="0"/>
                <w:sz w:val="24"/>
                <w:highlight w:val="none"/>
                <w:lang w:val="en-US" w:eastAsia="zh-CN"/>
              </w:rPr>
              <w:t>用</w:t>
            </w:r>
            <w:r>
              <w:rPr>
                <w:rFonts w:hint="default" w:ascii="Times New Roman" w:hAnsi="Times New Roman" w:eastAsia="宋体" w:cs="Times New Roman"/>
                <w:kern w:val="0"/>
                <w:sz w:val="24"/>
                <w:highlight w:val="none"/>
              </w:rPr>
              <w:t>水</w:t>
            </w:r>
            <w:r>
              <w:rPr>
                <w:rFonts w:hint="default" w:ascii="Times New Roman" w:hAnsi="Times New Roman" w:eastAsia="宋体" w:cs="Times New Roman"/>
                <w:color w:val="auto"/>
                <w:sz w:val="24"/>
                <w:highlight w:val="none"/>
              </w:rPr>
              <w:t>，年生产时间为</w:t>
            </w:r>
            <w:r>
              <w:rPr>
                <w:rFonts w:hint="eastAsia" w:ascii="Times New Roman" w:hAnsi="Times New Roman" w:eastAsia="宋体" w:cs="Times New Roman"/>
                <w:color w:val="auto"/>
                <w:sz w:val="24"/>
                <w:highlight w:val="none"/>
                <w:lang w:val="en-US" w:eastAsia="zh-CN"/>
              </w:rPr>
              <w:t>300</w:t>
            </w:r>
            <w:r>
              <w:rPr>
                <w:rFonts w:hint="default" w:ascii="Times New Roman" w:hAnsi="Times New Roman" w:eastAsia="宋体" w:cs="Times New Roman"/>
                <w:color w:val="auto"/>
                <w:sz w:val="24"/>
                <w:highlight w:val="none"/>
              </w:rPr>
              <w:t>天，用水量为</w:t>
            </w:r>
            <w:r>
              <w:rPr>
                <w:rFonts w:hint="eastAsia" w:ascii="Times New Roman" w:hAnsi="Times New Roman" w:eastAsia="宋体" w:cs="Times New Roman"/>
                <w:bCs/>
                <w:sz w:val="24"/>
                <w:highlight w:val="none"/>
                <w:lang w:val="en-US" w:eastAsia="zh-CN"/>
              </w:rPr>
              <w:t>1.5t/d（450t/a）</w:t>
            </w:r>
            <w:r>
              <w:rPr>
                <w:rFonts w:hint="default" w:ascii="Times New Roman" w:hAnsi="Times New Roman" w:eastAsia="宋体" w:cs="Times New Roman"/>
                <w:color w:val="auto"/>
                <w:sz w:val="24"/>
                <w:highlight w:val="none"/>
              </w:rPr>
              <w:t>。</w:t>
            </w:r>
          </w:p>
          <w:p w14:paraId="6AC5DD7F">
            <w:pPr>
              <w:keepNext w:val="0"/>
              <w:keepLines w:val="0"/>
              <w:pageBreakBefore w:val="0"/>
              <w:widowControl w:val="0"/>
              <w:shd w:val="clear"/>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排水</w:t>
            </w:r>
          </w:p>
          <w:p w14:paraId="3BD669F5">
            <w:pPr>
              <w:keepNext w:val="0"/>
              <w:keepLines w:val="0"/>
              <w:pageBreakBefore w:val="0"/>
              <w:widowControl w:val="0"/>
              <w:shd w:val="clear"/>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厂区采取雨、污分流制，生活污水依托园区化粪池预处理后通过市政污水管网排入江南产业集中区第一污水处理厂，污水处理厂尾水处理达标后经九华河排入长江。项目排水量约</w:t>
            </w:r>
            <w:r>
              <w:rPr>
                <w:rFonts w:hint="eastAsia" w:ascii="Times New Roman" w:hAnsi="Times New Roman" w:eastAsia="宋体" w:cs="Times New Roman"/>
                <w:color w:val="auto"/>
                <w:sz w:val="24"/>
                <w:highlight w:val="none"/>
                <w:lang w:val="en-US" w:eastAsia="zh-CN"/>
              </w:rPr>
              <w:t>360</w:t>
            </w:r>
            <w:r>
              <w:rPr>
                <w:rFonts w:hint="default" w:ascii="Times New Roman" w:hAnsi="Times New Roman" w:eastAsia="宋体" w:cs="Times New Roman"/>
                <w:color w:val="auto"/>
                <w:sz w:val="24"/>
                <w:highlight w:val="none"/>
              </w:rPr>
              <w:t>t/a。</w:t>
            </w:r>
          </w:p>
          <w:p w14:paraId="7F27D117">
            <w:pPr>
              <w:keepNext w:val="0"/>
              <w:keepLines w:val="0"/>
              <w:pageBreakBefore w:val="0"/>
              <w:widowControl w:val="0"/>
              <w:shd w:val="clear"/>
              <w:kinsoku/>
              <w:wordWrap/>
              <w:overflowPunct/>
              <w:topLinePunct w:val="0"/>
              <w:autoSpaceDE/>
              <w:autoSpaceDN/>
              <w:bidi w:val="0"/>
              <w:adjustRightInd w:val="0"/>
              <w:snapToGrid/>
              <w:spacing w:line="360" w:lineRule="auto"/>
              <w:jc w:val="center"/>
              <w:textAlignment w:va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drawing>
                <wp:inline distT="0" distB="0" distL="114300" distR="114300">
                  <wp:extent cx="3776345" cy="866140"/>
                  <wp:effectExtent l="0" t="0" r="0" b="0"/>
                  <wp:docPr id="2" name="ECB019B1-382A-4266-B25C-5B523AA43C14-1" descr="C:/Users/13209/AppData/Local/Temp/wps.AMbHcQ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B019B1-382A-4266-B25C-5B523AA43C14-1" descr="C:/Users/13209/AppData/Local/Temp/wps.AMbHcQwps"/>
                          <pic:cNvPicPr>
                            <a:picLocks noChangeAspect="1"/>
                          </pic:cNvPicPr>
                        </pic:nvPicPr>
                        <pic:blipFill>
                          <a:blip r:embed="rId7"/>
                          <a:srcRect t="18155" b="9527"/>
                          <a:stretch>
                            <a:fillRect/>
                          </a:stretch>
                        </pic:blipFill>
                        <pic:spPr>
                          <a:xfrm>
                            <a:off x="0" y="0"/>
                            <a:ext cx="3776345" cy="866140"/>
                          </a:xfrm>
                          <a:prstGeom prst="rect">
                            <a:avLst/>
                          </a:prstGeom>
                        </pic:spPr>
                      </pic:pic>
                    </a:graphicData>
                  </a:graphic>
                </wp:inline>
              </w:drawing>
            </w:r>
          </w:p>
          <w:p w14:paraId="3FFFD96C">
            <w:pPr>
              <w:keepNext w:val="0"/>
              <w:keepLines w:val="0"/>
              <w:pageBreakBefore w:val="0"/>
              <w:widowControl w:val="0"/>
              <w:shd w:val="clear"/>
              <w:kinsoku/>
              <w:wordWrap/>
              <w:overflowPunct/>
              <w:topLinePunct w:val="0"/>
              <w:autoSpaceDE/>
              <w:autoSpaceDN/>
              <w:bidi w:val="0"/>
              <w:adjustRightInd w:val="0"/>
              <w:snapToGrid/>
              <w:spacing w:line="360" w:lineRule="auto"/>
              <w:jc w:val="center"/>
              <w:textAlignment w:val="auto"/>
              <w:rPr>
                <w:rFonts w:hint="default" w:ascii="Times New Roman" w:hAnsi="Times New Roman" w:eastAsia="黑体" w:cs="Times New Roman"/>
                <w:color w:val="auto"/>
                <w:sz w:val="21"/>
                <w:szCs w:val="21"/>
                <w:highlight w:val="none"/>
                <w:lang w:eastAsia="zh-CN"/>
              </w:rPr>
            </w:pPr>
            <w:r>
              <w:rPr>
                <w:rFonts w:hint="default" w:ascii="Times New Roman" w:hAnsi="Times New Roman" w:eastAsia="黑体" w:cs="Times New Roman"/>
                <w:color w:val="auto"/>
                <w:sz w:val="21"/>
                <w:szCs w:val="21"/>
                <w:highlight w:val="none"/>
                <w:lang w:eastAsia="zh-CN"/>
              </w:rPr>
              <w:t>图2-1 项目水平衡图   单位</w:t>
            </w:r>
            <w:r>
              <w:rPr>
                <w:rFonts w:hint="eastAsia" w:ascii="Times New Roman" w:hAnsi="Times New Roman" w:eastAsia="黑体" w:cs="Times New Roman"/>
                <w:color w:val="auto"/>
                <w:sz w:val="21"/>
                <w:szCs w:val="21"/>
                <w:highlight w:val="none"/>
                <w:lang w:eastAsia="zh-CN"/>
              </w:rPr>
              <w:t>：</w:t>
            </w:r>
            <w:r>
              <w:rPr>
                <w:rFonts w:hint="eastAsia" w:ascii="Times New Roman" w:hAnsi="Times New Roman" w:eastAsia="黑体" w:cs="Times New Roman"/>
                <w:color w:val="auto"/>
                <w:sz w:val="21"/>
                <w:szCs w:val="21"/>
                <w:highlight w:val="none"/>
                <w:lang w:val="en-US" w:eastAsia="zh-CN"/>
              </w:rPr>
              <w:t>t</w:t>
            </w:r>
            <w:r>
              <w:rPr>
                <w:rFonts w:hint="default" w:ascii="Times New Roman" w:hAnsi="Times New Roman" w:eastAsia="黑体" w:cs="Times New Roman"/>
                <w:color w:val="auto"/>
                <w:sz w:val="21"/>
                <w:szCs w:val="21"/>
                <w:highlight w:val="none"/>
                <w:lang w:eastAsia="zh-CN"/>
              </w:rPr>
              <w:t>/d</w:t>
            </w:r>
          </w:p>
          <w:p w14:paraId="1C4B230E">
            <w:pPr>
              <w:keepNext w:val="0"/>
              <w:keepLines w:val="0"/>
              <w:pageBreakBefore w:val="0"/>
              <w:widowControl w:val="0"/>
              <w:shd w:val="clear"/>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auto"/>
                <w:sz w:val="24"/>
                <w:highlight w:val="none"/>
                <w:lang w:val="en-US"/>
              </w:rPr>
            </w:pPr>
            <w:r>
              <w:rPr>
                <w:rFonts w:hint="default"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3</w:t>
            </w:r>
            <w:r>
              <w:rPr>
                <w:rFonts w:hint="default"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供电</w:t>
            </w:r>
          </w:p>
          <w:p w14:paraId="3B11E2E1">
            <w:pPr>
              <w:keepNext w:val="0"/>
              <w:keepLines w:val="0"/>
              <w:pageBreakBefore w:val="0"/>
              <w:widowControl w:val="0"/>
              <w:shd w:val="clear"/>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项目用电由市政电网统一供电，用电量</w:t>
            </w:r>
            <w:r>
              <w:rPr>
                <w:rFonts w:hint="eastAsia" w:ascii="Times New Roman" w:hAnsi="Times New Roman" w:eastAsia="宋体" w:cs="Times New Roman"/>
                <w:color w:val="auto"/>
                <w:sz w:val="24"/>
                <w:highlight w:val="none"/>
                <w:lang w:val="en-US" w:eastAsia="zh-CN"/>
              </w:rPr>
              <w:t>8万k</w:t>
            </w:r>
            <w:r>
              <w:rPr>
                <w:rFonts w:hint="default" w:ascii="Times New Roman" w:hAnsi="Times New Roman" w:eastAsia="宋体" w:cs="Times New Roman"/>
                <w:color w:val="auto"/>
                <w:sz w:val="24"/>
                <w:highlight w:val="none"/>
              </w:rPr>
              <w:t>Wh</w:t>
            </w:r>
            <w:r>
              <w:rPr>
                <w:rFonts w:hint="eastAsia" w:ascii="Times New Roman" w:hAnsi="Times New Roman" w:eastAsia="宋体" w:cs="Times New Roman"/>
                <w:color w:val="auto"/>
                <w:sz w:val="24"/>
                <w:highlight w:val="none"/>
                <w:lang w:val="en-US" w:eastAsia="zh-CN"/>
              </w:rPr>
              <w:t>/a</w:t>
            </w:r>
            <w:r>
              <w:rPr>
                <w:rFonts w:hint="default" w:ascii="Times New Roman" w:hAnsi="Times New Roman" w:eastAsia="宋体" w:cs="Times New Roman"/>
                <w:color w:val="auto"/>
                <w:sz w:val="24"/>
                <w:highlight w:val="none"/>
              </w:rPr>
              <w:t>，可满足用电需求</w:t>
            </w:r>
            <w:r>
              <w:rPr>
                <w:rFonts w:hint="eastAsia" w:ascii="Times New Roman" w:hAnsi="Times New Roman" w:eastAsia="宋体" w:cs="Times New Roman"/>
                <w:color w:val="auto"/>
                <w:sz w:val="24"/>
                <w:highlight w:val="none"/>
                <w:lang w:eastAsia="zh-CN"/>
              </w:rPr>
              <w:t>。</w:t>
            </w:r>
          </w:p>
          <w:p w14:paraId="78AFD358">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default" w:ascii="Times New Roman" w:hAnsi="Times New Roman" w:eastAsia="宋体" w:cs="Times New Roman"/>
                <w:b/>
                <w:bCs/>
                <w:sz w:val="24"/>
              </w:rPr>
            </w:pPr>
            <w:r>
              <w:rPr>
                <w:rFonts w:hint="eastAsia" w:ascii="Times New Roman" w:hAnsi="Times New Roman" w:eastAsia="宋体" w:cs="Times New Roman"/>
                <w:b/>
                <w:bCs/>
                <w:sz w:val="24"/>
                <w:lang w:val="en-US" w:eastAsia="zh-CN"/>
              </w:rPr>
              <w:t>7</w:t>
            </w:r>
            <w:r>
              <w:rPr>
                <w:rFonts w:hint="default" w:ascii="Times New Roman" w:hAnsi="Times New Roman" w:eastAsia="宋体" w:cs="Times New Roman"/>
                <w:b/>
                <w:bCs/>
                <w:sz w:val="24"/>
              </w:rPr>
              <w:t>、职工人数及工作制度</w:t>
            </w:r>
          </w:p>
          <w:p w14:paraId="7687FBB8">
            <w:pPr>
              <w:keepNext w:val="0"/>
              <w:keepLines w:val="0"/>
              <w:pageBreakBefore w:val="0"/>
              <w:widowControl w:val="0"/>
              <w:shd w:val="clear"/>
              <w:kinsoku/>
              <w:wordWrap/>
              <w:overflowPunct/>
              <w:topLinePunct w:val="0"/>
              <w:autoSpaceDE/>
              <w:autoSpaceDN/>
              <w:bidi w:val="0"/>
              <w:snapToGrid/>
              <w:spacing w:line="360" w:lineRule="auto"/>
              <w:ind w:firstLine="480" w:firstLineChars="200"/>
              <w:jc w:val="left"/>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劳动定员：本项目劳动定员</w:t>
            </w:r>
            <w:r>
              <w:rPr>
                <w:rFonts w:hint="eastAsia" w:ascii="Times New Roman" w:hAnsi="Times New Roman" w:eastAsia="宋体" w:cs="Times New Roman"/>
                <w:color w:val="auto"/>
                <w:sz w:val="24"/>
                <w:lang w:val="en-US" w:eastAsia="zh-CN"/>
              </w:rPr>
              <w:t>30</w:t>
            </w:r>
            <w:r>
              <w:rPr>
                <w:rFonts w:hint="default" w:ascii="Times New Roman" w:hAnsi="Times New Roman" w:eastAsia="宋体" w:cs="Times New Roman"/>
                <w:color w:val="auto"/>
                <w:sz w:val="24"/>
              </w:rPr>
              <w:t>人。</w:t>
            </w:r>
          </w:p>
          <w:p w14:paraId="438B957F">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rPr>
                <w:rFonts w:hint="default" w:ascii="Times New Roman" w:hAnsi="Times New Roman" w:eastAsia="宋体" w:cs="Times New Roman"/>
                <w:color w:val="auto"/>
                <w:sz w:val="24"/>
                <w:lang w:eastAsia="zh-CN"/>
              </w:rPr>
            </w:pPr>
            <w:r>
              <w:rPr>
                <w:rFonts w:hint="default" w:ascii="Times New Roman" w:hAnsi="Times New Roman" w:eastAsia="宋体" w:cs="Times New Roman"/>
                <w:color w:val="auto"/>
                <w:sz w:val="24"/>
              </w:rPr>
              <w:t>工作制度：</w:t>
            </w:r>
            <w:r>
              <w:rPr>
                <w:rFonts w:hint="eastAsia" w:ascii="Times New Roman" w:hAnsi="Times New Roman" w:eastAsia="宋体" w:cs="Times New Roman"/>
                <w:color w:val="auto"/>
                <w:sz w:val="24"/>
                <w:lang w:val="en-US" w:eastAsia="zh-CN"/>
              </w:rPr>
              <w:t>1</w:t>
            </w:r>
            <w:r>
              <w:rPr>
                <w:rFonts w:hint="default" w:ascii="Times New Roman" w:hAnsi="Times New Roman" w:eastAsia="宋体" w:cs="Times New Roman"/>
                <w:color w:val="auto"/>
                <w:sz w:val="24"/>
              </w:rPr>
              <w:t>班制，每班8h，全年工作</w:t>
            </w:r>
            <w:r>
              <w:rPr>
                <w:rFonts w:hint="eastAsia" w:ascii="Times New Roman" w:hAnsi="Times New Roman" w:eastAsia="宋体" w:cs="Times New Roman"/>
                <w:color w:val="auto"/>
                <w:sz w:val="24"/>
                <w:lang w:val="en-US" w:eastAsia="zh-CN"/>
              </w:rPr>
              <w:t>300</w:t>
            </w:r>
            <w:r>
              <w:rPr>
                <w:rFonts w:hint="default" w:ascii="Times New Roman" w:hAnsi="Times New Roman" w:eastAsia="宋体" w:cs="Times New Roman"/>
                <w:color w:val="auto"/>
                <w:sz w:val="24"/>
              </w:rPr>
              <w:t>天</w:t>
            </w:r>
            <w:r>
              <w:rPr>
                <w:rFonts w:hint="eastAsia" w:ascii="Times New Roman" w:hAnsi="Times New Roman" w:eastAsia="宋体" w:cs="Times New Roman"/>
                <w:color w:val="auto"/>
                <w:sz w:val="24"/>
                <w:lang w:eastAsia="zh-CN"/>
              </w:rPr>
              <w:t>，</w:t>
            </w:r>
            <w:r>
              <w:rPr>
                <w:rFonts w:hint="eastAsia" w:ascii="Times New Roman" w:hAnsi="Times New Roman" w:eastAsia="宋体" w:cs="Times New Roman"/>
                <w:color w:val="auto"/>
                <w:sz w:val="24"/>
                <w:lang w:val="en-US" w:eastAsia="zh-CN"/>
              </w:rPr>
              <w:t>不提供食宿</w:t>
            </w:r>
            <w:r>
              <w:rPr>
                <w:rFonts w:hint="default" w:ascii="Times New Roman" w:hAnsi="Times New Roman" w:eastAsia="宋体" w:cs="Times New Roman"/>
                <w:color w:val="auto"/>
                <w:sz w:val="24"/>
                <w:lang w:eastAsia="zh-CN"/>
              </w:rPr>
              <w:t xml:space="preserve">。 </w:t>
            </w:r>
          </w:p>
          <w:p w14:paraId="1DA489CE">
            <w:pPr>
              <w:keepNext w:val="0"/>
              <w:keepLines w:val="0"/>
              <w:pageBreakBefore w:val="0"/>
              <w:widowControl w:val="0"/>
              <w:shd w:val="clear"/>
              <w:kinsoku/>
              <w:wordWrap/>
              <w:overflowPunct/>
              <w:topLinePunct w:val="0"/>
              <w:autoSpaceDE/>
              <w:autoSpaceDN/>
              <w:bidi w:val="0"/>
              <w:adjustRightInd w:val="0"/>
              <w:snapToGrid/>
              <w:spacing w:line="360" w:lineRule="auto"/>
              <w:textAlignment w:val="auto"/>
              <w:rPr>
                <w:rFonts w:hint="default" w:ascii="Times New Roman" w:hAnsi="Times New Roman" w:eastAsia="宋体" w:cs="Times New Roman"/>
                <w:b w:val="0"/>
                <w:bCs w:val="0"/>
                <w:sz w:val="24"/>
              </w:rPr>
            </w:pPr>
            <w:r>
              <w:rPr>
                <w:rFonts w:hint="eastAsia" w:ascii="Times New Roman" w:hAnsi="Times New Roman" w:eastAsia="宋体" w:cs="Times New Roman"/>
                <w:b/>
                <w:bCs/>
                <w:sz w:val="24"/>
                <w:lang w:val="en-US" w:eastAsia="zh-CN"/>
              </w:rPr>
              <w:t>8</w:t>
            </w:r>
            <w:r>
              <w:rPr>
                <w:rFonts w:hint="default" w:ascii="Times New Roman" w:hAnsi="Times New Roman" w:eastAsia="宋体" w:cs="Times New Roman"/>
                <w:b/>
                <w:bCs/>
                <w:sz w:val="24"/>
              </w:rPr>
              <w:t>、平面布置</w:t>
            </w:r>
          </w:p>
          <w:p w14:paraId="2D76B06D">
            <w:pPr>
              <w:keepNext w:val="0"/>
              <w:keepLines w:val="0"/>
              <w:pageBreakBefore w:val="0"/>
              <w:widowControl w:val="0"/>
              <w:shd w:val="clear"/>
              <w:kinsoku/>
              <w:wordWrap/>
              <w:overflowPunct/>
              <w:topLinePunct w:val="0"/>
              <w:autoSpaceDE/>
              <w:autoSpaceDN/>
              <w:bidi w:val="0"/>
              <w:adjustRightInd w:val="0"/>
              <w:snapToGrid/>
              <w:spacing w:line="360" w:lineRule="auto"/>
              <w:ind w:firstLine="480" w:firstLineChars="200"/>
              <w:textAlignment w:val="auto"/>
              <w:rPr>
                <w:rFonts w:hint="default"/>
                <w:lang w:val="en-US" w:eastAsia="zh-CN"/>
              </w:rPr>
            </w:pPr>
            <w:r>
              <w:rPr>
                <w:rFonts w:hint="eastAsia" w:ascii="Times New Roman" w:hAnsi="Times New Roman" w:eastAsia="宋体" w:cs="Times New Roman"/>
                <w:sz w:val="24"/>
                <w:lang w:val="en-US" w:eastAsia="zh-CN"/>
              </w:rPr>
              <w:t>本项目租赁安徽省池州市江南产业集中区皖能电子信息产业园5幢4层，面积2420.48平方米。厂房北侧为办公区，包括接待室、办公室、财务室、会议室、休闲区、杂物间、卫生间等；厂房南侧为生产区，生产区东侧从北到南依次为库房、手工焊接区、辅料存放区，生产区中部为SMT生产间，生产区西侧从北到南依次为备用间、电装间、测试间、试验间、包装间。</w:t>
            </w:r>
            <w:r>
              <w:rPr>
                <w:rFonts w:hint="default" w:ascii="Times New Roman" w:hAnsi="Times New Roman" w:eastAsia="宋体" w:cs="Times New Roman"/>
                <w:b w:val="0"/>
                <w:bCs w:val="0"/>
                <w:sz w:val="24"/>
              </w:rPr>
              <w:t>具体平面布置图详见附图</w:t>
            </w:r>
            <w:r>
              <w:rPr>
                <w:rFonts w:hint="default" w:ascii="Times New Roman" w:hAnsi="Times New Roman" w:eastAsia="宋体" w:cs="Times New Roman"/>
                <w:b w:val="0"/>
                <w:bCs w:val="0"/>
                <w:sz w:val="24"/>
                <w:lang w:val="en-US" w:eastAsia="zh-CN"/>
              </w:rPr>
              <w:t>2</w:t>
            </w:r>
            <w:r>
              <w:rPr>
                <w:rFonts w:hint="default" w:ascii="Times New Roman" w:hAnsi="Times New Roman" w:eastAsia="宋体" w:cs="Times New Roman"/>
                <w:b w:val="0"/>
                <w:bCs w:val="0"/>
                <w:sz w:val="24"/>
                <w:lang w:eastAsia="zh-CN"/>
              </w:rPr>
              <w:t>。</w:t>
            </w:r>
          </w:p>
        </w:tc>
      </w:tr>
      <w:tr w14:paraId="06725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pct"/>
            <w:vAlign w:val="center"/>
          </w:tcPr>
          <w:p w14:paraId="336F52C4">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工艺流程和产排污环节</w:t>
            </w:r>
          </w:p>
        </w:tc>
        <w:tc>
          <w:tcPr>
            <w:tcW w:w="4511" w:type="pct"/>
            <w:shd w:val="clear" w:color="auto" w:fill="auto"/>
            <w:vAlign w:val="center"/>
          </w:tcPr>
          <w:p w14:paraId="3B740889">
            <w:pPr>
              <w:keepNext w:val="0"/>
              <w:keepLines w:val="0"/>
              <w:pageBreakBefore w:val="0"/>
              <w:numPr>
                <w:ilvl w:val="0"/>
                <w:numId w:val="0"/>
              </w:numPr>
              <w:kinsoku/>
              <w:wordWrap/>
              <w:overflowPunct/>
              <w:topLinePunct w:val="0"/>
              <w:autoSpaceDE/>
              <w:autoSpaceDN/>
              <w:bidi w:val="0"/>
              <w:adjustRightInd w:val="0"/>
              <w:snapToGrid/>
              <w:spacing w:line="360" w:lineRule="auto"/>
              <w:textAlignment w:val="auto"/>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lang w:val="en-US" w:eastAsia="zh-CN"/>
              </w:rPr>
              <w:t>一、</w:t>
            </w:r>
            <w:r>
              <w:rPr>
                <w:rFonts w:hint="default" w:ascii="Times New Roman" w:hAnsi="Times New Roman" w:eastAsia="宋体" w:cs="Times New Roman"/>
                <w:b/>
                <w:bCs/>
                <w:sz w:val="28"/>
                <w:szCs w:val="28"/>
              </w:rPr>
              <w:t xml:space="preserve">施工期 </w:t>
            </w:r>
          </w:p>
          <w:p w14:paraId="2C1D54B6">
            <w:pPr>
              <w:keepNext w:val="0"/>
              <w:keepLines w:val="0"/>
              <w:pageBreakBefore w:val="0"/>
              <w:numPr>
                <w:ilvl w:val="0"/>
                <w:numId w:val="0"/>
              </w:numPr>
              <w:kinsoku/>
              <w:wordWrap/>
              <w:overflowPunct/>
              <w:topLinePunct w:val="0"/>
              <w:autoSpaceDE/>
              <w:autoSpaceDN/>
              <w:bidi w:val="0"/>
              <w:adjustRightInd w:val="0"/>
              <w:snapToGrid/>
              <w:spacing w:line="360" w:lineRule="auto"/>
              <w:ind w:leftChars="0" w:firstLine="480" w:firstLineChars="200"/>
              <w:textAlignment w:val="auto"/>
              <w:rPr>
                <w:rFonts w:hint="default" w:ascii="Times New Roman" w:hAnsi="Times New Roman" w:eastAsia="宋体" w:cs="Times New Roman"/>
                <w:sz w:val="24"/>
                <w:lang w:val="en-US" w:eastAsia="zh-CN"/>
              </w:rPr>
            </w:pPr>
            <w:r>
              <w:rPr>
                <w:rFonts w:hint="eastAsia" w:ascii="Times New Roman" w:hAnsi="Times New Roman" w:eastAsia="宋体" w:cs="Times New Roman"/>
                <w:b w:val="0"/>
                <w:bCs w:val="0"/>
                <w:sz w:val="24"/>
              </w:rPr>
              <w:t>本</w:t>
            </w:r>
            <w:r>
              <w:rPr>
                <w:rFonts w:hint="eastAsia" w:ascii="Times New Roman" w:hAnsi="Times New Roman" w:eastAsia="宋体" w:cs="Times New Roman"/>
                <w:b w:val="0"/>
                <w:bCs w:val="0"/>
                <w:sz w:val="24"/>
                <w:lang w:val="en-US" w:eastAsia="zh-CN"/>
              </w:rPr>
              <w:t>项目</w:t>
            </w:r>
            <w:r>
              <w:rPr>
                <w:rFonts w:hint="eastAsia" w:ascii="Times New Roman" w:hAnsi="Times New Roman" w:eastAsia="宋体" w:cs="Times New Roman"/>
                <w:b w:val="0"/>
                <w:bCs w:val="0"/>
                <w:sz w:val="24"/>
              </w:rPr>
              <w:t>位于</w:t>
            </w:r>
            <w:r>
              <w:rPr>
                <w:rFonts w:hint="default" w:ascii="Times New Roman" w:hAnsi="Times New Roman" w:eastAsia="宋体" w:cs="Times New Roman"/>
                <w:sz w:val="24"/>
                <w:lang w:val="en-US" w:eastAsia="zh-CN"/>
              </w:rPr>
              <w:t>安徽省池州市江南产业集中区皖能电子信息产业园5幢4层</w:t>
            </w:r>
            <w:r>
              <w:rPr>
                <w:rFonts w:hint="eastAsia" w:ascii="Times New Roman" w:hAnsi="Times New Roman" w:eastAsia="宋体" w:cs="Times New Roman"/>
                <w:b w:val="0"/>
                <w:bCs w:val="0"/>
                <w:sz w:val="24"/>
              </w:rPr>
              <w:t>，系</w:t>
            </w:r>
            <w:r>
              <w:rPr>
                <w:rFonts w:hint="eastAsia" w:ascii="Times New Roman" w:hAnsi="Times New Roman" w:eastAsia="宋体" w:cs="Times New Roman"/>
                <w:b w:val="0"/>
                <w:bCs w:val="0"/>
                <w:sz w:val="24"/>
                <w:lang w:val="en-US" w:eastAsia="zh-CN"/>
              </w:rPr>
              <w:t>租赁已建厂房。本项目不涉及土建工程，施工期主要进行设备安装调试等，故本次评价对施工期环境影响不做分析</w:t>
            </w:r>
            <w:r>
              <w:rPr>
                <w:rFonts w:hint="default" w:ascii="Times New Roman" w:hAnsi="Times New Roman" w:eastAsia="宋体" w:cs="Times New Roman"/>
                <w:sz w:val="24"/>
                <w:lang w:val="en-US" w:eastAsia="zh-CN"/>
              </w:rPr>
              <w:t>。</w:t>
            </w:r>
          </w:p>
          <w:p w14:paraId="5C0313F2">
            <w:pPr>
              <w:keepNext w:val="0"/>
              <w:keepLines w:val="0"/>
              <w:pageBreakBefore w:val="0"/>
              <w:numPr>
                <w:ilvl w:val="0"/>
                <w:numId w:val="0"/>
              </w:numPr>
              <w:kinsoku/>
              <w:wordWrap/>
              <w:overflowPunct/>
              <w:topLinePunct w:val="0"/>
              <w:autoSpaceDE/>
              <w:autoSpaceDN/>
              <w:bidi w:val="0"/>
              <w:adjustRightInd w:val="0"/>
              <w:snapToGrid/>
              <w:spacing w:line="360" w:lineRule="auto"/>
              <w:ind w:leftChars="0"/>
              <w:textAlignment w:val="auto"/>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lang w:val="en-US" w:eastAsia="zh-CN"/>
              </w:rPr>
              <w:t>二、</w:t>
            </w:r>
            <w:r>
              <w:rPr>
                <w:rFonts w:hint="default" w:ascii="Times New Roman" w:hAnsi="Times New Roman" w:eastAsia="宋体" w:cs="Times New Roman"/>
                <w:b/>
                <w:bCs/>
                <w:sz w:val="28"/>
                <w:szCs w:val="28"/>
              </w:rPr>
              <w:t>运营期</w:t>
            </w:r>
          </w:p>
          <w:p w14:paraId="79839379">
            <w:pPr>
              <w:keepNext w:val="0"/>
              <w:keepLines w:val="0"/>
              <w:pageBreakBefore w:val="0"/>
              <w:numPr>
                <w:ilvl w:val="0"/>
                <w:numId w:val="0"/>
              </w:numPr>
              <w:kinsoku/>
              <w:wordWrap/>
              <w:overflowPunct/>
              <w:topLinePunct w:val="0"/>
              <w:autoSpaceDE/>
              <w:autoSpaceDN/>
              <w:bidi w:val="0"/>
              <w:adjustRightInd w:val="0"/>
              <w:snapToGrid/>
              <w:spacing w:line="360" w:lineRule="auto"/>
              <w:textAlignment w:val="auto"/>
              <w:rPr>
                <w:rFonts w:hint="eastAsia" w:ascii="Times New Roman" w:hAnsi="Times New Roman" w:eastAsia="宋体" w:cs="Times New Roman"/>
                <w:b/>
                <w:bCs/>
                <w:sz w:val="24"/>
                <w:lang w:eastAsia="zh-CN"/>
              </w:rPr>
            </w:pPr>
            <w:r>
              <w:rPr>
                <w:rFonts w:hint="default" w:ascii="Times New Roman" w:hAnsi="Times New Roman" w:eastAsia="宋体" w:cs="Times New Roman"/>
                <w:b/>
                <w:bCs/>
                <w:sz w:val="24"/>
              </w:rPr>
              <w:t>1、</w:t>
            </w:r>
            <w:r>
              <w:rPr>
                <w:rFonts w:hint="eastAsia" w:ascii="Times New Roman" w:hAnsi="Times New Roman" w:eastAsia="宋体" w:cs="Times New Roman"/>
                <w:b/>
                <w:bCs/>
                <w:sz w:val="24"/>
                <w:lang w:val="en-US" w:eastAsia="zh-CN"/>
              </w:rPr>
              <w:t>嵌入式计算机板类产品</w:t>
            </w:r>
            <w:r>
              <w:rPr>
                <w:rFonts w:hint="default" w:ascii="Times New Roman" w:hAnsi="Times New Roman" w:eastAsia="宋体" w:cs="Times New Roman"/>
                <w:b/>
                <w:bCs/>
                <w:sz w:val="24"/>
              </w:rPr>
              <w:t>工艺流程及产污环节</w:t>
            </w:r>
          </w:p>
          <w:p w14:paraId="417282A5">
            <w:pPr>
              <w:spacing w:line="360" w:lineRule="auto"/>
              <w:jc w:val="center"/>
              <w:rPr>
                <w:rFonts w:hint="default" w:ascii="Times New Roman" w:hAnsi="Times New Roman" w:eastAsia="宋体" w:cs="Times New Roman"/>
                <w:sz w:val="24"/>
                <w:lang w:eastAsia="zh-CN"/>
              </w:rPr>
            </w:pPr>
            <w:r>
              <w:rPr>
                <w:rFonts w:hint="default" w:ascii="Times New Roman" w:hAnsi="Times New Roman" w:eastAsia="宋体" w:cs="Times New Roman"/>
                <w:sz w:val="24"/>
                <w:lang w:eastAsia="zh-CN"/>
              </w:rPr>
              <w:drawing>
                <wp:inline distT="0" distB="0" distL="114300" distR="114300">
                  <wp:extent cx="3779520" cy="4250055"/>
                  <wp:effectExtent l="0" t="0" r="0" b="17145"/>
                  <wp:docPr id="11" name="ECB019B1-382A-4266-B25C-5B523AA43C14-2" descr="C:/Users/13209/AppData/Local/Temp/wps.TzJjlC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CB019B1-382A-4266-B25C-5B523AA43C14-2" descr="C:/Users/13209/AppData/Local/Temp/wps.TzJjlCwps"/>
                          <pic:cNvPicPr>
                            <a:picLocks noChangeAspect="1"/>
                          </pic:cNvPicPr>
                        </pic:nvPicPr>
                        <pic:blipFill>
                          <a:blip r:embed="rId8"/>
                          <a:srcRect l="3002" t="2343" r="4461" b="3029"/>
                          <a:stretch>
                            <a:fillRect/>
                          </a:stretch>
                        </pic:blipFill>
                        <pic:spPr>
                          <a:xfrm>
                            <a:off x="0" y="0"/>
                            <a:ext cx="3779520" cy="4250055"/>
                          </a:xfrm>
                          <a:prstGeom prst="rect">
                            <a:avLst/>
                          </a:prstGeom>
                        </pic:spPr>
                      </pic:pic>
                    </a:graphicData>
                  </a:graphic>
                </wp:inline>
              </w:drawing>
            </w:r>
          </w:p>
          <w:p w14:paraId="3B578BB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1"/>
                <w:szCs w:val="21"/>
              </w:rPr>
            </w:pPr>
            <w:r>
              <w:rPr>
                <w:rFonts w:hint="default" w:ascii="Times New Roman" w:hAnsi="Times New Roman" w:eastAsia="黑体" w:cs="Times New Roman"/>
                <w:sz w:val="21"/>
                <w:szCs w:val="21"/>
              </w:rPr>
              <w:t>图</w:t>
            </w:r>
            <w:r>
              <w:rPr>
                <w:rFonts w:hint="eastAsia" w:ascii="Times New Roman" w:hAnsi="Times New Roman" w:eastAsia="黑体" w:cs="Times New Roman"/>
                <w:sz w:val="21"/>
                <w:szCs w:val="21"/>
                <w:lang w:val="en-US" w:eastAsia="zh-CN"/>
              </w:rPr>
              <w:t>2-1</w:t>
            </w:r>
            <w:r>
              <w:rPr>
                <w:rFonts w:hint="default" w:ascii="Times New Roman" w:hAnsi="Times New Roman" w:eastAsia="黑体" w:cs="Times New Roman"/>
                <w:sz w:val="21"/>
                <w:szCs w:val="21"/>
              </w:rPr>
              <w:t xml:space="preserve"> 嵌入式计算机板类产品工艺流程及产污节点图</w:t>
            </w:r>
          </w:p>
          <w:p w14:paraId="788BD03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工艺</w:t>
            </w:r>
            <w:r>
              <w:rPr>
                <w:rFonts w:hint="eastAsia" w:ascii="Times New Roman" w:hAnsi="Times New Roman" w:eastAsia="宋体" w:cs="Times New Roman"/>
                <w:sz w:val="24"/>
                <w:lang w:val="en-US" w:eastAsia="zh-CN"/>
              </w:rPr>
              <w:t>流程简述</w:t>
            </w:r>
            <w:r>
              <w:rPr>
                <w:rFonts w:hint="default" w:ascii="Times New Roman" w:hAnsi="Times New Roman" w:eastAsia="宋体" w:cs="Times New Roman"/>
                <w:sz w:val="24"/>
              </w:rPr>
              <w:t>：</w:t>
            </w:r>
          </w:p>
          <w:p w14:paraId="4A8D92F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（1）印刷</w:t>
            </w:r>
          </w:p>
          <w:p w14:paraId="2D8D9B9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将外购的</w:t>
            </w:r>
            <w:r>
              <w:rPr>
                <w:rFonts w:hint="eastAsia" w:ascii="Times New Roman" w:hAnsi="Times New Roman" w:eastAsia="宋体" w:cs="Times New Roman"/>
                <w:sz w:val="24"/>
                <w:lang w:val="en-US" w:eastAsia="zh-CN"/>
              </w:rPr>
              <w:t>电路板</w:t>
            </w:r>
            <w:r>
              <w:rPr>
                <w:rFonts w:hint="default" w:ascii="Times New Roman" w:hAnsi="Times New Roman" w:eastAsia="宋体" w:cs="Times New Roman"/>
                <w:sz w:val="24"/>
                <w:lang w:val="en-US" w:eastAsia="zh-CN"/>
              </w:rPr>
              <w:t>人工放置于全自动上板机，通过上板机将</w:t>
            </w:r>
            <w:r>
              <w:rPr>
                <w:rFonts w:hint="eastAsia" w:ascii="Times New Roman" w:hAnsi="Times New Roman" w:eastAsia="宋体" w:cs="Times New Roman"/>
                <w:sz w:val="24"/>
                <w:lang w:val="en-US" w:eastAsia="zh-CN"/>
              </w:rPr>
              <w:t>电路板</w:t>
            </w:r>
            <w:r>
              <w:rPr>
                <w:rFonts w:hint="default" w:ascii="Times New Roman" w:hAnsi="Times New Roman" w:eastAsia="宋体" w:cs="Times New Roman"/>
                <w:sz w:val="24"/>
                <w:lang w:val="en-US" w:eastAsia="zh-CN"/>
              </w:rPr>
              <w:t>输送至全自动印刷机，然后根据产品需要，使用全自动印刷机将</w:t>
            </w:r>
            <w:r>
              <w:rPr>
                <w:rFonts w:hint="eastAsia" w:ascii="Times New Roman" w:hAnsi="Times New Roman" w:eastAsia="宋体" w:cs="Times New Roman"/>
                <w:sz w:val="24"/>
                <w:lang w:val="en-US" w:eastAsia="zh-CN"/>
              </w:rPr>
              <w:t>混合后的</w:t>
            </w:r>
            <w:r>
              <w:rPr>
                <w:rFonts w:hint="default" w:ascii="Times New Roman" w:hAnsi="Times New Roman" w:eastAsia="宋体" w:cs="Times New Roman"/>
                <w:sz w:val="24"/>
                <w:lang w:val="en-US" w:eastAsia="zh-CN"/>
              </w:rPr>
              <w:t>无铅锡膏</w:t>
            </w:r>
            <w:r>
              <w:rPr>
                <w:rFonts w:hint="eastAsia" w:ascii="Times New Roman" w:hAnsi="Times New Roman" w:eastAsia="宋体" w:cs="Times New Roman"/>
                <w:sz w:val="24"/>
                <w:lang w:val="en-US" w:eastAsia="zh-CN"/>
              </w:rPr>
              <w:t>和助焊剂</w:t>
            </w:r>
            <w:r>
              <w:rPr>
                <w:rFonts w:hint="default" w:ascii="Times New Roman" w:hAnsi="Times New Roman" w:eastAsia="宋体" w:cs="Times New Roman"/>
                <w:sz w:val="24"/>
                <w:lang w:val="en-US" w:eastAsia="zh-CN"/>
              </w:rPr>
              <w:t>刷至</w:t>
            </w:r>
            <w:r>
              <w:rPr>
                <w:rFonts w:hint="eastAsia" w:ascii="Times New Roman" w:hAnsi="Times New Roman" w:eastAsia="宋体" w:cs="Times New Roman"/>
                <w:sz w:val="24"/>
                <w:lang w:val="en-US" w:eastAsia="zh-CN"/>
              </w:rPr>
              <w:t>电路板</w:t>
            </w:r>
            <w:r>
              <w:rPr>
                <w:rFonts w:hint="default" w:ascii="Times New Roman" w:hAnsi="Times New Roman" w:eastAsia="宋体" w:cs="Times New Roman"/>
                <w:sz w:val="24"/>
                <w:lang w:val="en-US" w:eastAsia="zh-CN"/>
              </w:rPr>
              <w:t>上。锡膏需要低温存储，一般在5℃左右保存</w:t>
            </w:r>
            <w:r>
              <w:rPr>
                <w:rFonts w:hint="eastAsia" w:ascii="Times New Roman" w:hAnsi="Times New Roman" w:eastAsia="宋体" w:cs="Times New Roman"/>
                <w:sz w:val="24"/>
                <w:lang w:val="en-US" w:eastAsia="zh-CN"/>
              </w:rPr>
              <w:t>；</w:t>
            </w:r>
            <w:r>
              <w:rPr>
                <w:rFonts w:hint="default" w:ascii="Times New Roman" w:hAnsi="Times New Roman" w:eastAsia="宋体" w:cs="Times New Roman"/>
                <w:sz w:val="24"/>
                <w:lang w:val="en-US" w:eastAsia="zh-CN"/>
              </w:rPr>
              <w:t>使用前提前从冷藏柜取出，人工搅拌5分钟。印刷工序为常温，因此</w:t>
            </w:r>
            <w:r>
              <w:rPr>
                <w:rFonts w:hint="eastAsia" w:ascii="Times New Roman" w:hAnsi="Times New Roman" w:eastAsia="宋体" w:cs="Times New Roman"/>
                <w:sz w:val="24"/>
                <w:lang w:val="en-US" w:eastAsia="zh-CN"/>
              </w:rPr>
              <w:t>基本</w:t>
            </w:r>
            <w:r>
              <w:rPr>
                <w:rFonts w:hint="default" w:ascii="Times New Roman" w:hAnsi="Times New Roman" w:eastAsia="宋体" w:cs="Times New Roman"/>
                <w:sz w:val="24"/>
                <w:lang w:val="en-US" w:eastAsia="zh-CN"/>
              </w:rPr>
              <w:t>无废气产生</w:t>
            </w:r>
            <w:r>
              <w:rPr>
                <w:rFonts w:hint="eastAsia" w:ascii="Times New Roman" w:hAnsi="Times New Roman" w:eastAsia="宋体" w:cs="Times New Roman"/>
                <w:sz w:val="24"/>
                <w:lang w:val="en-US" w:eastAsia="zh-CN"/>
              </w:rPr>
              <w:t>，印刷机钢网清洗、保养外协厂家处理，不在厂区内进行，因此无清洗废液产生。</w:t>
            </w:r>
            <w:r>
              <w:rPr>
                <w:rFonts w:hint="default" w:ascii="Times New Roman" w:hAnsi="Times New Roman" w:eastAsia="宋体" w:cs="Times New Roman"/>
                <w:sz w:val="24"/>
                <w:highlight w:val="none"/>
                <w:lang w:val="en-US" w:eastAsia="zh-CN"/>
              </w:rPr>
              <w:t>该工序会产生</w:t>
            </w:r>
            <w:r>
              <w:rPr>
                <w:rFonts w:hint="eastAsia" w:ascii="Times New Roman" w:hAnsi="Times New Roman" w:eastAsia="宋体" w:cs="Times New Roman"/>
                <w:sz w:val="24"/>
                <w:highlight w:val="none"/>
                <w:lang w:val="en-US" w:eastAsia="zh-CN"/>
              </w:rPr>
              <w:t>固废</w:t>
            </w:r>
            <w:r>
              <w:rPr>
                <w:rFonts w:hint="default" w:ascii="Times New Roman" w:hAnsi="Times New Roman" w:eastAsia="宋体" w:cs="Times New Roman"/>
                <w:sz w:val="24"/>
                <w:lang w:val="en-US" w:eastAsia="zh-CN"/>
              </w:rPr>
              <w:t>。</w:t>
            </w:r>
          </w:p>
          <w:p w14:paraId="666A825B">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SPI检测</w:t>
            </w:r>
          </w:p>
          <w:p w14:paraId="3C3E532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锡膏印刷后的电路板进入SPI检测设备，依靠结构光测量等技术手段，对印刷后焊锡膏的锡厚、体积、面积进行检查。检测不合格的基板重新进行锡膏印刷工序，合格品进入下一工序。</w:t>
            </w:r>
          </w:p>
          <w:p w14:paraId="555F50EA">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贴片</w:t>
            </w:r>
          </w:p>
          <w:p w14:paraId="391591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利用贴片机将贴片式电子元器件安贴至电路板上，等待回流焊进行高温熔化后焊接。</w:t>
            </w:r>
          </w:p>
          <w:p w14:paraId="54B49326">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焊前AOI</w:t>
            </w:r>
          </w:p>
          <w:p w14:paraId="2EA23A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焊接前对电路板进行AOI（自动光学检测），自动检测时，机器通过摄像头自动扫描电路板，采集图像，测试与数据库中的合格的参数进行比较，经过图像处理，检查出电路板板基板上的零件缺陷，并通过显示器或自动标志把缺陷显示/标示出来，检验不合格的基板重新进行锡膏印刷、贴片工序，合格品进入下一工序。</w:t>
            </w:r>
          </w:p>
          <w:p w14:paraId="2F871B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（5）回流焊</w:t>
            </w:r>
          </w:p>
          <w:p w14:paraId="439649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将AOI检测后的电路板通过空气回流焊（采用电加热的方式加热），使附着在线路板上的锡膏融化后再以风冷的形式进行冷却，最终实现表面元器件与线路板牢固粘接固化在一起。该工序会产生回流焊废气G1（主要污染物为颗粒物、锡及其化合物和非甲烷总烃）和噪声。</w:t>
            </w:r>
          </w:p>
          <w:p w14:paraId="29052F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空气回流焊</w:t>
            </w:r>
            <w:r>
              <w:rPr>
                <w:rFonts w:hint="default" w:ascii="Times New Roman" w:hAnsi="Times New Roman" w:eastAsia="宋体" w:cs="Times New Roman"/>
                <w:sz w:val="24"/>
                <w:lang w:val="en-US" w:eastAsia="zh-CN"/>
              </w:rPr>
              <w:t>工作原理：</w:t>
            </w:r>
            <w:r>
              <w:rPr>
                <w:rFonts w:hint="eastAsia" w:ascii="Times New Roman" w:hAnsi="Times New Roman" w:eastAsia="宋体" w:cs="Times New Roman"/>
                <w:sz w:val="24"/>
                <w:lang w:val="en-US" w:eastAsia="zh-CN"/>
              </w:rPr>
              <w:t>空气回流焊</w:t>
            </w:r>
            <w:r>
              <w:rPr>
                <w:rFonts w:hint="default" w:ascii="Times New Roman" w:hAnsi="Times New Roman" w:eastAsia="宋体" w:cs="Times New Roman"/>
                <w:sz w:val="24"/>
                <w:lang w:val="en-US" w:eastAsia="zh-CN"/>
              </w:rPr>
              <w:t>通常具有多个温区，一般分为预热区、保温区、回流区和冷却区。</w:t>
            </w:r>
            <w:r>
              <w:rPr>
                <w:rFonts w:hint="eastAsia" w:ascii="Times New Roman" w:hAnsi="Times New Roman" w:eastAsia="宋体" w:cs="Times New Roman"/>
                <w:sz w:val="24"/>
                <w:lang w:val="en-US" w:eastAsia="zh-CN"/>
              </w:rPr>
              <w:t>具体如下：</w:t>
            </w:r>
          </w:p>
          <w:p w14:paraId="7ECE72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预热区：在这个区域，</w:t>
            </w:r>
            <w:r>
              <w:rPr>
                <w:rFonts w:hint="eastAsia" w:ascii="Times New Roman" w:hAnsi="Times New Roman" w:eastAsia="宋体" w:cs="Times New Roman"/>
                <w:sz w:val="24"/>
                <w:lang w:val="en-US" w:eastAsia="zh-CN"/>
              </w:rPr>
              <w:t>电路板</w:t>
            </w:r>
            <w:r>
              <w:rPr>
                <w:rFonts w:hint="default" w:ascii="Times New Roman" w:hAnsi="Times New Roman" w:eastAsia="宋体" w:cs="Times New Roman"/>
                <w:sz w:val="24"/>
                <w:lang w:val="en-US" w:eastAsia="zh-CN"/>
              </w:rPr>
              <w:t>和元器件的温度逐渐升高，一般升温速率控制在1-3℃/秒。预热的目的是使焊膏中的溶剂挥发，同时让元器件和</w:t>
            </w:r>
            <w:r>
              <w:rPr>
                <w:rFonts w:hint="eastAsia" w:ascii="Times New Roman" w:hAnsi="Times New Roman" w:eastAsia="宋体" w:cs="Times New Roman"/>
                <w:sz w:val="24"/>
                <w:lang w:val="en-US" w:eastAsia="zh-CN"/>
              </w:rPr>
              <w:t>电路板</w:t>
            </w:r>
            <w:r>
              <w:rPr>
                <w:rFonts w:hint="default" w:ascii="Times New Roman" w:hAnsi="Times New Roman" w:eastAsia="宋体" w:cs="Times New Roman"/>
                <w:sz w:val="24"/>
                <w:lang w:val="en-US" w:eastAsia="zh-CN"/>
              </w:rPr>
              <w:t>逐步适应后续的高温环境，减少热冲击。如果升温过快，可能会导致焊膏飞溅、元器件损坏等问题；升温过慢则会影响生产效率。</w:t>
            </w:r>
          </w:p>
          <w:p w14:paraId="7B2BE0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保温区：温度保持在一个相对稳定的范围内，通常在150-180℃之间，时间约为60-120秒。在保温区，焊膏中的助焊剂开始发挥作用，去除焊盘和元器件引脚表面的氧化物，为后续的焊接做好准备。同时，也可以使电路板和元器件的温度更加均匀，避免局部温度差异过大。</w:t>
            </w:r>
          </w:p>
          <w:p w14:paraId="3BC4802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回流区：这是回流焊的核心区域，温度迅速上升到焊膏的熔点以上，一般在217-230℃之间，使焊膏完全熔化。在这个阶段，液态的焊料在表面张力的作用下，会自动包裹住元器件的引脚和焊盘，形成良好的焊点。回流区的时间和温度需要严格控制，如果温度过高或时间过长，可能会导致焊料氧化、元器件损坏；温度过低或时间过短，则会使焊膏不能充分熔化，造成虚焊。</w:t>
            </w:r>
          </w:p>
          <w:p w14:paraId="4C1E5C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冷却区：焊接完成后，电路板需要快速冷却，冷却速率一般控制在3-10℃/秒。快速冷却可以使焊点的结晶更加细小，提高焊点的强度和可靠性。如果冷却过慢，可能会导致焊点晶粒粗大，降低焊点的机械性能。</w:t>
            </w:r>
          </w:p>
          <w:p w14:paraId="6BA8D78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（6）焊后AOI</w:t>
            </w:r>
          </w:p>
          <w:p w14:paraId="52FBB7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焊接后再次对电路板进行AOI（自动光学检测），机器通过摄像头自动扫描电路板上的零件，采集图像，经过图像处理，确认是否有缺件/短路/脚翘/等检验不合格的基板再次进行锡膏印刷、贴片、回流焊工序，合格品进入下一工序。</w:t>
            </w:r>
          </w:p>
          <w:p w14:paraId="5953DA7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（7）组装、焊接直插式电子元器件</w:t>
            </w:r>
          </w:p>
          <w:p w14:paraId="34E74B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将外购的直插式电子元器件与焊接后的电路板进行组装，并根据需要进行手工焊接。首先</w:t>
            </w:r>
            <w:r>
              <w:rPr>
                <w:rFonts w:hint="eastAsia" w:ascii="Times New Roman" w:hAnsi="Times New Roman" w:eastAsia="宋体" w:cs="Times New Roman"/>
                <w:sz w:val="24"/>
              </w:rPr>
              <w:t>烙铁头同时接触焊盘和元件引脚（1-2秒）</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rPr>
              <w:t>送焊锡丝至接触点，熔化适量焊锡</w:t>
            </w:r>
            <w:r>
              <w:rPr>
                <w:rFonts w:hint="eastAsia" w:ascii="Times New Roman" w:hAnsi="Times New Roman" w:eastAsia="宋体" w:cs="Times New Roman"/>
                <w:sz w:val="24"/>
                <w:lang w:val="en-US" w:eastAsia="zh-CN"/>
              </w:rPr>
              <w:t>丝</w:t>
            </w:r>
            <w:r>
              <w:rPr>
                <w:rFonts w:hint="eastAsia" w:ascii="Times New Roman" w:hAnsi="Times New Roman" w:eastAsia="宋体" w:cs="Times New Roman"/>
                <w:sz w:val="24"/>
              </w:rPr>
              <w:t>（避免直接滴到烙铁头）</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然后</w:t>
            </w:r>
            <w:r>
              <w:rPr>
                <w:rFonts w:hint="eastAsia" w:ascii="Times New Roman" w:hAnsi="Times New Roman" w:eastAsia="宋体" w:cs="Times New Roman"/>
                <w:sz w:val="24"/>
              </w:rPr>
              <w:t>移开焊锡丝，保持烙铁加热1秒使焊锡</w:t>
            </w:r>
            <w:r>
              <w:rPr>
                <w:rFonts w:hint="eastAsia" w:ascii="Times New Roman" w:hAnsi="Times New Roman" w:eastAsia="宋体" w:cs="Times New Roman"/>
                <w:sz w:val="24"/>
                <w:lang w:val="en-US" w:eastAsia="zh-CN"/>
              </w:rPr>
              <w:t>丝</w:t>
            </w:r>
            <w:r>
              <w:rPr>
                <w:rFonts w:hint="eastAsia" w:ascii="Times New Roman" w:hAnsi="Times New Roman" w:eastAsia="宋体" w:cs="Times New Roman"/>
                <w:sz w:val="24"/>
              </w:rPr>
              <w:t>流动</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接着</w:t>
            </w:r>
            <w:r>
              <w:rPr>
                <w:rFonts w:hint="eastAsia" w:ascii="Times New Roman" w:hAnsi="Times New Roman" w:eastAsia="宋体" w:cs="Times New Roman"/>
                <w:sz w:val="24"/>
              </w:rPr>
              <w:t>快速移开烙铁，让焊点自然冷却</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最后</w:t>
            </w:r>
            <w:r>
              <w:rPr>
                <w:rFonts w:hint="eastAsia" w:ascii="Times New Roman" w:hAnsi="Times New Roman" w:eastAsia="宋体" w:cs="Times New Roman"/>
                <w:sz w:val="24"/>
              </w:rPr>
              <w:t>检查焊点形状，必要时补焊或吸除多余焊锡</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该工序会产生手工焊接废气G2（主要污染物为颗粒物、锡及其化合物和非甲烷总烃）和噪声。</w:t>
            </w:r>
          </w:p>
          <w:p w14:paraId="505CB9EB">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擦拭</w:t>
            </w:r>
          </w:p>
          <w:p w14:paraId="03742E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焊接后的电路板上有残留助焊剂和污物，需要用无水乙醇来进行人工擦拭。该工序会产生废气G3（主要污染物为乙醇）和固废。</w:t>
            </w:r>
          </w:p>
          <w:p w14:paraId="536E7CFB">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装配</w:t>
            </w:r>
          </w:p>
          <w:p w14:paraId="0EAA91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用螺丝刀、偏口钳、钳子、镊子等工具对结构件与制成板卡进行装配。</w:t>
            </w:r>
          </w:p>
          <w:p w14:paraId="4656C038">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喷三防漆</w:t>
            </w:r>
          </w:p>
          <w:p w14:paraId="477909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default"/>
                <w:lang w:val="en-US" w:eastAsia="zh-CN"/>
              </w:rPr>
            </w:pPr>
            <w:r>
              <w:rPr>
                <w:rFonts w:hint="eastAsia" w:ascii="Times New Roman" w:hAnsi="Times New Roman" w:eastAsia="宋体" w:cs="Times New Roman"/>
                <w:sz w:val="24"/>
                <w:lang w:val="en-US" w:eastAsia="zh-CN"/>
              </w:rPr>
              <w:t>本项目喷三防漆工序外协处理。</w:t>
            </w:r>
          </w:p>
          <w:p w14:paraId="7EABBC7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（11）检测与实验</w:t>
            </w:r>
          </w:p>
          <w:p w14:paraId="3E9909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电脑、显示器、万用表、示波器、电阻测试箱、可调直流电源等用于单板检测和电装测试，温度循环试验箱可用于环境实验。</w:t>
            </w:r>
          </w:p>
          <w:p w14:paraId="55F055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（12）包装入库</w:t>
            </w:r>
          </w:p>
          <w:p w14:paraId="79147F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将成品通过人工进行包装，最后入库待售。</w:t>
            </w:r>
          </w:p>
          <w:p w14:paraId="3680C318">
            <w:pPr>
              <w:keepNext w:val="0"/>
              <w:keepLines w:val="0"/>
              <w:pageBreakBefore w:val="0"/>
              <w:numPr>
                <w:ilvl w:val="0"/>
                <w:numId w:val="0"/>
              </w:numPr>
              <w:kinsoku/>
              <w:wordWrap/>
              <w:overflowPunct/>
              <w:topLinePunct w:val="0"/>
              <w:autoSpaceDE/>
              <w:autoSpaceDN/>
              <w:bidi w:val="0"/>
              <w:adjustRightInd w:val="0"/>
              <w:snapToGrid/>
              <w:spacing w:line="360" w:lineRule="auto"/>
              <w:textAlignment w:val="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lang w:val="en-US" w:eastAsia="zh-CN"/>
              </w:rPr>
              <w:t>2</w:t>
            </w:r>
            <w:r>
              <w:rPr>
                <w:rFonts w:hint="default" w:ascii="Times New Roman" w:hAnsi="Times New Roman" w:eastAsia="宋体" w:cs="Times New Roman"/>
                <w:b/>
                <w:bCs/>
                <w:sz w:val="24"/>
              </w:rPr>
              <w:t>、</w:t>
            </w:r>
            <w:r>
              <w:rPr>
                <w:rFonts w:hint="eastAsia" w:ascii="Times New Roman" w:hAnsi="Times New Roman" w:eastAsia="宋体" w:cs="Times New Roman"/>
                <w:b/>
                <w:bCs/>
                <w:sz w:val="24"/>
                <w:lang w:val="en-US" w:eastAsia="zh-CN"/>
              </w:rPr>
              <w:t>整机设备类产品</w:t>
            </w:r>
            <w:r>
              <w:rPr>
                <w:rFonts w:hint="default" w:ascii="Times New Roman" w:hAnsi="Times New Roman" w:eastAsia="宋体" w:cs="Times New Roman"/>
                <w:b/>
                <w:bCs/>
                <w:sz w:val="24"/>
              </w:rPr>
              <w:t>工艺流程及产污环节</w:t>
            </w:r>
          </w:p>
          <w:p w14:paraId="68F319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b/>
                <w:bCs/>
                <w:sz w:val="24"/>
                <w:lang w:val="en-US" w:eastAsia="zh-CN"/>
              </w:rPr>
            </w:pPr>
            <w:r>
              <w:rPr>
                <w:rFonts w:hint="eastAsia" w:ascii="Times New Roman" w:hAnsi="Times New Roman" w:eastAsia="宋体" w:cs="Times New Roman"/>
                <w:sz w:val="24"/>
                <w:lang w:val="en-US" w:eastAsia="zh-CN"/>
              </w:rPr>
              <w:t>本项目整机设备类产品只涉及将嵌入式计算机板类、塑料外壳、显示屏进行简单组装。该工序无废气、废水产生。</w:t>
            </w:r>
          </w:p>
          <w:p w14:paraId="2AF77ADD">
            <w:pPr>
              <w:keepNext w:val="0"/>
              <w:keepLines w:val="0"/>
              <w:pageBreakBefore w:val="0"/>
              <w:widowControl w:val="0"/>
              <w:kinsoku/>
              <w:wordWrap/>
              <w:overflowPunct/>
              <w:topLinePunct w:val="0"/>
              <w:autoSpaceDE/>
              <w:autoSpaceDN/>
              <w:bidi w:val="0"/>
              <w:snapToGrid/>
              <w:spacing w:line="360" w:lineRule="auto"/>
              <w:jc w:val="left"/>
              <w:textAlignment w:val="auto"/>
              <w:rPr>
                <w:rFonts w:hint="default" w:ascii="Times New Roman" w:hAnsi="Times New Roman" w:eastAsia="宋体" w:cs="Times New Roman"/>
                <w:b/>
                <w:bCs/>
                <w:sz w:val="24"/>
              </w:rPr>
            </w:pPr>
            <w:r>
              <w:rPr>
                <w:rFonts w:hint="eastAsia" w:ascii="Times New Roman" w:hAnsi="Times New Roman" w:eastAsia="宋体" w:cs="Times New Roman"/>
                <w:b/>
                <w:bCs/>
                <w:sz w:val="24"/>
                <w:lang w:val="en-US" w:eastAsia="zh-CN"/>
              </w:rPr>
              <w:t>3</w:t>
            </w:r>
            <w:r>
              <w:rPr>
                <w:rFonts w:hint="default" w:ascii="Times New Roman" w:hAnsi="Times New Roman" w:eastAsia="宋体" w:cs="Times New Roman"/>
                <w:b/>
                <w:bCs/>
                <w:sz w:val="24"/>
              </w:rPr>
              <w:t>、产污环节</w:t>
            </w:r>
          </w:p>
          <w:p w14:paraId="13BEB327">
            <w:pPr>
              <w:pStyle w:val="53"/>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黑体" w:cs="Times New Roman"/>
                <w:b w:val="0"/>
                <w:bCs w:val="0"/>
                <w:color w:val="auto"/>
                <w:sz w:val="21"/>
                <w:szCs w:val="21"/>
                <w:highlight w:val="none"/>
                <w:lang w:val="en-US" w:eastAsia="zh-CN"/>
              </w:rPr>
              <w:t>表2-</w:t>
            </w:r>
            <w:r>
              <w:rPr>
                <w:rFonts w:hint="eastAsia" w:ascii="Times New Roman" w:hAnsi="Times New Roman" w:eastAsia="黑体" w:cs="Times New Roman"/>
                <w:b w:val="0"/>
                <w:bCs w:val="0"/>
                <w:color w:val="auto"/>
                <w:sz w:val="21"/>
                <w:szCs w:val="21"/>
                <w:highlight w:val="none"/>
                <w:lang w:val="en-US" w:eastAsia="zh-CN"/>
              </w:rPr>
              <w:t>8</w:t>
            </w:r>
            <w:r>
              <w:rPr>
                <w:rFonts w:hint="default" w:ascii="Times New Roman" w:hAnsi="Times New Roman" w:eastAsia="黑体" w:cs="Times New Roman"/>
                <w:b w:val="0"/>
                <w:bCs w:val="0"/>
                <w:color w:val="auto"/>
                <w:sz w:val="21"/>
                <w:szCs w:val="21"/>
                <w:highlight w:val="none"/>
                <w:lang w:val="en-US" w:eastAsia="zh-CN"/>
              </w:rPr>
              <w:t xml:space="preserve"> 项目</w:t>
            </w:r>
            <w:r>
              <w:rPr>
                <w:rFonts w:hint="eastAsia" w:ascii="Times New Roman" w:hAnsi="Times New Roman" w:eastAsia="黑体" w:cs="Times New Roman"/>
                <w:b w:val="0"/>
                <w:bCs w:val="0"/>
                <w:color w:val="auto"/>
                <w:sz w:val="21"/>
                <w:szCs w:val="21"/>
                <w:highlight w:val="none"/>
                <w:lang w:val="en-US" w:eastAsia="zh-CN"/>
              </w:rPr>
              <w:t>产污环节一览表</w:t>
            </w:r>
          </w:p>
          <w:tbl>
            <w:tblPr>
              <w:tblStyle w:val="2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5"/>
              <w:gridCol w:w="952"/>
              <w:gridCol w:w="1445"/>
              <w:gridCol w:w="1253"/>
              <w:gridCol w:w="1943"/>
              <w:gridCol w:w="1970"/>
            </w:tblGrid>
            <w:tr w14:paraId="3CBC3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35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2EBC314">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分类</w:t>
                  </w:r>
                </w:p>
              </w:tc>
              <w:tc>
                <w:tcPr>
                  <w:tcW w:w="58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7B9580E">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rPr>
                    <w:t>污染物编号</w:t>
                  </w:r>
                </w:p>
              </w:tc>
              <w:tc>
                <w:tcPr>
                  <w:tcW w:w="8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16FB504">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生产工序</w:t>
                  </w:r>
                </w:p>
              </w:tc>
              <w:tc>
                <w:tcPr>
                  <w:tcW w:w="76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BF21EE6">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污染物</w:t>
                  </w:r>
                </w:p>
                <w:p w14:paraId="6A76B397">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名称</w:t>
                  </w:r>
                </w:p>
              </w:tc>
              <w:tc>
                <w:tcPr>
                  <w:tcW w:w="119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A2F1E69">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污染</w:t>
                  </w:r>
                  <w:r>
                    <w:rPr>
                      <w:rFonts w:hint="default" w:ascii="Times New Roman" w:hAnsi="Times New Roman" w:eastAsia="宋体" w:cs="Times New Roman"/>
                      <w:b w:val="0"/>
                      <w:bCs/>
                      <w:sz w:val="21"/>
                      <w:szCs w:val="21"/>
                      <w:lang w:val="en-US" w:eastAsia="zh-CN"/>
                    </w:rPr>
                    <w:t>物</w:t>
                  </w:r>
                  <w:r>
                    <w:rPr>
                      <w:rFonts w:hint="default" w:ascii="Times New Roman" w:hAnsi="Times New Roman" w:eastAsia="宋体" w:cs="Times New Roman"/>
                      <w:b w:val="0"/>
                      <w:bCs/>
                      <w:sz w:val="21"/>
                      <w:szCs w:val="21"/>
                    </w:rPr>
                    <w:t>种类</w:t>
                  </w:r>
                </w:p>
              </w:tc>
              <w:tc>
                <w:tcPr>
                  <w:tcW w:w="120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AD8B9E0">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处置方法/去向</w:t>
                  </w:r>
                </w:p>
              </w:tc>
            </w:tr>
            <w:tr w14:paraId="72109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358" w:type="pct"/>
                  <w:vMerge w:val="restart"/>
                  <w:tcBorders>
                    <w:top w:val="single" w:color="auto" w:sz="4" w:space="0"/>
                    <w:left w:val="single" w:color="auto" w:sz="4" w:space="0"/>
                    <w:right w:val="single" w:color="auto" w:sz="4" w:space="0"/>
                    <w:tl2br w:val="nil"/>
                    <w:tr2bl w:val="nil"/>
                  </w:tcBorders>
                  <w:noWrap w:val="0"/>
                  <w:vAlign w:val="center"/>
                </w:tcPr>
                <w:p w14:paraId="2BBDD146">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废气</w:t>
                  </w:r>
                </w:p>
              </w:tc>
              <w:tc>
                <w:tcPr>
                  <w:tcW w:w="584" w:type="pct"/>
                  <w:tcBorders>
                    <w:top w:val="single" w:color="auto" w:sz="4" w:space="0"/>
                    <w:left w:val="single" w:color="auto" w:sz="4" w:space="0"/>
                    <w:right w:val="single" w:color="auto" w:sz="4" w:space="0"/>
                    <w:tl2br w:val="nil"/>
                    <w:tr2bl w:val="nil"/>
                  </w:tcBorders>
                  <w:noWrap w:val="0"/>
                  <w:vAlign w:val="center"/>
                </w:tcPr>
                <w:p w14:paraId="1C21D1FC">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G1</w:t>
                  </w:r>
                </w:p>
              </w:tc>
              <w:tc>
                <w:tcPr>
                  <w:tcW w:w="886" w:type="pct"/>
                  <w:tcBorders>
                    <w:top w:val="single" w:color="auto" w:sz="4" w:space="0"/>
                    <w:left w:val="single" w:color="auto" w:sz="4" w:space="0"/>
                    <w:right w:val="single" w:color="auto" w:sz="4" w:space="0"/>
                    <w:tl2br w:val="nil"/>
                    <w:tr2bl w:val="nil"/>
                  </w:tcBorders>
                  <w:noWrap w:val="0"/>
                  <w:vAlign w:val="center"/>
                </w:tcPr>
                <w:p w14:paraId="7A28CE08">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回流焊</w:t>
                  </w:r>
                </w:p>
              </w:tc>
              <w:tc>
                <w:tcPr>
                  <w:tcW w:w="76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C62F6EA">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回流焊</w:t>
                  </w:r>
                </w:p>
                <w:p w14:paraId="1604FF4C">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废气</w:t>
                  </w:r>
                </w:p>
              </w:tc>
              <w:tc>
                <w:tcPr>
                  <w:tcW w:w="119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9687B4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颗粒物、锡及其化合物</w:t>
                  </w:r>
                  <w:r>
                    <w:rPr>
                      <w:rFonts w:hint="eastAsia" w:ascii="Times New Roman" w:hAnsi="Times New Roman" w:eastAsia="宋体" w:cs="Times New Roman"/>
                      <w:b w:val="0"/>
                      <w:bCs/>
                      <w:sz w:val="21"/>
                      <w:szCs w:val="21"/>
                      <w:lang w:val="en-US" w:eastAsia="zh-CN"/>
                    </w:rPr>
                    <w:t>、</w:t>
                  </w:r>
                  <w:r>
                    <w:rPr>
                      <w:rFonts w:hint="default" w:ascii="Times New Roman" w:hAnsi="Times New Roman" w:eastAsia="宋体" w:cs="Times New Roman"/>
                      <w:b w:val="0"/>
                      <w:bCs/>
                      <w:sz w:val="21"/>
                      <w:szCs w:val="21"/>
                      <w:lang w:val="en-US" w:eastAsia="zh-CN"/>
                    </w:rPr>
                    <w:t>非甲烷总烃</w:t>
                  </w:r>
                </w:p>
              </w:tc>
              <w:tc>
                <w:tcPr>
                  <w:tcW w:w="1208" w:type="pct"/>
                  <w:vMerge w:val="restart"/>
                  <w:tcBorders>
                    <w:top w:val="single" w:color="auto" w:sz="4" w:space="0"/>
                    <w:left w:val="single" w:color="auto" w:sz="4" w:space="0"/>
                    <w:right w:val="single" w:color="auto" w:sz="4" w:space="0"/>
                    <w:tl2br w:val="nil"/>
                    <w:tr2bl w:val="nil"/>
                  </w:tcBorders>
                  <w:noWrap w:val="0"/>
                  <w:vAlign w:val="center"/>
                </w:tcPr>
                <w:p w14:paraId="79EA1C42">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r>
                    <w:rPr>
                      <w:rFonts w:hint="eastAsia" w:ascii="Times New Roman" w:hAnsi="Times New Roman" w:eastAsia="宋体" w:cs="Times New Roman"/>
                      <w:b w:val="0"/>
                      <w:bCs/>
                      <w:sz w:val="21"/>
                      <w:szCs w:val="21"/>
                      <w:lang w:val="en-US" w:eastAsia="zh-CN"/>
                    </w:rPr>
                    <w:t>“滤筒除尘器+二级活性炭吸附”装置</w:t>
                  </w:r>
                  <w:r>
                    <w:rPr>
                      <w:rFonts w:hint="default" w:ascii="Times New Roman" w:hAnsi="Times New Roman" w:eastAsia="宋体" w:cs="Times New Roman"/>
                      <w:b w:val="0"/>
                      <w:bCs/>
                      <w:sz w:val="21"/>
                      <w:szCs w:val="21"/>
                      <w:lang w:val="en-US" w:eastAsia="zh-CN"/>
                    </w:rPr>
                    <w:t>+</w:t>
                  </w:r>
                  <w:r>
                    <w:rPr>
                      <w:rFonts w:hint="eastAsia" w:ascii="Times New Roman" w:hAnsi="Times New Roman" w:eastAsia="宋体" w:cs="Times New Roman"/>
                      <w:b w:val="0"/>
                      <w:bCs/>
                      <w:sz w:val="21"/>
                      <w:szCs w:val="21"/>
                      <w:lang w:val="en-US" w:eastAsia="zh-CN"/>
                    </w:rPr>
                    <w:t>23</w:t>
                  </w:r>
                  <w:r>
                    <w:rPr>
                      <w:rFonts w:hint="default" w:ascii="Times New Roman" w:hAnsi="Times New Roman" w:eastAsia="宋体" w:cs="Times New Roman"/>
                      <w:b w:val="0"/>
                      <w:bCs/>
                      <w:sz w:val="21"/>
                      <w:szCs w:val="21"/>
                      <w:lang w:val="en-US" w:eastAsia="zh-CN"/>
                    </w:rPr>
                    <w:t>m高排气筒（DA001）</w:t>
                  </w:r>
                </w:p>
              </w:tc>
            </w:tr>
            <w:tr w14:paraId="58D97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358" w:type="pct"/>
                  <w:vMerge w:val="continue"/>
                  <w:tcBorders>
                    <w:left w:val="single" w:color="auto" w:sz="4" w:space="0"/>
                    <w:right w:val="single" w:color="auto" w:sz="4" w:space="0"/>
                    <w:tl2br w:val="nil"/>
                    <w:tr2bl w:val="nil"/>
                  </w:tcBorders>
                  <w:noWrap w:val="0"/>
                  <w:vAlign w:val="center"/>
                </w:tcPr>
                <w:p w14:paraId="3BAD7EC0">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p>
              </w:tc>
              <w:tc>
                <w:tcPr>
                  <w:tcW w:w="584" w:type="pct"/>
                  <w:tcBorders>
                    <w:left w:val="single" w:color="auto" w:sz="4" w:space="0"/>
                    <w:right w:val="single" w:color="auto" w:sz="4" w:space="0"/>
                    <w:tl2br w:val="nil"/>
                    <w:tr2bl w:val="nil"/>
                  </w:tcBorders>
                  <w:noWrap w:val="0"/>
                  <w:vAlign w:val="center"/>
                </w:tcPr>
                <w:p w14:paraId="1CA24302">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G</w:t>
                  </w:r>
                  <w:r>
                    <w:rPr>
                      <w:rFonts w:hint="eastAsia" w:ascii="Times New Roman" w:hAnsi="Times New Roman" w:eastAsia="宋体" w:cs="Times New Roman"/>
                      <w:b w:val="0"/>
                      <w:bCs/>
                      <w:sz w:val="21"/>
                      <w:szCs w:val="21"/>
                      <w:lang w:val="en-US" w:eastAsia="zh-CN"/>
                    </w:rPr>
                    <w:t>2</w:t>
                  </w:r>
                </w:p>
              </w:tc>
              <w:tc>
                <w:tcPr>
                  <w:tcW w:w="8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82C6343">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手工焊接</w:t>
                  </w:r>
                </w:p>
              </w:tc>
              <w:tc>
                <w:tcPr>
                  <w:tcW w:w="768" w:type="pct"/>
                  <w:tcBorders>
                    <w:top w:val="single" w:color="auto" w:sz="4" w:space="0"/>
                    <w:left w:val="single" w:color="auto" w:sz="4" w:space="0"/>
                    <w:right w:val="single" w:color="auto" w:sz="4" w:space="0"/>
                    <w:tl2br w:val="nil"/>
                    <w:tr2bl w:val="nil"/>
                  </w:tcBorders>
                  <w:noWrap w:val="0"/>
                  <w:vAlign w:val="center"/>
                </w:tcPr>
                <w:p w14:paraId="01293BD3">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手工焊</w:t>
                  </w:r>
                </w:p>
                <w:p w14:paraId="33D32BDF">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接废气</w:t>
                  </w:r>
                </w:p>
              </w:tc>
              <w:tc>
                <w:tcPr>
                  <w:tcW w:w="1192" w:type="pct"/>
                  <w:tcBorders>
                    <w:top w:val="single" w:color="auto" w:sz="4" w:space="0"/>
                    <w:left w:val="single" w:color="auto" w:sz="4" w:space="0"/>
                    <w:right w:val="single" w:color="auto" w:sz="4" w:space="0"/>
                    <w:tl2br w:val="nil"/>
                    <w:tr2bl w:val="nil"/>
                  </w:tcBorders>
                  <w:noWrap w:val="0"/>
                  <w:vAlign w:val="center"/>
                </w:tcPr>
                <w:p w14:paraId="27372D53">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颗粒物、锡及其化合物</w:t>
                  </w:r>
                  <w:r>
                    <w:rPr>
                      <w:rFonts w:hint="eastAsia" w:ascii="Times New Roman" w:hAnsi="Times New Roman" w:eastAsia="宋体" w:cs="Times New Roman"/>
                      <w:b w:val="0"/>
                      <w:bCs/>
                      <w:sz w:val="21"/>
                      <w:szCs w:val="21"/>
                      <w:lang w:val="en-US" w:eastAsia="zh-CN"/>
                    </w:rPr>
                    <w:t>、</w:t>
                  </w:r>
                  <w:r>
                    <w:rPr>
                      <w:rFonts w:hint="default" w:ascii="Times New Roman" w:hAnsi="Times New Roman" w:eastAsia="宋体" w:cs="Times New Roman"/>
                      <w:b w:val="0"/>
                      <w:bCs/>
                      <w:sz w:val="21"/>
                      <w:szCs w:val="21"/>
                      <w:lang w:val="en-US" w:eastAsia="zh-CN"/>
                    </w:rPr>
                    <w:t>非甲烷总烃</w:t>
                  </w:r>
                </w:p>
              </w:tc>
              <w:tc>
                <w:tcPr>
                  <w:tcW w:w="1208" w:type="pct"/>
                  <w:vMerge w:val="continue"/>
                  <w:tcBorders>
                    <w:left w:val="single" w:color="auto" w:sz="4" w:space="0"/>
                    <w:right w:val="single" w:color="auto" w:sz="4" w:space="0"/>
                    <w:tl2br w:val="nil"/>
                    <w:tr2bl w:val="nil"/>
                  </w:tcBorders>
                  <w:noWrap w:val="0"/>
                  <w:vAlign w:val="center"/>
                </w:tcPr>
                <w:p w14:paraId="4E1B15B4">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p>
              </w:tc>
            </w:tr>
            <w:tr w14:paraId="0666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358" w:type="pct"/>
                  <w:vMerge w:val="continue"/>
                  <w:tcBorders>
                    <w:left w:val="single" w:color="auto" w:sz="4" w:space="0"/>
                    <w:bottom w:val="single" w:color="auto" w:sz="4" w:space="0"/>
                    <w:right w:val="single" w:color="auto" w:sz="4" w:space="0"/>
                    <w:tl2br w:val="nil"/>
                    <w:tr2bl w:val="nil"/>
                  </w:tcBorders>
                  <w:noWrap w:val="0"/>
                  <w:vAlign w:val="center"/>
                </w:tcPr>
                <w:p w14:paraId="34E29930">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p>
              </w:tc>
              <w:tc>
                <w:tcPr>
                  <w:tcW w:w="584" w:type="pct"/>
                  <w:tcBorders>
                    <w:left w:val="single" w:color="auto" w:sz="4" w:space="0"/>
                    <w:right w:val="single" w:color="auto" w:sz="4" w:space="0"/>
                    <w:tl2br w:val="nil"/>
                    <w:tr2bl w:val="nil"/>
                  </w:tcBorders>
                  <w:noWrap w:val="0"/>
                  <w:vAlign w:val="center"/>
                </w:tcPr>
                <w:p w14:paraId="059C5438">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G</w:t>
                  </w:r>
                  <w:r>
                    <w:rPr>
                      <w:rFonts w:hint="eastAsia" w:ascii="Times New Roman" w:hAnsi="Times New Roman" w:eastAsia="宋体" w:cs="Times New Roman"/>
                      <w:b w:val="0"/>
                      <w:bCs/>
                      <w:sz w:val="21"/>
                      <w:szCs w:val="21"/>
                      <w:lang w:val="en-US" w:eastAsia="zh-CN"/>
                    </w:rPr>
                    <w:t>3</w:t>
                  </w:r>
                </w:p>
              </w:tc>
              <w:tc>
                <w:tcPr>
                  <w:tcW w:w="8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161DD4D">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擦拭</w:t>
                  </w:r>
                </w:p>
              </w:tc>
              <w:tc>
                <w:tcPr>
                  <w:tcW w:w="768" w:type="pct"/>
                  <w:tcBorders>
                    <w:left w:val="single" w:color="auto" w:sz="4" w:space="0"/>
                    <w:bottom w:val="single" w:color="auto" w:sz="4" w:space="0"/>
                    <w:right w:val="single" w:color="auto" w:sz="4" w:space="0"/>
                    <w:tl2br w:val="nil"/>
                    <w:tr2bl w:val="nil"/>
                  </w:tcBorders>
                  <w:noWrap w:val="0"/>
                  <w:vAlign w:val="center"/>
                </w:tcPr>
                <w:p w14:paraId="55D57AFA">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擦拭</w:t>
                  </w:r>
                  <w:r>
                    <w:rPr>
                      <w:rFonts w:hint="default" w:ascii="Times New Roman" w:hAnsi="Times New Roman" w:eastAsia="宋体" w:cs="Times New Roman"/>
                      <w:b w:val="0"/>
                      <w:bCs/>
                      <w:sz w:val="21"/>
                      <w:szCs w:val="21"/>
                      <w:lang w:val="en-US" w:eastAsia="zh-CN"/>
                    </w:rPr>
                    <w:t>废气</w:t>
                  </w:r>
                </w:p>
              </w:tc>
              <w:tc>
                <w:tcPr>
                  <w:tcW w:w="1192" w:type="pct"/>
                  <w:tcBorders>
                    <w:left w:val="single" w:color="auto" w:sz="4" w:space="0"/>
                    <w:bottom w:val="single" w:color="auto" w:sz="4" w:space="0"/>
                    <w:right w:val="single" w:color="auto" w:sz="4" w:space="0"/>
                    <w:tl2br w:val="nil"/>
                    <w:tr2bl w:val="nil"/>
                  </w:tcBorders>
                  <w:noWrap w:val="0"/>
                  <w:vAlign w:val="center"/>
                </w:tcPr>
                <w:p w14:paraId="2FBD4548">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非甲烷总烃</w:t>
                  </w:r>
                </w:p>
              </w:tc>
              <w:tc>
                <w:tcPr>
                  <w:tcW w:w="1208" w:type="pct"/>
                  <w:vMerge w:val="continue"/>
                  <w:tcBorders>
                    <w:left w:val="single" w:color="auto" w:sz="4" w:space="0"/>
                    <w:right w:val="single" w:color="auto" w:sz="4" w:space="0"/>
                    <w:tl2br w:val="nil"/>
                    <w:tr2bl w:val="nil"/>
                  </w:tcBorders>
                  <w:noWrap w:val="0"/>
                  <w:vAlign w:val="center"/>
                </w:tcPr>
                <w:p w14:paraId="782200DA">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p>
              </w:tc>
            </w:tr>
            <w:tr w14:paraId="4B992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5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151AAA3">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废水</w:t>
                  </w:r>
                </w:p>
              </w:tc>
              <w:tc>
                <w:tcPr>
                  <w:tcW w:w="58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03EE254">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W1</w:t>
                  </w:r>
                </w:p>
              </w:tc>
              <w:tc>
                <w:tcPr>
                  <w:tcW w:w="8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17C5E1E">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rPr>
                    <w:t>生活污水</w:t>
                  </w:r>
                </w:p>
              </w:tc>
              <w:tc>
                <w:tcPr>
                  <w:tcW w:w="76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4989B1E">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w:t>
                  </w:r>
                </w:p>
              </w:tc>
              <w:tc>
                <w:tcPr>
                  <w:tcW w:w="119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708FBEA">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pH、</w:t>
                  </w:r>
                  <w:r>
                    <w:rPr>
                      <w:rFonts w:hint="default" w:ascii="Times New Roman" w:hAnsi="Times New Roman" w:eastAsia="宋体" w:cs="Times New Roman"/>
                      <w:b w:val="0"/>
                      <w:bCs/>
                      <w:sz w:val="21"/>
                      <w:szCs w:val="21"/>
                    </w:rPr>
                    <w:t>COD、</w:t>
                  </w:r>
                  <w:r>
                    <w:rPr>
                      <w:rFonts w:hint="default" w:ascii="Times New Roman" w:hAnsi="Times New Roman" w:eastAsia="宋体" w:cs="Times New Roman"/>
                      <w:b w:val="0"/>
                      <w:bCs/>
                      <w:sz w:val="21"/>
                      <w:szCs w:val="21"/>
                      <w:lang w:val="en-US" w:eastAsia="zh-CN"/>
                    </w:rPr>
                    <w:t>BOD</w:t>
                  </w:r>
                  <w:r>
                    <w:rPr>
                      <w:rFonts w:hint="default" w:ascii="Times New Roman" w:hAnsi="Times New Roman" w:eastAsia="宋体" w:cs="Times New Roman"/>
                      <w:b w:val="0"/>
                      <w:bCs/>
                      <w:sz w:val="21"/>
                      <w:szCs w:val="21"/>
                      <w:vertAlign w:val="subscript"/>
                      <w:lang w:val="en-US" w:eastAsia="zh-CN"/>
                    </w:rPr>
                    <w:t>5</w:t>
                  </w:r>
                  <w:r>
                    <w:rPr>
                      <w:rFonts w:hint="default" w:ascii="Times New Roman" w:hAnsi="Times New Roman" w:eastAsia="宋体" w:cs="Times New Roman"/>
                      <w:b w:val="0"/>
                      <w:bCs/>
                      <w:sz w:val="21"/>
                      <w:szCs w:val="21"/>
                      <w:lang w:val="en-US" w:eastAsia="zh-CN"/>
                    </w:rPr>
                    <w:t>、SS、</w:t>
                  </w:r>
                  <w:r>
                    <w:rPr>
                      <w:rFonts w:hint="default" w:ascii="Times New Roman" w:hAnsi="Times New Roman" w:eastAsia="宋体" w:cs="Times New Roman"/>
                      <w:b w:val="0"/>
                      <w:bCs/>
                      <w:sz w:val="21"/>
                      <w:szCs w:val="21"/>
                    </w:rPr>
                    <w:t>NH</w:t>
                  </w:r>
                  <w:r>
                    <w:rPr>
                      <w:rFonts w:hint="default" w:ascii="Times New Roman" w:hAnsi="Times New Roman" w:eastAsia="宋体" w:cs="Times New Roman"/>
                      <w:b w:val="0"/>
                      <w:bCs/>
                      <w:sz w:val="21"/>
                      <w:szCs w:val="21"/>
                      <w:vertAlign w:val="subscript"/>
                    </w:rPr>
                    <w:t>3</w:t>
                  </w:r>
                  <w:r>
                    <w:rPr>
                      <w:rFonts w:hint="default" w:ascii="Times New Roman" w:hAnsi="Times New Roman" w:eastAsia="宋体" w:cs="Times New Roman"/>
                      <w:b w:val="0"/>
                      <w:bCs/>
                      <w:sz w:val="21"/>
                      <w:szCs w:val="21"/>
                    </w:rPr>
                    <w:t>-N</w:t>
                  </w:r>
                  <w:r>
                    <w:rPr>
                      <w:rFonts w:hint="eastAsia" w:ascii="Times New Roman" w:hAnsi="Times New Roman" w:eastAsia="宋体" w:cs="Times New Roman"/>
                      <w:b w:val="0"/>
                      <w:bCs/>
                      <w:sz w:val="21"/>
                      <w:szCs w:val="21"/>
                      <w:lang w:eastAsia="zh-CN"/>
                    </w:rPr>
                    <w:t>、</w:t>
                  </w:r>
                  <w:r>
                    <w:rPr>
                      <w:rFonts w:hint="eastAsia" w:ascii="Times New Roman" w:hAnsi="Times New Roman" w:eastAsia="宋体" w:cs="Times New Roman"/>
                      <w:b w:val="0"/>
                      <w:bCs/>
                      <w:sz w:val="21"/>
                      <w:szCs w:val="21"/>
                      <w:lang w:val="en-US" w:eastAsia="zh-CN"/>
                    </w:rPr>
                    <w:t>TP、TN</w:t>
                  </w:r>
                </w:p>
              </w:tc>
              <w:tc>
                <w:tcPr>
                  <w:tcW w:w="120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C34A31E">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进入园区化粪池</w:t>
                  </w:r>
                </w:p>
              </w:tc>
            </w:tr>
            <w:tr w14:paraId="3B59E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5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6EF8616">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噪声</w:t>
                  </w:r>
                </w:p>
              </w:tc>
              <w:tc>
                <w:tcPr>
                  <w:tcW w:w="58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6D12813">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rPr>
                    <w:t>N</w:t>
                  </w:r>
                  <w:r>
                    <w:rPr>
                      <w:rFonts w:hint="default" w:ascii="Times New Roman" w:hAnsi="Times New Roman" w:eastAsia="宋体" w:cs="Times New Roman"/>
                      <w:b w:val="0"/>
                      <w:bCs/>
                      <w:sz w:val="21"/>
                      <w:szCs w:val="21"/>
                      <w:lang w:val="en-US" w:eastAsia="zh-CN"/>
                    </w:rPr>
                    <w:t>1</w:t>
                  </w:r>
                </w:p>
              </w:tc>
              <w:tc>
                <w:tcPr>
                  <w:tcW w:w="8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32138F8">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设备运行</w:t>
                  </w:r>
                </w:p>
                <w:p w14:paraId="66D3AD2D">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噪声</w:t>
                  </w:r>
                </w:p>
              </w:tc>
              <w:tc>
                <w:tcPr>
                  <w:tcW w:w="76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A90E50D">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w:t>
                  </w:r>
                </w:p>
              </w:tc>
              <w:tc>
                <w:tcPr>
                  <w:tcW w:w="119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CAC2561">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噪声</w:t>
                  </w:r>
                </w:p>
              </w:tc>
              <w:tc>
                <w:tcPr>
                  <w:tcW w:w="120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F4E30E3">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设备减振、风机消声、厂房隔声</w:t>
                  </w:r>
                </w:p>
              </w:tc>
            </w:tr>
            <w:tr w14:paraId="0101C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358" w:type="pct"/>
                  <w:vMerge w:val="restart"/>
                  <w:tcBorders>
                    <w:top w:val="single" w:color="auto" w:sz="4" w:space="0"/>
                    <w:left w:val="single" w:color="auto" w:sz="4" w:space="0"/>
                    <w:right w:val="single" w:color="auto" w:sz="4" w:space="0"/>
                    <w:tl2br w:val="nil"/>
                    <w:tr2bl w:val="nil"/>
                  </w:tcBorders>
                  <w:noWrap w:val="0"/>
                  <w:vAlign w:val="center"/>
                </w:tcPr>
                <w:p w14:paraId="3ADDC1AB">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固体废物</w:t>
                  </w:r>
                </w:p>
              </w:tc>
              <w:tc>
                <w:tcPr>
                  <w:tcW w:w="584" w:type="pct"/>
                  <w:tcBorders>
                    <w:top w:val="single" w:color="auto" w:sz="4" w:space="0"/>
                    <w:left w:val="single" w:color="auto" w:sz="4" w:space="0"/>
                    <w:right w:val="single" w:color="auto" w:sz="4" w:space="0"/>
                    <w:tl2br w:val="nil"/>
                    <w:tr2bl w:val="nil"/>
                  </w:tcBorders>
                  <w:noWrap w:val="0"/>
                  <w:vAlign w:val="center"/>
                </w:tcPr>
                <w:p w14:paraId="6B9F385A">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S1</w:t>
                  </w:r>
                </w:p>
              </w:tc>
              <w:tc>
                <w:tcPr>
                  <w:tcW w:w="886" w:type="pct"/>
                  <w:tcBorders>
                    <w:top w:val="single" w:color="auto" w:sz="4" w:space="0"/>
                    <w:left w:val="single" w:color="auto" w:sz="4" w:space="0"/>
                    <w:right w:val="single" w:color="auto" w:sz="4" w:space="0"/>
                    <w:tl2br w:val="nil"/>
                    <w:tr2bl w:val="nil"/>
                  </w:tcBorders>
                  <w:shd w:val="clear" w:color="auto" w:fill="auto"/>
                  <w:noWrap w:val="0"/>
                  <w:vAlign w:val="center"/>
                </w:tcPr>
                <w:p w14:paraId="01977E39">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办公生活</w:t>
                  </w:r>
                </w:p>
              </w:tc>
              <w:tc>
                <w:tcPr>
                  <w:tcW w:w="768" w:type="pct"/>
                  <w:tcBorders>
                    <w:top w:val="single" w:color="auto" w:sz="4" w:space="0"/>
                    <w:left w:val="single" w:color="auto" w:sz="4" w:space="0"/>
                    <w:right w:val="single" w:color="auto" w:sz="4" w:space="0"/>
                    <w:tl2br w:val="nil"/>
                    <w:tr2bl w:val="nil"/>
                  </w:tcBorders>
                  <w:shd w:val="clear" w:color="auto" w:fill="auto"/>
                  <w:noWrap w:val="0"/>
                  <w:vAlign w:val="center"/>
                </w:tcPr>
                <w:p w14:paraId="41351BE0">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w:t>
                  </w:r>
                </w:p>
              </w:tc>
              <w:tc>
                <w:tcPr>
                  <w:tcW w:w="1192" w:type="pct"/>
                  <w:tcBorders>
                    <w:top w:val="single" w:color="auto" w:sz="4" w:space="0"/>
                    <w:left w:val="single" w:color="auto" w:sz="4" w:space="0"/>
                    <w:right w:val="single" w:color="auto" w:sz="4" w:space="0"/>
                    <w:tl2br w:val="nil"/>
                    <w:tr2bl w:val="nil"/>
                  </w:tcBorders>
                  <w:shd w:val="clear" w:color="auto" w:fill="auto"/>
                  <w:noWrap w:val="0"/>
                  <w:vAlign w:val="center"/>
                </w:tcPr>
                <w:p w14:paraId="53868223">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rPr>
                    <w:t>生活垃圾</w:t>
                  </w:r>
                </w:p>
              </w:tc>
              <w:tc>
                <w:tcPr>
                  <w:tcW w:w="1208" w:type="pct"/>
                  <w:tcBorders>
                    <w:top w:val="single" w:color="auto" w:sz="4" w:space="0"/>
                    <w:left w:val="single" w:color="auto" w:sz="4" w:space="0"/>
                    <w:right w:val="single" w:color="auto" w:sz="4" w:space="0"/>
                    <w:tl2br w:val="nil"/>
                    <w:tr2bl w:val="nil"/>
                  </w:tcBorders>
                  <w:shd w:val="clear" w:color="auto" w:fill="auto"/>
                  <w:noWrap w:val="0"/>
                  <w:vAlign w:val="top"/>
                </w:tcPr>
                <w:p w14:paraId="2AA57914">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rPr>
                    <w:t>交环卫部门处理</w:t>
                  </w:r>
                </w:p>
              </w:tc>
            </w:tr>
            <w:tr w14:paraId="572FA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358" w:type="pct"/>
                  <w:vMerge w:val="continue"/>
                  <w:tcBorders>
                    <w:left w:val="single" w:color="auto" w:sz="4" w:space="0"/>
                    <w:right w:val="single" w:color="auto" w:sz="4" w:space="0"/>
                    <w:tl2br w:val="nil"/>
                    <w:tr2bl w:val="nil"/>
                  </w:tcBorders>
                  <w:noWrap w:val="0"/>
                  <w:vAlign w:val="center"/>
                </w:tcPr>
                <w:p w14:paraId="1955FF2A">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p>
              </w:tc>
              <w:tc>
                <w:tcPr>
                  <w:tcW w:w="584" w:type="pct"/>
                  <w:tcBorders>
                    <w:top w:val="single" w:color="auto" w:sz="4" w:space="0"/>
                    <w:left w:val="single" w:color="auto" w:sz="4" w:space="0"/>
                    <w:right w:val="single" w:color="auto" w:sz="4" w:space="0"/>
                    <w:tl2br w:val="nil"/>
                    <w:tr2bl w:val="nil"/>
                  </w:tcBorders>
                  <w:noWrap w:val="0"/>
                  <w:vAlign w:val="center"/>
                </w:tcPr>
                <w:p w14:paraId="0594E084">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S</w:t>
                  </w:r>
                  <w:r>
                    <w:rPr>
                      <w:rFonts w:hint="eastAsia" w:ascii="Times New Roman" w:hAnsi="Times New Roman" w:eastAsia="宋体" w:cs="Times New Roman"/>
                      <w:b w:val="0"/>
                      <w:bCs/>
                      <w:sz w:val="21"/>
                      <w:szCs w:val="21"/>
                      <w:lang w:val="en-US" w:eastAsia="zh-CN"/>
                    </w:rPr>
                    <w:t>2</w:t>
                  </w:r>
                </w:p>
              </w:tc>
              <w:tc>
                <w:tcPr>
                  <w:tcW w:w="886" w:type="pct"/>
                  <w:tcBorders>
                    <w:top w:val="single" w:color="auto" w:sz="4" w:space="0"/>
                    <w:left w:val="single" w:color="auto" w:sz="4" w:space="0"/>
                    <w:right w:val="single" w:color="auto" w:sz="4" w:space="0"/>
                    <w:tl2br w:val="nil"/>
                    <w:tr2bl w:val="nil"/>
                  </w:tcBorders>
                  <w:shd w:val="clear" w:color="auto" w:fill="auto"/>
                  <w:noWrap w:val="0"/>
                  <w:vAlign w:val="center"/>
                </w:tcPr>
                <w:p w14:paraId="2EC2C811">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kern w:val="0"/>
                      <w:sz w:val="21"/>
                      <w:szCs w:val="21"/>
                      <w:lang w:val="en-US" w:eastAsia="zh-CN" w:bidi="ar-SA"/>
                    </w:rPr>
                    <w:t>包装</w:t>
                  </w:r>
                </w:p>
              </w:tc>
              <w:tc>
                <w:tcPr>
                  <w:tcW w:w="768" w:type="pct"/>
                  <w:tcBorders>
                    <w:top w:val="single" w:color="auto" w:sz="4" w:space="0"/>
                    <w:left w:val="single" w:color="auto" w:sz="4" w:space="0"/>
                    <w:right w:val="single" w:color="auto" w:sz="4" w:space="0"/>
                    <w:tl2br w:val="nil"/>
                    <w:tr2bl w:val="nil"/>
                  </w:tcBorders>
                  <w:noWrap w:val="0"/>
                  <w:vAlign w:val="center"/>
                </w:tcPr>
                <w:p w14:paraId="06A6FFAE">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w:t>
                  </w:r>
                </w:p>
              </w:tc>
              <w:tc>
                <w:tcPr>
                  <w:tcW w:w="1192" w:type="pct"/>
                  <w:tcBorders>
                    <w:top w:val="single" w:color="auto" w:sz="4" w:space="0"/>
                    <w:left w:val="single" w:color="auto" w:sz="4" w:space="0"/>
                    <w:right w:val="single" w:color="auto" w:sz="4" w:space="0"/>
                    <w:tl2br w:val="nil"/>
                    <w:tr2bl w:val="nil"/>
                  </w:tcBorders>
                  <w:noWrap w:val="0"/>
                  <w:vAlign w:val="center"/>
                </w:tcPr>
                <w:p w14:paraId="1529988E">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废外包装材料</w:t>
                  </w:r>
                </w:p>
              </w:tc>
              <w:tc>
                <w:tcPr>
                  <w:tcW w:w="1208" w:type="pct"/>
                  <w:vMerge w:val="restart"/>
                  <w:tcBorders>
                    <w:top w:val="single" w:color="auto" w:sz="4" w:space="0"/>
                    <w:left w:val="single" w:color="auto" w:sz="4" w:space="0"/>
                    <w:right w:val="single" w:color="auto" w:sz="4" w:space="0"/>
                    <w:tl2br w:val="nil"/>
                    <w:tr2bl w:val="nil"/>
                  </w:tcBorders>
                  <w:noWrap w:val="0"/>
                  <w:vAlign w:val="center"/>
                </w:tcPr>
                <w:p w14:paraId="73C7A4EE">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收集后外售</w:t>
                  </w:r>
                </w:p>
              </w:tc>
            </w:tr>
            <w:tr w14:paraId="5BAC8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358" w:type="pct"/>
                  <w:vMerge w:val="continue"/>
                  <w:tcBorders>
                    <w:left w:val="single" w:color="auto" w:sz="4" w:space="0"/>
                    <w:right w:val="single" w:color="auto" w:sz="4" w:space="0"/>
                    <w:tl2br w:val="nil"/>
                    <w:tr2bl w:val="nil"/>
                  </w:tcBorders>
                  <w:noWrap w:val="0"/>
                  <w:vAlign w:val="center"/>
                </w:tcPr>
                <w:p w14:paraId="24C16F13">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p>
              </w:tc>
              <w:tc>
                <w:tcPr>
                  <w:tcW w:w="584" w:type="pct"/>
                  <w:tcBorders>
                    <w:left w:val="single" w:color="auto" w:sz="4" w:space="0"/>
                    <w:right w:val="single" w:color="auto" w:sz="4" w:space="0"/>
                    <w:tl2br w:val="nil"/>
                    <w:tr2bl w:val="nil"/>
                  </w:tcBorders>
                  <w:noWrap w:val="0"/>
                  <w:vAlign w:val="center"/>
                </w:tcPr>
                <w:p w14:paraId="5E46E32C">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rPr>
                    <w:t>S</w:t>
                  </w:r>
                  <w:r>
                    <w:rPr>
                      <w:rFonts w:hint="eastAsia" w:ascii="Times New Roman" w:hAnsi="Times New Roman" w:eastAsia="宋体" w:cs="Times New Roman"/>
                      <w:b w:val="0"/>
                      <w:bCs/>
                      <w:sz w:val="21"/>
                      <w:szCs w:val="21"/>
                      <w:lang w:val="en-US" w:eastAsia="zh-CN"/>
                    </w:rPr>
                    <w:t>3</w:t>
                  </w:r>
                </w:p>
              </w:tc>
              <w:tc>
                <w:tcPr>
                  <w:tcW w:w="886" w:type="pct"/>
                  <w:tcBorders>
                    <w:left w:val="single" w:color="auto" w:sz="4" w:space="0"/>
                    <w:bottom w:val="single" w:color="auto" w:sz="4" w:space="0"/>
                    <w:right w:val="single" w:color="auto" w:sz="4" w:space="0"/>
                    <w:tl2br w:val="nil"/>
                    <w:tr2bl w:val="nil"/>
                  </w:tcBorders>
                  <w:shd w:val="clear" w:color="auto" w:fill="auto"/>
                  <w:noWrap w:val="0"/>
                  <w:vAlign w:val="center"/>
                </w:tcPr>
                <w:p w14:paraId="13035E22">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kern w:val="0"/>
                      <w:sz w:val="21"/>
                      <w:szCs w:val="21"/>
                      <w:lang w:val="en-US" w:eastAsia="zh-CN" w:bidi="ar-SA"/>
                    </w:rPr>
                    <w:t>手工焊接</w:t>
                  </w:r>
                </w:p>
              </w:tc>
              <w:tc>
                <w:tcPr>
                  <w:tcW w:w="768" w:type="pct"/>
                  <w:tcBorders>
                    <w:left w:val="single" w:color="auto" w:sz="4" w:space="0"/>
                    <w:right w:val="single" w:color="auto" w:sz="4" w:space="0"/>
                    <w:tl2br w:val="nil"/>
                    <w:tr2bl w:val="nil"/>
                  </w:tcBorders>
                  <w:noWrap w:val="0"/>
                  <w:vAlign w:val="center"/>
                </w:tcPr>
                <w:p w14:paraId="472ECDC5">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w:t>
                  </w:r>
                </w:p>
              </w:tc>
              <w:tc>
                <w:tcPr>
                  <w:tcW w:w="1192" w:type="pct"/>
                  <w:tcBorders>
                    <w:left w:val="single" w:color="auto" w:sz="4" w:space="0"/>
                    <w:right w:val="single" w:color="auto" w:sz="4" w:space="0"/>
                    <w:tl2br w:val="nil"/>
                    <w:tr2bl w:val="nil"/>
                  </w:tcBorders>
                  <w:noWrap w:val="0"/>
                  <w:vAlign w:val="center"/>
                </w:tcPr>
                <w:p w14:paraId="61D9D326">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锡渣</w:t>
                  </w:r>
                </w:p>
              </w:tc>
              <w:tc>
                <w:tcPr>
                  <w:tcW w:w="1208" w:type="pct"/>
                  <w:vMerge w:val="continue"/>
                  <w:tcBorders>
                    <w:left w:val="single" w:color="auto" w:sz="4" w:space="0"/>
                    <w:right w:val="single" w:color="auto" w:sz="4" w:space="0"/>
                    <w:tl2br w:val="nil"/>
                    <w:tr2bl w:val="nil"/>
                  </w:tcBorders>
                  <w:noWrap w:val="0"/>
                  <w:vAlign w:val="center"/>
                </w:tcPr>
                <w:p w14:paraId="49D0926F">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p>
              </w:tc>
            </w:tr>
            <w:tr w14:paraId="5DE5A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358" w:type="pct"/>
                  <w:vMerge w:val="continue"/>
                  <w:tcBorders>
                    <w:left w:val="single" w:color="auto" w:sz="4" w:space="0"/>
                    <w:right w:val="single" w:color="auto" w:sz="4" w:space="0"/>
                    <w:tl2br w:val="nil"/>
                    <w:tr2bl w:val="nil"/>
                  </w:tcBorders>
                  <w:noWrap w:val="0"/>
                  <w:vAlign w:val="center"/>
                </w:tcPr>
                <w:p w14:paraId="7754574B">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p>
              </w:tc>
              <w:tc>
                <w:tcPr>
                  <w:tcW w:w="584" w:type="pct"/>
                  <w:tcBorders>
                    <w:left w:val="single" w:color="auto" w:sz="4" w:space="0"/>
                    <w:right w:val="single" w:color="auto" w:sz="4" w:space="0"/>
                    <w:tl2br w:val="nil"/>
                    <w:tr2bl w:val="nil"/>
                  </w:tcBorders>
                  <w:noWrap w:val="0"/>
                  <w:vAlign w:val="center"/>
                </w:tcPr>
                <w:p w14:paraId="3503B4EA">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S4</w:t>
                  </w:r>
                </w:p>
              </w:tc>
              <w:tc>
                <w:tcPr>
                  <w:tcW w:w="886" w:type="pct"/>
                  <w:tcBorders>
                    <w:left w:val="single" w:color="auto" w:sz="4" w:space="0"/>
                    <w:bottom w:val="single" w:color="auto" w:sz="4" w:space="0"/>
                    <w:right w:val="single" w:color="auto" w:sz="4" w:space="0"/>
                    <w:tl2br w:val="nil"/>
                    <w:tr2bl w:val="nil"/>
                  </w:tcBorders>
                  <w:shd w:val="clear" w:color="auto" w:fill="auto"/>
                  <w:noWrap w:val="0"/>
                  <w:vAlign w:val="center"/>
                </w:tcPr>
                <w:p w14:paraId="4148EC8C">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废气治理</w:t>
                  </w:r>
                </w:p>
              </w:tc>
              <w:tc>
                <w:tcPr>
                  <w:tcW w:w="768" w:type="pct"/>
                  <w:tcBorders>
                    <w:left w:val="single" w:color="auto" w:sz="4" w:space="0"/>
                    <w:right w:val="single" w:color="auto" w:sz="4" w:space="0"/>
                    <w:tl2br w:val="nil"/>
                    <w:tr2bl w:val="nil"/>
                  </w:tcBorders>
                  <w:noWrap w:val="0"/>
                  <w:vAlign w:val="center"/>
                </w:tcPr>
                <w:p w14:paraId="2891F39A">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p>
              </w:tc>
              <w:tc>
                <w:tcPr>
                  <w:tcW w:w="1192" w:type="pct"/>
                  <w:tcBorders>
                    <w:left w:val="single" w:color="auto" w:sz="4" w:space="0"/>
                    <w:right w:val="single" w:color="auto" w:sz="4" w:space="0"/>
                    <w:tl2br w:val="nil"/>
                    <w:tr2bl w:val="nil"/>
                  </w:tcBorders>
                  <w:noWrap w:val="0"/>
                  <w:vAlign w:val="center"/>
                </w:tcPr>
                <w:p w14:paraId="636AA816">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除尘器捕捉粉尘</w:t>
                  </w:r>
                </w:p>
              </w:tc>
              <w:tc>
                <w:tcPr>
                  <w:tcW w:w="1208" w:type="pct"/>
                  <w:vMerge w:val="continue"/>
                  <w:tcBorders>
                    <w:left w:val="single" w:color="auto" w:sz="4" w:space="0"/>
                    <w:right w:val="single" w:color="auto" w:sz="4" w:space="0"/>
                    <w:tl2br w:val="nil"/>
                    <w:tr2bl w:val="nil"/>
                  </w:tcBorders>
                  <w:noWrap w:val="0"/>
                  <w:vAlign w:val="center"/>
                </w:tcPr>
                <w:p w14:paraId="7E4DB2FB">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p>
              </w:tc>
            </w:tr>
            <w:tr w14:paraId="5BB09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358" w:type="pct"/>
                  <w:vMerge w:val="continue"/>
                  <w:tcBorders>
                    <w:left w:val="single" w:color="auto" w:sz="4" w:space="0"/>
                    <w:right w:val="single" w:color="auto" w:sz="4" w:space="0"/>
                    <w:tl2br w:val="nil"/>
                    <w:tr2bl w:val="nil"/>
                  </w:tcBorders>
                  <w:noWrap w:val="0"/>
                  <w:vAlign w:val="center"/>
                </w:tcPr>
                <w:p w14:paraId="7185BA47">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p>
              </w:tc>
              <w:tc>
                <w:tcPr>
                  <w:tcW w:w="584" w:type="pct"/>
                  <w:tcBorders>
                    <w:left w:val="single" w:color="auto" w:sz="4" w:space="0"/>
                    <w:right w:val="single" w:color="auto" w:sz="4" w:space="0"/>
                    <w:tl2br w:val="nil"/>
                    <w:tr2bl w:val="nil"/>
                  </w:tcBorders>
                  <w:noWrap w:val="0"/>
                  <w:vAlign w:val="center"/>
                </w:tcPr>
                <w:p w14:paraId="73071635">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S</w:t>
                  </w:r>
                  <w:r>
                    <w:rPr>
                      <w:rFonts w:hint="eastAsia" w:ascii="Times New Roman" w:hAnsi="Times New Roman" w:eastAsia="宋体" w:cs="Times New Roman"/>
                      <w:b w:val="0"/>
                      <w:bCs/>
                      <w:sz w:val="21"/>
                      <w:szCs w:val="21"/>
                      <w:lang w:val="en-US" w:eastAsia="zh-CN"/>
                    </w:rPr>
                    <w:t>5</w:t>
                  </w:r>
                </w:p>
              </w:tc>
              <w:tc>
                <w:tcPr>
                  <w:tcW w:w="886"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182F724D">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焊接、测试</w:t>
                  </w:r>
                </w:p>
              </w:tc>
              <w:tc>
                <w:tcPr>
                  <w:tcW w:w="768" w:type="pct"/>
                  <w:tcBorders>
                    <w:left w:val="single" w:color="auto" w:sz="4" w:space="0"/>
                    <w:right w:val="single" w:color="auto" w:sz="4" w:space="0"/>
                    <w:tl2br w:val="nil"/>
                    <w:tr2bl w:val="nil"/>
                  </w:tcBorders>
                  <w:shd w:val="clear" w:color="auto" w:fill="auto"/>
                  <w:noWrap w:val="0"/>
                  <w:vAlign w:val="center"/>
                </w:tcPr>
                <w:p w14:paraId="11C42C2A">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w:t>
                  </w:r>
                </w:p>
              </w:tc>
              <w:tc>
                <w:tcPr>
                  <w:tcW w:w="1192" w:type="pct"/>
                  <w:tcBorders>
                    <w:left w:val="single" w:color="auto" w:sz="4" w:space="0"/>
                    <w:right w:val="single" w:color="auto" w:sz="4" w:space="0"/>
                    <w:tl2br w:val="nil"/>
                    <w:tr2bl w:val="nil"/>
                  </w:tcBorders>
                  <w:shd w:val="clear" w:color="auto" w:fill="auto"/>
                  <w:noWrap w:val="0"/>
                  <w:vAlign w:val="center"/>
                </w:tcPr>
                <w:p w14:paraId="062271A6">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废电路板</w:t>
                  </w:r>
                </w:p>
              </w:tc>
              <w:tc>
                <w:tcPr>
                  <w:tcW w:w="1208" w:type="pct"/>
                  <w:vMerge w:val="restart"/>
                  <w:tcBorders>
                    <w:left w:val="single" w:color="auto" w:sz="4" w:space="0"/>
                    <w:right w:val="single" w:color="auto" w:sz="4" w:space="0"/>
                    <w:tl2br w:val="nil"/>
                    <w:tr2bl w:val="nil"/>
                  </w:tcBorders>
                  <w:noWrap w:val="0"/>
                  <w:vAlign w:val="center"/>
                </w:tcPr>
                <w:p w14:paraId="733B25D2">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r>
                    <w:rPr>
                      <w:rFonts w:hint="eastAsia" w:ascii="Times New Roman" w:hAnsi="Times New Roman" w:eastAsia="宋体" w:cs="Times New Roman"/>
                      <w:b w:val="0"/>
                      <w:bCs/>
                      <w:sz w:val="21"/>
                      <w:szCs w:val="21"/>
                      <w:lang w:val="en-US" w:eastAsia="zh-CN"/>
                    </w:rPr>
                    <w:t>集中收集后</w:t>
                  </w:r>
                  <w:r>
                    <w:rPr>
                      <w:rFonts w:hint="default" w:ascii="Times New Roman" w:hAnsi="Times New Roman" w:eastAsia="宋体" w:cs="Times New Roman"/>
                      <w:b w:val="0"/>
                      <w:bCs/>
                      <w:sz w:val="21"/>
                      <w:szCs w:val="21"/>
                    </w:rPr>
                    <w:t>委托资质单位进行处理</w:t>
                  </w:r>
                </w:p>
              </w:tc>
            </w:tr>
            <w:tr w14:paraId="3657B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8" w:type="pct"/>
                  <w:vMerge w:val="continue"/>
                  <w:tcBorders>
                    <w:left w:val="single" w:color="auto" w:sz="4" w:space="0"/>
                    <w:right w:val="single" w:color="auto" w:sz="4" w:space="0"/>
                    <w:tl2br w:val="nil"/>
                    <w:tr2bl w:val="nil"/>
                  </w:tcBorders>
                  <w:noWrap w:val="0"/>
                  <w:vAlign w:val="center"/>
                </w:tcPr>
                <w:p w14:paraId="1E212C88">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p>
              </w:tc>
              <w:tc>
                <w:tcPr>
                  <w:tcW w:w="584" w:type="pct"/>
                  <w:tcBorders>
                    <w:left w:val="single" w:color="auto" w:sz="4" w:space="0"/>
                    <w:right w:val="single" w:color="auto" w:sz="4" w:space="0"/>
                    <w:tl2br w:val="nil"/>
                    <w:tr2bl w:val="nil"/>
                  </w:tcBorders>
                  <w:noWrap w:val="0"/>
                  <w:vAlign w:val="center"/>
                </w:tcPr>
                <w:p w14:paraId="5B4DE3B6">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S</w:t>
                  </w:r>
                  <w:r>
                    <w:rPr>
                      <w:rFonts w:hint="eastAsia" w:ascii="Times New Roman" w:hAnsi="Times New Roman" w:eastAsia="宋体" w:cs="Times New Roman"/>
                      <w:b w:val="0"/>
                      <w:bCs/>
                      <w:sz w:val="21"/>
                      <w:szCs w:val="21"/>
                      <w:lang w:val="en-US" w:eastAsia="zh-CN"/>
                    </w:rPr>
                    <w:t>6</w:t>
                  </w:r>
                </w:p>
              </w:tc>
              <w:tc>
                <w:tcPr>
                  <w:tcW w:w="8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382E85C">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sz w:val="21"/>
                      <w:szCs w:val="21"/>
                      <w:lang w:val="en-US" w:eastAsia="zh-CN"/>
                    </w:rPr>
                    <w:t>辅料使用</w:t>
                  </w:r>
                </w:p>
              </w:tc>
              <w:tc>
                <w:tcPr>
                  <w:tcW w:w="768" w:type="pct"/>
                  <w:tcBorders>
                    <w:left w:val="single" w:color="auto" w:sz="4" w:space="0"/>
                    <w:right w:val="single" w:color="auto" w:sz="4" w:space="0"/>
                    <w:tl2br w:val="nil"/>
                    <w:tr2bl w:val="nil"/>
                  </w:tcBorders>
                  <w:noWrap w:val="0"/>
                  <w:vAlign w:val="center"/>
                </w:tcPr>
                <w:p w14:paraId="6425598F">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Times New Roman" w:hAnsi="Times New Roman" w:eastAsia="宋体" w:cs="Times New Roman"/>
                      <w:b w:val="0"/>
                      <w:bCs/>
                      <w:sz w:val="21"/>
                      <w:szCs w:val="21"/>
                      <w:lang w:val="en-US" w:eastAsia="zh-CN"/>
                    </w:rPr>
                  </w:pPr>
                </w:p>
              </w:tc>
              <w:tc>
                <w:tcPr>
                  <w:tcW w:w="1192" w:type="pct"/>
                  <w:tcBorders>
                    <w:left w:val="single" w:color="auto" w:sz="4" w:space="0"/>
                    <w:right w:val="single" w:color="auto" w:sz="4" w:space="0"/>
                    <w:tl2br w:val="nil"/>
                    <w:tr2bl w:val="nil"/>
                  </w:tcBorders>
                  <w:noWrap w:val="0"/>
                  <w:vAlign w:val="center"/>
                </w:tcPr>
                <w:p w14:paraId="6EEDB3DB">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sz w:val="21"/>
                      <w:szCs w:val="21"/>
                      <w:lang w:eastAsia="zh-CN"/>
                    </w:rPr>
                    <w:t>废</w:t>
                  </w:r>
                  <w:r>
                    <w:rPr>
                      <w:rFonts w:hint="eastAsia" w:eastAsia="宋体" w:cs="Times New Roman"/>
                      <w:b w:val="0"/>
                      <w:bCs/>
                      <w:sz w:val="21"/>
                      <w:szCs w:val="21"/>
                      <w:lang w:val="en-US" w:eastAsia="zh-CN"/>
                    </w:rPr>
                    <w:t>辅料包装材料</w:t>
                  </w:r>
                </w:p>
              </w:tc>
              <w:tc>
                <w:tcPr>
                  <w:tcW w:w="1208" w:type="pct"/>
                  <w:vMerge w:val="continue"/>
                  <w:tcBorders>
                    <w:left w:val="single" w:color="auto" w:sz="4" w:space="0"/>
                    <w:right w:val="single" w:color="auto" w:sz="4" w:space="0"/>
                    <w:tl2br w:val="nil"/>
                    <w:tr2bl w:val="nil"/>
                  </w:tcBorders>
                  <w:noWrap w:val="0"/>
                  <w:vAlign w:val="center"/>
                </w:tcPr>
                <w:p w14:paraId="51BB9254">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p>
              </w:tc>
            </w:tr>
            <w:tr w14:paraId="2F2D8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358" w:type="pct"/>
                  <w:vMerge w:val="continue"/>
                  <w:tcBorders>
                    <w:left w:val="single" w:color="auto" w:sz="4" w:space="0"/>
                    <w:right w:val="single" w:color="auto" w:sz="4" w:space="0"/>
                    <w:tl2br w:val="nil"/>
                    <w:tr2bl w:val="nil"/>
                  </w:tcBorders>
                  <w:noWrap w:val="0"/>
                  <w:vAlign w:val="center"/>
                </w:tcPr>
                <w:p w14:paraId="45EE0BEC">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p>
              </w:tc>
              <w:tc>
                <w:tcPr>
                  <w:tcW w:w="584" w:type="pct"/>
                  <w:tcBorders>
                    <w:left w:val="single" w:color="auto" w:sz="4" w:space="0"/>
                    <w:right w:val="single" w:color="auto" w:sz="4" w:space="0"/>
                    <w:tl2br w:val="nil"/>
                    <w:tr2bl w:val="nil"/>
                  </w:tcBorders>
                  <w:noWrap w:val="0"/>
                  <w:vAlign w:val="center"/>
                </w:tcPr>
                <w:p w14:paraId="29C0FF89">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S</w:t>
                  </w:r>
                  <w:r>
                    <w:rPr>
                      <w:rFonts w:hint="eastAsia" w:ascii="Times New Roman" w:hAnsi="Times New Roman" w:eastAsia="宋体" w:cs="Times New Roman"/>
                      <w:b w:val="0"/>
                      <w:bCs/>
                      <w:sz w:val="21"/>
                      <w:szCs w:val="21"/>
                      <w:lang w:val="en-US" w:eastAsia="zh-CN"/>
                    </w:rPr>
                    <w:t>7</w:t>
                  </w:r>
                </w:p>
              </w:tc>
              <w:tc>
                <w:tcPr>
                  <w:tcW w:w="8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C670176">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擦拭</w:t>
                  </w:r>
                </w:p>
              </w:tc>
              <w:tc>
                <w:tcPr>
                  <w:tcW w:w="768" w:type="pct"/>
                  <w:tcBorders>
                    <w:left w:val="single" w:color="auto" w:sz="4" w:space="0"/>
                    <w:right w:val="single" w:color="auto" w:sz="4" w:space="0"/>
                    <w:tl2br w:val="nil"/>
                    <w:tr2bl w:val="nil"/>
                  </w:tcBorders>
                  <w:noWrap w:val="0"/>
                  <w:vAlign w:val="center"/>
                </w:tcPr>
                <w:p w14:paraId="4A1DBBBC">
                  <w:pPr>
                    <w:pStyle w:val="44"/>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w:t>
                  </w:r>
                </w:p>
              </w:tc>
              <w:tc>
                <w:tcPr>
                  <w:tcW w:w="1192" w:type="pct"/>
                  <w:tcBorders>
                    <w:left w:val="single" w:color="auto" w:sz="4" w:space="0"/>
                    <w:right w:val="single" w:color="auto" w:sz="4" w:space="0"/>
                    <w:tl2br w:val="nil"/>
                    <w:tr2bl w:val="nil"/>
                  </w:tcBorders>
                  <w:noWrap w:val="0"/>
                  <w:vAlign w:val="center"/>
                </w:tcPr>
                <w:p w14:paraId="24ECA24F">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sz w:val="21"/>
                      <w:szCs w:val="21"/>
                      <w:lang w:val="en-US" w:eastAsia="zh-CN"/>
                    </w:rPr>
                    <w:t>废</w:t>
                  </w:r>
                  <w:r>
                    <w:rPr>
                      <w:rFonts w:hint="eastAsia" w:eastAsia="宋体" w:cs="Times New Roman"/>
                      <w:b w:val="0"/>
                      <w:bCs/>
                      <w:sz w:val="21"/>
                      <w:szCs w:val="21"/>
                      <w:lang w:val="en-US" w:eastAsia="zh-CN"/>
                    </w:rPr>
                    <w:t>擦拭</w:t>
                  </w:r>
                  <w:r>
                    <w:rPr>
                      <w:rFonts w:hint="default" w:ascii="Times New Roman" w:hAnsi="Times New Roman" w:eastAsia="宋体" w:cs="Times New Roman"/>
                      <w:b w:val="0"/>
                      <w:bCs/>
                      <w:sz w:val="21"/>
                      <w:szCs w:val="21"/>
                      <w:lang w:val="en-US" w:eastAsia="zh-CN"/>
                    </w:rPr>
                    <w:t>布</w:t>
                  </w:r>
                </w:p>
              </w:tc>
              <w:tc>
                <w:tcPr>
                  <w:tcW w:w="1208" w:type="pct"/>
                  <w:vMerge w:val="continue"/>
                  <w:tcBorders>
                    <w:left w:val="single" w:color="auto" w:sz="4" w:space="0"/>
                    <w:right w:val="single" w:color="auto" w:sz="4" w:space="0"/>
                    <w:tl2br w:val="nil"/>
                    <w:tr2bl w:val="nil"/>
                  </w:tcBorders>
                  <w:noWrap w:val="0"/>
                  <w:vAlign w:val="center"/>
                </w:tcPr>
                <w:p w14:paraId="0649B937">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p>
              </w:tc>
            </w:tr>
            <w:tr w14:paraId="63840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58" w:type="pct"/>
                  <w:vMerge w:val="continue"/>
                  <w:tcBorders>
                    <w:left w:val="single" w:color="auto" w:sz="4" w:space="0"/>
                    <w:right w:val="single" w:color="auto" w:sz="4" w:space="0"/>
                    <w:tl2br w:val="nil"/>
                    <w:tr2bl w:val="nil"/>
                  </w:tcBorders>
                  <w:noWrap w:val="0"/>
                  <w:vAlign w:val="center"/>
                </w:tcPr>
                <w:p w14:paraId="6D8C732F">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p>
              </w:tc>
              <w:tc>
                <w:tcPr>
                  <w:tcW w:w="584" w:type="pct"/>
                  <w:tcBorders>
                    <w:top w:val="single" w:color="auto" w:sz="4" w:space="0"/>
                    <w:left w:val="single" w:color="auto" w:sz="4" w:space="0"/>
                    <w:right w:val="single" w:color="auto" w:sz="4" w:space="0"/>
                    <w:tl2br w:val="nil"/>
                    <w:tr2bl w:val="nil"/>
                  </w:tcBorders>
                  <w:noWrap w:val="0"/>
                  <w:vAlign w:val="center"/>
                </w:tcPr>
                <w:p w14:paraId="3AEFC3CA">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S8</w:t>
                  </w:r>
                </w:p>
              </w:tc>
              <w:tc>
                <w:tcPr>
                  <w:tcW w:w="88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91B8C73">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废气治理</w:t>
                  </w:r>
                </w:p>
              </w:tc>
              <w:tc>
                <w:tcPr>
                  <w:tcW w:w="76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F0E99FF">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w:t>
                  </w:r>
                </w:p>
              </w:tc>
              <w:tc>
                <w:tcPr>
                  <w:tcW w:w="119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CEC1145">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废活性炭</w:t>
                  </w:r>
                </w:p>
              </w:tc>
              <w:tc>
                <w:tcPr>
                  <w:tcW w:w="1208" w:type="pct"/>
                  <w:vMerge w:val="continue"/>
                  <w:tcBorders>
                    <w:left w:val="single" w:color="auto" w:sz="4" w:space="0"/>
                    <w:right w:val="single" w:color="auto" w:sz="4" w:space="0"/>
                    <w:tl2br w:val="nil"/>
                    <w:tr2bl w:val="nil"/>
                  </w:tcBorders>
                  <w:noWrap w:val="0"/>
                  <w:vAlign w:val="center"/>
                </w:tcPr>
                <w:p w14:paraId="24C8F033">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p>
              </w:tc>
            </w:tr>
            <w:tr w14:paraId="508B7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58" w:type="pct"/>
                  <w:vMerge w:val="continue"/>
                  <w:tcBorders>
                    <w:left w:val="single" w:color="auto" w:sz="4" w:space="0"/>
                    <w:right w:val="single" w:color="auto" w:sz="4" w:space="0"/>
                    <w:tl2br w:val="nil"/>
                    <w:tr2bl w:val="nil"/>
                  </w:tcBorders>
                  <w:noWrap w:val="0"/>
                  <w:vAlign w:val="center"/>
                </w:tcPr>
                <w:p w14:paraId="64E9DEFE">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p>
              </w:tc>
              <w:tc>
                <w:tcPr>
                  <w:tcW w:w="584" w:type="pct"/>
                  <w:tcBorders>
                    <w:left w:val="single" w:color="auto" w:sz="4" w:space="0"/>
                    <w:right w:val="single" w:color="auto" w:sz="4" w:space="0"/>
                    <w:tl2br w:val="nil"/>
                    <w:tr2bl w:val="nil"/>
                  </w:tcBorders>
                  <w:noWrap w:val="0"/>
                  <w:vAlign w:val="center"/>
                </w:tcPr>
                <w:p w14:paraId="594B7A4B">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S9</w:t>
                  </w:r>
                </w:p>
              </w:tc>
              <w:tc>
                <w:tcPr>
                  <w:tcW w:w="886" w:type="pct"/>
                  <w:tcBorders>
                    <w:left w:val="single" w:color="auto" w:sz="4" w:space="0"/>
                    <w:bottom w:val="single" w:color="auto" w:sz="4" w:space="0"/>
                    <w:right w:val="single" w:color="auto" w:sz="4" w:space="0"/>
                    <w:tl2br w:val="nil"/>
                    <w:tr2bl w:val="nil"/>
                  </w:tcBorders>
                  <w:noWrap w:val="0"/>
                  <w:vAlign w:val="center"/>
                </w:tcPr>
                <w:p w14:paraId="3BD5D714">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设备维护</w:t>
                  </w:r>
                </w:p>
              </w:tc>
              <w:tc>
                <w:tcPr>
                  <w:tcW w:w="76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805E693">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w:t>
                  </w:r>
                </w:p>
              </w:tc>
              <w:tc>
                <w:tcPr>
                  <w:tcW w:w="119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85836F5">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废机油、废机油桶、废含油抹布手套</w:t>
                  </w:r>
                </w:p>
              </w:tc>
              <w:tc>
                <w:tcPr>
                  <w:tcW w:w="1208" w:type="pct"/>
                  <w:vMerge w:val="continue"/>
                  <w:tcBorders>
                    <w:left w:val="single" w:color="auto" w:sz="4" w:space="0"/>
                    <w:right w:val="single" w:color="auto" w:sz="4" w:space="0"/>
                    <w:tl2br w:val="nil"/>
                    <w:tr2bl w:val="nil"/>
                  </w:tcBorders>
                  <w:noWrap w:val="0"/>
                  <w:vAlign w:val="center"/>
                </w:tcPr>
                <w:p w14:paraId="4C0B7B12">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p>
              </w:tc>
            </w:tr>
            <w:tr w14:paraId="5679B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58" w:type="pct"/>
                  <w:vMerge w:val="continue"/>
                  <w:tcBorders>
                    <w:left w:val="single" w:color="auto" w:sz="4" w:space="0"/>
                    <w:right w:val="single" w:color="auto" w:sz="4" w:space="0"/>
                  </w:tcBorders>
                  <w:noWrap w:val="0"/>
                  <w:vAlign w:val="top"/>
                </w:tcPr>
                <w:p w14:paraId="51A1E03B">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rPr>
                  </w:pPr>
                </w:p>
              </w:tc>
              <w:tc>
                <w:tcPr>
                  <w:tcW w:w="584" w:type="pct"/>
                  <w:tcBorders>
                    <w:left w:val="single" w:color="auto" w:sz="4" w:space="0"/>
                    <w:right w:val="single" w:color="auto" w:sz="4" w:space="0"/>
                  </w:tcBorders>
                  <w:noWrap w:val="0"/>
                  <w:vAlign w:val="top"/>
                </w:tcPr>
                <w:p w14:paraId="45C115FC">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S10</w:t>
                  </w:r>
                </w:p>
              </w:tc>
              <w:tc>
                <w:tcPr>
                  <w:tcW w:w="886" w:type="pct"/>
                  <w:noWrap w:val="0"/>
                  <w:vAlign w:val="center"/>
                </w:tcPr>
                <w:p w14:paraId="54F46B5C">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生产</w:t>
                  </w:r>
                </w:p>
              </w:tc>
              <w:tc>
                <w:tcPr>
                  <w:tcW w:w="768" w:type="pct"/>
                  <w:noWrap w:val="0"/>
                  <w:vAlign w:val="center"/>
                </w:tcPr>
                <w:p w14:paraId="4CD89CE8">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w:t>
                  </w:r>
                </w:p>
              </w:tc>
              <w:tc>
                <w:tcPr>
                  <w:tcW w:w="1192" w:type="pct"/>
                  <w:noWrap w:val="0"/>
                  <w:vAlign w:val="center"/>
                </w:tcPr>
                <w:p w14:paraId="6DC79C82">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废滤芯</w:t>
                  </w:r>
                </w:p>
              </w:tc>
              <w:tc>
                <w:tcPr>
                  <w:tcW w:w="1208" w:type="pct"/>
                  <w:tcBorders>
                    <w:left w:val="single" w:color="auto" w:sz="4" w:space="0"/>
                    <w:right w:val="single" w:color="auto" w:sz="4" w:space="0"/>
                  </w:tcBorders>
                  <w:noWrap w:val="0"/>
                  <w:vAlign w:val="top"/>
                </w:tcPr>
                <w:p w14:paraId="66C7D9C7">
                  <w:pPr>
                    <w:pStyle w:val="44"/>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由厂家更换带走</w:t>
                  </w:r>
                </w:p>
              </w:tc>
            </w:tr>
          </w:tbl>
          <w:p w14:paraId="252E470C">
            <w:pPr>
              <w:shd w:val="clear"/>
              <w:spacing w:line="360" w:lineRule="auto"/>
              <w:jc w:val="center"/>
              <w:rPr>
                <w:rFonts w:hint="eastAsia" w:ascii="Times New Roman" w:hAnsi="Times New Roman" w:eastAsia="宋体" w:cs="Times New Roman"/>
                <w:sz w:val="24"/>
                <w:lang w:val="en-US" w:eastAsia="zh-CN"/>
              </w:rPr>
            </w:pPr>
          </w:p>
          <w:p w14:paraId="503CC3EB">
            <w:pPr>
              <w:shd w:val="clear"/>
              <w:spacing w:line="360" w:lineRule="auto"/>
              <w:jc w:val="center"/>
              <w:rPr>
                <w:rFonts w:hint="eastAsia" w:ascii="Times New Roman" w:hAnsi="Times New Roman" w:eastAsia="宋体" w:cs="Times New Roman"/>
                <w:sz w:val="24"/>
                <w:lang w:val="en-US" w:eastAsia="zh-CN"/>
              </w:rPr>
            </w:pPr>
          </w:p>
        </w:tc>
      </w:tr>
      <w:tr w14:paraId="06159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1" w:hRule="atLeast"/>
        </w:trPr>
        <w:tc>
          <w:tcPr>
            <w:tcW w:w="488" w:type="pct"/>
            <w:vAlign w:val="center"/>
          </w:tcPr>
          <w:p w14:paraId="2EDFF072">
            <w:pPr>
              <w:spacing w:line="24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与项目有</w:t>
            </w:r>
          </w:p>
          <w:p w14:paraId="4D1E547B">
            <w:pPr>
              <w:spacing w:line="24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关的原有</w:t>
            </w:r>
          </w:p>
          <w:p w14:paraId="09289123">
            <w:pPr>
              <w:spacing w:line="24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环境污染</w:t>
            </w:r>
          </w:p>
          <w:p w14:paraId="7BE8B555">
            <w:pPr>
              <w:spacing w:line="24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问题</w:t>
            </w:r>
          </w:p>
        </w:tc>
        <w:tc>
          <w:tcPr>
            <w:tcW w:w="4511" w:type="pct"/>
            <w:shd w:val="clear" w:color="auto" w:fill="auto"/>
            <w:vAlign w:val="center"/>
          </w:tcPr>
          <w:p w14:paraId="436D7839">
            <w:pPr>
              <w:pStyle w:val="14"/>
              <w:ind w:left="0" w:leftChars="0" w:firstLine="0" w:firstLineChars="0"/>
              <w:rPr>
                <w:rFonts w:hint="default"/>
              </w:rPr>
            </w:pPr>
          </w:p>
          <w:p w14:paraId="7920AD46">
            <w:pPr>
              <w:pStyle w:val="13"/>
              <w:keepNext w:val="0"/>
              <w:keepLines w:val="0"/>
              <w:pageBreakBefore w:val="0"/>
              <w:widowControl w:val="0"/>
              <w:shd w:val="clear"/>
              <w:kinsoku/>
              <w:wordWrap/>
              <w:overflowPunct/>
              <w:topLinePunct w:val="0"/>
              <w:autoSpaceDE/>
              <w:autoSpaceDN/>
              <w:bidi w:val="0"/>
              <w:adjustRightInd/>
              <w:snapToGrid/>
              <w:spacing w:line="360" w:lineRule="auto"/>
              <w:ind w:left="0" w:leftChars="0" w:firstLine="496" w:firstLineChars="200"/>
              <w:jc w:val="both"/>
              <w:textAlignment w:val="auto"/>
              <w:rPr>
                <w:rFonts w:hint="default" w:ascii="Times New Roman" w:hAnsi="Times New Roman" w:eastAsia="宋体" w:cs="Times New Roman"/>
                <w:sz w:val="24"/>
              </w:rPr>
            </w:pPr>
          </w:p>
          <w:p w14:paraId="7A625245">
            <w:pPr>
              <w:pStyle w:val="13"/>
              <w:keepNext w:val="0"/>
              <w:keepLines w:val="0"/>
              <w:pageBreakBefore w:val="0"/>
              <w:widowControl w:val="0"/>
              <w:shd w:val="clear"/>
              <w:kinsoku/>
              <w:wordWrap/>
              <w:overflowPunct/>
              <w:topLinePunct w:val="0"/>
              <w:autoSpaceDE/>
              <w:autoSpaceDN/>
              <w:bidi w:val="0"/>
              <w:adjustRightInd/>
              <w:snapToGrid/>
              <w:spacing w:line="360" w:lineRule="auto"/>
              <w:ind w:left="0" w:leftChars="0" w:firstLine="496" w:firstLineChars="200"/>
              <w:jc w:val="both"/>
              <w:textAlignment w:val="auto"/>
              <w:rPr>
                <w:rFonts w:hint="default" w:ascii="Times New Roman" w:hAnsi="Times New Roman" w:eastAsia="宋体" w:cs="Times New Roman"/>
                <w:sz w:val="24"/>
              </w:rPr>
            </w:pPr>
          </w:p>
          <w:p w14:paraId="116436C8">
            <w:pPr>
              <w:pStyle w:val="13"/>
              <w:keepNext w:val="0"/>
              <w:keepLines w:val="0"/>
              <w:pageBreakBefore w:val="0"/>
              <w:widowControl w:val="0"/>
              <w:shd w:val="clear"/>
              <w:kinsoku/>
              <w:wordWrap/>
              <w:overflowPunct/>
              <w:topLinePunct w:val="0"/>
              <w:autoSpaceDE/>
              <w:autoSpaceDN/>
              <w:bidi w:val="0"/>
              <w:adjustRightInd/>
              <w:snapToGrid/>
              <w:spacing w:line="360" w:lineRule="auto"/>
              <w:ind w:left="0" w:leftChars="0" w:firstLine="496" w:firstLineChars="200"/>
              <w:jc w:val="both"/>
              <w:textAlignment w:val="auto"/>
              <w:rPr>
                <w:rFonts w:hint="default" w:ascii="Times New Roman" w:hAnsi="Times New Roman" w:eastAsia="宋体" w:cs="Times New Roman"/>
                <w:sz w:val="24"/>
              </w:rPr>
            </w:pPr>
          </w:p>
          <w:p w14:paraId="17068C69">
            <w:pPr>
              <w:pStyle w:val="13"/>
              <w:keepNext w:val="0"/>
              <w:keepLines w:val="0"/>
              <w:pageBreakBefore w:val="0"/>
              <w:widowControl w:val="0"/>
              <w:shd w:val="clear"/>
              <w:kinsoku/>
              <w:wordWrap/>
              <w:overflowPunct/>
              <w:topLinePunct w:val="0"/>
              <w:autoSpaceDE/>
              <w:autoSpaceDN/>
              <w:bidi w:val="0"/>
              <w:adjustRightInd/>
              <w:snapToGrid/>
              <w:spacing w:line="360" w:lineRule="auto"/>
              <w:ind w:left="0" w:leftChars="0" w:firstLine="496" w:firstLineChars="200"/>
              <w:jc w:val="both"/>
              <w:textAlignment w:val="auto"/>
              <w:rPr>
                <w:rFonts w:hint="default" w:ascii="Times New Roman" w:hAnsi="Times New Roman" w:eastAsia="宋体" w:cs="Times New Roman"/>
                <w:sz w:val="24"/>
              </w:rPr>
            </w:pPr>
          </w:p>
          <w:p w14:paraId="5E26DE09">
            <w:pPr>
              <w:pStyle w:val="13"/>
              <w:keepNext w:val="0"/>
              <w:keepLines w:val="0"/>
              <w:pageBreakBefore w:val="0"/>
              <w:widowControl w:val="0"/>
              <w:shd w:val="clear"/>
              <w:kinsoku/>
              <w:wordWrap/>
              <w:overflowPunct/>
              <w:topLinePunct w:val="0"/>
              <w:autoSpaceDE/>
              <w:autoSpaceDN/>
              <w:bidi w:val="0"/>
              <w:adjustRightInd/>
              <w:snapToGrid/>
              <w:spacing w:line="360" w:lineRule="auto"/>
              <w:ind w:left="0" w:leftChars="0" w:firstLine="496" w:firstLineChars="200"/>
              <w:jc w:val="both"/>
              <w:textAlignment w:val="auto"/>
              <w:rPr>
                <w:rFonts w:hint="default" w:ascii="Times New Roman" w:hAnsi="Times New Roman" w:eastAsia="宋体" w:cs="Times New Roman"/>
                <w:sz w:val="24"/>
              </w:rPr>
            </w:pPr>
          </w:p>
          <w:p w14:paraId="68669045">
            <w:pPr>
              <w:pStyle w:val="13"/>
              <w:keepNext w:val="0"/>
              <w:keepLines w:val="0"/>
              <w:pageBreakBefore w:val="0"/>
              <w:widowControl w:val="0"/>
              <w:shd w:val="clear"/>
              <w:kinsoku/>
              <w:wordWrap/>
              <w:overflowPunct/>
              <w:topLinePunct w:val="0"/>
              <w:autoSpaceDE/>
              <w:autoSpaceDN/>
              <w:bidi w:val="0"/>
              <w:adjustRightInd/>
              <w:snapToGrid/>
              <w:spacing w:line="360" w:lineRule="auto"/>
              <w:ind w:left="0" w:leftChars="0" w:firstLine="496" w:firstLineChars="200"/>
              <w:jc w:val="both"/>
              <w:textAlignment w:val="auto"/>
              <w:rPr>
                <w:rFonts w:hint="default" w:ascii="Times New Roman" w:hAnsi="Times New Roman" w:eastAsia="宋体" w:cs="Times New Roman"/>
                <w:sz w:val="24"/>
              </w:rPr>
            </w:pPr>
          </w:p>
          <w:p w14:paraId="145FD28C">
            <w:pPr>
              <w:pStyle w:val="13"/>
              <w:keepNext w:val="0"/>
              <w:keepLines w:val="0"/>
              <w:pageBreakBefore w:val="0"/>
              <w:widowControl w:val="0"/>
              <w:shd w:val="clear"/>
              <w:kinsoku/>
              <w:wordWrap/>
              <w:overflowPunct/>
              <w:topLinePunct w:val="0"/>
              <w:autoSpaceDE/>
              <w:autoSpaceDN/>
              <w:bidi w:val="0"/>
              <w:adjustRightInd/>
              <w:snapToGrid/>
              <w:spacing w:line="360" w:lineRule="auto"/>
              <w:ind w:left="0" w:leftChars="0" w:firstLine="496" w:firstLineChars="200"/>
              <w:jc w:val="both"/>
              <w:textAlignment w:val="auto"/>
              <w:rPr>
                <w:rFonts w:hint="default" w:ascii="Times New Roman" w:hAnsi="Times New Roman" w:eastAsia="宋体" w:cs="Times New Roman"/>
                <w:sz w:val="24"/>
              </w:rPr>
            </w:pPr>
          </w:p>
          <w:p w14:paraId="753B8C3C">
            <w:pPr>
              <w:pStyle w:val="13"/>
              <w:keepNext w:val="0"/>
              <w:keepLines w:val="0"/>
              <w:pageBreakBefore w:val="0"/>
              <w:widowControl w:val="0"/>
              <w:shd w:val="clear"/>
              <w:kinsoku/>
              <w:wordWrap/>
              <w:overflowPunct/>
              <w:topLinePunct w:val="0"/>
              <w:autoSpaceDE/>
              <w:autoSpaceDN/>
              <w:bidi w:val="0"/>
              <w:adjustRightInd/>
              <w:snapToGrid/>
              <w:spacing w:line="360" w:lineRule="auto"/>
              <w:ind w:left="0" w:leftChars="0" w:firstLine="496" w:firstLineChars="200"/>
              <w:jc w:val="both"/>
              <w:textAlignment w:val="auto"/>
              <w:rPr>
                <w:rFonts w:hint="default" w:ascii="Times New Roman" w:hAnsi="Times New Roman" w:eastAsia="宋体" w:cs="Times New Roman"/>
                <w:sz w:val="24"/>
              </w:rPr>
            </w:pPr>
          </w:p>
          <w:p w14:paraId="5AB20D1F">
            <w:pPr>
              <w:pStyle w:val="13"/>
              <w:keepNext w:val="0"/>
              <w:keepLines w:val="0"/>
              <w:pageBreakBefore w:val="0"/>
              <w:widowControl w:val="0"/>
              <w:shd w:val="clear"/>
              <w:kinsoku/>
              <w:wordWrap/>
              <w:overflowPunct/>
              <w:topLinePunct w:val="0"/>
              <w:autoSpaceDE/>
              <w:autoSpaceDN/>
              <w:bidi w:val="0"/>
              <w:adjustRightInd/>
              <w:snapToGrid/>
              <w:spacing w:line="360" w:lineRule="auto"/>
              <w:ind w:left="0" w:leftChars="0" w:firstLine="496" w:firstLineChars="200"/>
              <w:jc w:val="both"/>
              <w:textAlignment w:val="auto"/>
              <w:rPr>
                <w:rFonts w:hint="default" w:ascii="Times New Roman" w:hAnsi="Times New Roman" w:eastAsia="宋体" w:cs="Times New Roman"/>
                <w:sz w:val="24"/>
              </w:rPr>
            </w:pPr>
          </w:p>
          <w:p w14:paraId="7AF40BD5">
            <w:pPr>
              <w:pStyle w:val="13"/>
              <w:keepNext w:val="0"/>
              <w:keepLines w:val="0"/>
              <w:pageBreakBefore w:val="0"/>
              <w:widowControl w:val="0"/>
              <w:shd w:val="clear"/>
              <w:kinsoku/>
              <w:wordWrap/>
              <w:overflowPunct/>
              <w:topLinePunct w:val="0"/>
              <w:autoSpaceDE/>
              <w:autoSpaceDN/>
              <w:bidi w:val="0"/>
              <w:adjustRightInd/>
              <w:snapToGrid/>
              <w:spacing w:line="360" w:lineRule="auto"/>
              <w:ind w:left="0" w:leftChars="0" w:firstLine="496" w:firstLineChars="200"/>
              <w:jc w:val="both"/>
              <w:textAlignment w:val="auto"/>
              <w:rPr>
                <w:rFonts w:hint="default" w:ascii="Times New Roman" w:hAnsi="Times New Roman" w:eastAsia="宋体" w:cs="Times New Roman"/>
                <w:sz w:val="24"/>
              </w:rPr>
            </w:pPr>
          </w:p>
          <w:p w14:paraId="79A2CD74">
            <w:pPr>
              <w:pStyle w:val="13"/>
              <w:keepNext w:val="0"/>
              <w:keepLines w:val="0"/>
              <w:pageBreakBefore w:val="0"/>
              <w:widowControl w:val="0"/>
              <w:shd w:val="clear"/>
              <w:kinsoku/>
              <w:wordWrap/>
              <w:overflowPunct/>
              <w:topLinePunct w:val="0"/>
              <w:autoSpaceDE/>
              <w:autoSpaceDN/>
              <w:bidi w:val="0"/>
              <w:adjustRightInd/>
              <w:snapToGrid/>
              <w:spacing w:line="360" w:lineRule="auto"/>
              <w:ind w:left="0" w:leftChars="0" w:firstLine="496" w:firstLineChars="200"/>
              <w:jc w:val="both"/>
              <w:textAlignment w:val="auto"/>
              <w:rPr>
                <w:rFonts w:hint="default" w:ascii="Times New Roman" w:hAnsi="Times New Roman" w:eastAsia="宋体" w:cs="Times New Roman"/>
                <w:sz w:val="24"/>
              </w:rPr>
            </w:pPr>
          </w:p>
          <w:p w14:paraId="54E8F138">
            <w:pPr>
              <w:pStyle w:val="13"/>
              <w:keepNext w:val="0"/>
              <w:keepLines w:val="0"/>
              <w:pageBreakBefore w:val="0"/>
              <w:widowControl w:val="0"/>
              <w:shd w:val="clear"/>
              <w:kinsoku/>
              <w:wordWrap/>
              <w:overflowPunct/>
              <w:topLinePunct w:val="0"/>
              <w:autoSpaceDE/>
              <w:autoSpaceDN/>
              <w:bidi w:val="0"/>
              <w:adjustRightInd/>
              <w:snapToGrid/>
              <w:spacing w:line="360" w:lineRule="auto"/>
              <w:ind w:left="0" w:leftChars="0" w:firstLine="496" w:firstLineChars="200"/>
              <w:jc w:val="both"/>
              <w:textAlignment w:val="auto"/>
              <w:rPr>
                <w:rFonts w:hint="default" w:ascii="Times New Roman" w:hAnsi="Times New Roman" w:eastAsia="宋体" w:cs="Times New Roman"/>
                <w:sz w:val="24"/>
              </w:rPr>
            </w:pPr>
          </w:p>
          <w:p w14:paraId="19257C82">
            <w:pPr>
              <w:pStyle w:val="13"/>
              <w:keepNext w:val="0"/>
              <w:keepLines w:val="0"/>
              <w:pageBreakBefore w:val="0"/>
              <w:widowControl w:val="0"/>
              <w:shd w:val="clear"/>
              <w:kinsoku/>
              <w:wordWrap/>
              <w:overflowPunct/>
              <w:topLinePunct w:val="0"/>
              <w:autoSpaceDE/>
              <w:autoSpaceDN/>
              <w:bidi w:val="0"/>
              <w:adjustRightInd/>
              <w:snapToGrid/>
              <w:spacing w:line="360" w:lineRule="auto"/>
              <w:ind w:left="0" w:leftChars="0" w:firstLine="496" w:firstLineChars="200"/>
              <w:jc w:val="both"/>
              <w:textAlignment w:val="auto"/>
              <w:rPr>
                <w:rFonts w:hint="default" w:ascii="Times New Roman" w:hAnsi="Times New Roman" w:eastAsia="宋体" w:cs="Times New Roman"/>
                <w:sz w:val="24"/>
              </w:rPr>
            </w:pPr>
            <w:r>
              <w:rPr>
                <w:rFonts w:hint="default" w:ascii="Times New Roman" w:hAnsi="Times New Roman" w:eastAsia="宋体" w:cs="Times New Roman"/>
                <w:sz w:val="24"/>
              </w:rPr>
              <w:t>本项目为新建项目，</w:t>
            </w:r>
            <w:r>
              <w:rPr>
                <w:rFonts w:hint="eastAsia" w:ascii="Times New Roman" w:hAnsi="Times New Roman" w:eastAsia="宋体" w:cs="Times New Roman"/>
                <w:sz w:val="24"/>
                <w:lang w:val="en-US" w:eastAsia="zh-CN"/>
              </w:rPr>
              <w:t>租赁安徽省池州市江南产业集中区皖能电子信息产业园5幢4层为厂房，租赁的厂房为空置厂房，</w:t>
            </w:r>
            <w:r>
              <w:rPr>
                <w:rFonts w:hint="default" w:ascii="Times New Roman" w:hAnsi="Times New Roman" w:eastAsia="宋体" w:cs="Times New Roman"/>
                <w:sz w:val="24"/>
              </w:rPr>
              <w:t>不存在与项目有关的原有环境污染问题。</w:t>
            </w:r>
          </w:p>
          <w:p w14:paraId="6F88D633">
            <w:pPr>
              <w:pStyle w:val="14"/>
              <w:rPr>
                <w:rFonts w:hint="default" w:ascii="Times New Roman" w:hAnsi="Times New Roman" w:eastAsia="宋体" w:cs="Times New Roman"/>
                <w:sz w:val="24"/>
              </w:rPr>
            </w:pPr>
          </w:p>
          <w:p w14:paraId="12A92D00">
            <w:pPr>
              <w:rPr>
                <w:rFonts w:hint="default"/>
                <w:lang w:val="en-US" w:eastAsia="zh-CN"/>
              </w:rPr>
            </w:pPr>
          </w:p>
          <w:p w14:paraId="5604FADE">
            <w:pPr>
              <w:rPr>
                <w:rFonts w:hint="default"/>
                <w:lang w:val="en-US" w:eastAsia="zh-CN"/>
              </w:rPr>
            </w:pPr>
          </w:p>
          <w:p w14:paraId="1F30BB17">
            <w:pPr>
              <w:rPr>
                <w:rFonts w:hint="default"/>
                <w:lang w:val="en-US" w:eastAsia="zh-CN"/>
              </w:rPr>
            </w:pPr>
          </w:p>
          <w:p w14:paraId="2B8EF161">
            <w:pPr>
              <w:rPr>
                <w:rFonts w:hint="default"/>
                <w:lang w:val="en-US" w:eastAsia="zh-CN"/>
              </w:rPr>
            </w:pPr>
          </w:p>
          <w:p w14:paraId="12018A52">
            <w:pPr>
              <w:rPr>
                <w:rFonts w:hint="default"/>
                <w:lang w:val="en-US" w:eastAsia="zh-CN"/>
              </w:rPr>
            </w:pPr>
          </w:p>
          <w:p w14:paraId="32679865">
            <w:pPr>
              <w:rPr>
                <w:rFonts w:hint="default"/>
                <w:lang w:val="en-US" w:eastAsia="zh-CN"/>
              </w:rPr>
            </w:pPr>
          </w:p>
          <w:p w14:paraId="33B21597">
            <w:pPr>
              <w:rPr>
                <w:rFonts w:hint="default"/>
                <w:lang w:val="en-US" w:eastAsia="zh-CN"/>
              </w:rPr>
            </w:pPr>
          </w:p>
          <w:p w14:paraId="175E5C08">
            <w:pPr>
              <w:rPr>
                <w:rFonts w:hint="default"/>
                <w:lang w:val="en-US" w:eastAsia="zh-CN"/>
              </w:rPr>
            </w:pPr>
          </w:p>
          <w:p w14:paraId="1FEF67F4">
            <w:pPr>
              <w:rPr>
                <w:rFonts w:hint="default"/>
                <w:lang w:val="en-US" w:eastAsia="zh-CN"/>
              </w:rPr>
            </w:pPr>
          </w:p>
          <w:p w14:paraId="4B9C26B1">
            <w:pPr>
              <w:rPr>
                <w:rFonts w:hint="default"/>
                <w:lang w:val="en-US" w:eastAsia="zh-CN"/>
              </w:rPr>
            </w:pPr>
          </w:p>
          <w:p w14:paraId="4C87C373">
            <w:pPr>
              <w:rPr>
                <w:rFonts w:hint="default"/>
                <w:lang w:val="en-US" w:eastAsia="zh-CN"/>
              </w:rPr>
            </w:pPr>
          </w:p>
          <w:p w14:paraId="7DDD641A">
            <w:pPr>
              <w:rPr>
                <w:rFonts w:hint="default"/>
                <w:lang w:val="en-US" w:eastAsia="zh-CN"/>
              </w:rPr>
            </w:pPr>
          </w:p>
          <w:p w14:paraId="502EE696">
            <w:pPr>
              <w:rPr>
                <w:rFonts w:hint="default"/>
                <w:lang w:val="en-US" w:eastAsia="zh-CN"/>
              </w:rPr>
            </w:pPr>
          </w:p>
          <w:p w14:paraId="27676FD7">
            <w:pPr>
              <w:rPr>
                <w:rFonts w:hint="default"/>
                <w:lang w:val="en-US" w:eastAsia="zh-CN"/>
              </w:rPr>
            </w:pPr>
          </w:p>
          <w:p w14:paraId="40A4B90A">
            <w:pPr>
              <w:rPr>
                <w:rFonts w:hint="default"/>
                <w:lang w:val="en-US" w:eastAsia="zh-CN"/>
              </w:rPr>
            </w:pPr>
          </w:p>
          <w:p w14:paraId="14D84ED0">
            <w:pPr>
              <w:rPr>
                <w:rFonts w:hint="default"/>
                <w:lang w:val="en-US" w:eastAsia="zh-CN"/>
              </w:rPr>
            </w:pPr>
          </w:p>
          <w:p w14:paraId="4B67708B">
            <w:pPr>
              <w:pStyle w:val="13"/>
              <w:spacing w:line="360" w:lineRule="auto"/>
              <w:ind w:left="0" w:leftChars="0" w:firstLine="0" w:firstLineChars="0"/>
              <w:jc w:val="both"/>
              <w:rPr>
                <w:rFonts w:hint="default" w:ascii="Times New Roman" w:hAnsi="Times New Roman" w:eastAsia="宋体" w:cs="Times New Roman"/>
                <w:sz w:val="24"/>
                <w:lang w:val="en-US" w:eastAsia="zh-CN"/>
              </w:rPr>
            </w:pPr>
          </w:p>
        </w:tc>
      </w:tr>
    </w:tbl>
    <w:p w14:paraId="7D023BE0">
      <w:pPr>
        <w:numPr>
          <w:ilvl w:val="0"/>
          <w:numId w:val="0"/>
        </w:numPr>
        <w:spacing w:line="360" w:lineRule="auto"/>
        <w:ind w:left="0" w:leftChars="0" w:firstLine="0" w:firstLineChars="0"/>
        <w:jc w:val="left"/>
        <w:outlineLvl w:val="0"/>
        <w:rPr>
          <w:rFonts w:ascii="Times New Roman" w:hAnsi="Times New Roman" w:eastAsia="宋体" w:cs="Times New Roman"/>
          <w:sz w:val="28"/>
          <w:szCs w:val="28"/>
        </w:rPr>
      </w:pPr>
      <w:r>
        <w:rPr>
          <w:rFonts w:hint="default" w:ascii="Times New Roman" w:hAnsi="Times New Roman" w:eastAsia="黑体" w:cs="Times New Roman"/>
          <w:b w:val="0"/>
          <w:bCs w:val="0"/>
          <w:sz w:val="30"/>
          <w:szCs w:val="30"/>
          <w:lang w:val="en-US" w:eastAsia="zh-CN"/>
        </w:rPr>
        <w:t>三、</w:t>
      </w:r>
      <w:r>
        <w:rPr>
          <w:rFonts w:hint="default" w:ascii="Times New Roman" w:hAnsi="Times New Roman" w:eastAsia="黑体" w:cs="Times New Roman"/>
          <w:b w:val="0"/>
          <w:bCs w:val="0"/>
          <w:sz w:val="30"/>
          <w:szCs w:val="30"/>
        </w:rPr>
        <w:t>区域环境质量现状、环境保护目标及评价标准</w:t>
      </w: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8380"/>
      </w:tblGrid>
      <w:tr w14:paraId="7C34C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trPr>
        <w:tc>
          <w:tcPr>
            <w:tcW w:w="488" w:type="pct"/>
            <w:vAlign w:val="center"/>
          </w:tcPr>
          <w:p w14:paraId="6D24AE26">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区域环境</w:t>
            </w:r>
          </w:p>
          <w:p w14:paraId="2020E32D">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质量现状</w:t>
            </w:r>
          </w:p>
        </w:tc>
        <w:tc>
          <w:tcPr>
            <w:tcW w:w="4511" w:type="pct"/>
            <w:shd w:val="clear" w:color="auto" w:fill="auto"/>
            <w:vAlign w:val="center"/>
          </w:tcPr>
          <w:p w14:paraId="019DCD4A">
            <w:pPr>
              <w:pStyle w:val="6"/>
              <w:keepNext w:val="0"/>
              <w:keepLines w:val="0"/>
              <w:pageBreakBefore w:val="0"/>
              <w:widowControl w:val="0"/>
              <w:kinsoku/>
              <w:wordWrap/>
              <w:overflowPunct/>
              <w:topLinePunct w:val="0"/>
              <w:autoSpaceDN/>
              <w:bidi w:val="0"/>
              <w:adjustRightInd w:val="0"/>
              <w:snapToGrid/>
              <w:spacing w:line="360" w:lineRule="auto"/>
              <w:ind w:firstLine="0" w:firstLineChars="0"/>
              <w:textAlignment w:val="auto"/>
              <w:rPr>
                <w:rFonts w:hint="default" w:ascii="Times New Roman" w:hAnsi="Times New Roman" w:cs="Times New Roman"/>
                <w:b/>
                <w:bCs/>
                <w:sz w:val="24"/>
              </w:rPr>
            </w:pPr>
            <w:r>
              <w:rPr>
                <w:rFonts w:hint="default" w:ascii="Times New Roman" w:hAnsi="Times New Roman" w:cs="Times New Roman"/>
                <w:b/>
                <w:bCs/>
                <w:sz w:val="24"/>
              </w:rPr>
              <w:t>1、空气环境质量现状</w:t>
            </w:r>
          </w:p>
          <w:p w14:paraId="37BFBBEF">
            <w:pPr>
              <w:pStyle w:val="31"/>
              <w:keepNext w:val="0"/>
              <w:keepLines w:val="0"/>
              <w:pageBreakBefore w:val="0"/>
              <w:widowControl w:val="0"/>
              <w:kinsoku/>
              <w:wordWrap/>
              <w:overflowPunct/>
              <w:topLinePunct w:val="0"/>
              <w:autoSpaceDE w:val="0"/>
              <w:autoSpaceDN/>
              <w:bidi w:val="0"/>
              <w:adjustRightInd w:val="0"/>
              <w:snapToGrid/>
              <w:ind w:firstLine="480"/>
              <w:jc w:val="both"/>
              <w:textAlignment w:val="auto"/>
              <w:rPr>
                <w:rFonts w:hint="default" w:ascii="Times New Roman" w:hAnsi="Times New Roman" w:cs="Times New Roman"/>
                <w:lang w:eastAsia="zh-CN"/>
              </w:rPr>
            </w:pPr>
            <w:r>
              <w:rPr>
                <w:rFonts w:hint="default" w:ascii="Times New Roman" w:hAnsi="Times New Roman" w:cs="Times New Roman"/>
                <w:lang w:eastAsia="zh-CN"/>
              </w:rPr>
              <w:t>（</w:t>
            </w:r>
            <w:r>
              <w:rPr>
                <w:rFonts w:hint="default" w:ascii="Times New Roman" w:hAnsi="Times New Roman" w:cs="Times New Roman"/>
                <w:lang w:val="en-US" w:eastAsia="zh-CN"/>
              </w:rPr>
              <w:t>1</w:t>
            </w:r>
            <w:r>
              <w:rPr>
                <w:rFonts w:hint="default" w:ascii="Times New Roman" w:hAnsi="Times New Roman" w:cs="Times New Roman"/>
                <w:lang w:eastAsia="zh-CN"/>
              </w:rPr>
              <w:t>）区域环境空气达标情况</w:t>
            </w:r>
          </w:p>
          <w:p w14:paraId="257A5340">
            <w:pPr>
              <w:pStyle w:val="31"/>
              <w:keepNext w:val="0"/>
              <w:keepLines w:val="0"/>
              <w:pageBreakBefore w:val="0"/>
              <w:widowControl w:val="0"/>
              <w:shd w:val="clear"/>
              <w:kinsoku/>
              <w:wordWrap/>
              <w:overflowPunct/>
              <w:topLinePunct w:val="0"/>
              <w:autoSpaceDE w:val="0"/>
              <w:autoSpaceDN/>
              <w:bidi w:val="0"/>
              <w:adjustRightInd w:val="0"/>
              <w:snapToGrid/>
              <w:ind w:firstLine="480"/>
              <w:jc w:val="left"/>
              <w:textAlignment w:val="auto"/>
              <w:rPr>
                <w:rFonts w:hint="default" w:ascii="Times New Roman" w:hAnsi="Times New Roman" w:cs="Times New Roman"/>
                <w:shd w:val="clear" w:color="auto" w:fill="92D050"/>
              </w:rPr>
            </w:pPr>
            <w:r>
              <w:rPr>
                <w:rFonts w:hint="default" w:ascii="Times New Roman" w:hAnsi="Times New Roman" w:cs="Times New Roman"/>
              </w:rPr>
              <w:t>根据《建设项目环境影响报告表编制技术指南（污染影响类）（试行）》，大气环境常规污染物引用与建设项目距离近的有效数据，包括近</w:t>
            </w:r>
            <w:r>
              <w:rPr>
                <w:rFonts w:hint="default" w:ascii="Times New Roman" w:hAnsi="Times New Roman" w:cs="Times New Roman"/>
                <w:lang w:val="en-US" w:eastAsia="zh-CN"/>
              </w:rPr>
              <w:t>3</w:t>
            </w:r>
            <w:r>
              <w:rPr>
                <w:rFonts w:hint="default" w:ascii="Times New Roman" w:hAnsi="Times New Roman" w:cs="Times New Roman"/>
              </w:rPr>
              <w:t>年的规划环境影响评价的监测数据，国家、地方环境空气质量监测网数据或生态环境主管部门公开发布的质量数据等。</w:t>
            </w:r>
            <w:r>
              <w:rPr>
                <w:rFonts w:hint="eastAsia" w:ascii="Times New Roman" w:hAnsi="Times New Roman" w:cs="Times New Roman"/>
                <w:lang w:val="en-US" w:eastAsia="zh-CN"/>
              </w:rPr>
              <w:t>本评价引用池州市生态环境</w:t>
            </w:r>
            <w:r>
              <w:rPr>
                <w:rFonts w:hint="default" w:ascii="Times New Roman" w:hAnsi="Times New Roman" w:cs="Times New Roman"/>
              </w:rPr>
              <w:t>局202</w:t>
            </w:r>
            <w:r>
              <w:rPr>
                <w:rFonts w:hint="eastAsia" w:ascii="Times New Roman" w:hAnsi="Times New Roman" w:cs="Times New Roman"/>
                <w:lang w:val="en-US" w:eastAsia="zh-CN"/>
              </w:rPr>
              <w:t>5</w:t>
            </w:r>
            <w:r>
              <w:rPr>
                <w:rFonts w:hint="default" w:ascii="Times New Roman" w:hAnsi="Times New Roman" w:cs="Times New Roman"/>
              </w:rPr>
              <w:t>年</w:t>
            </w:r>
            <w:r>
              <w:rPr>
                <w:rFonts w:hint="eastAsia" w:ascii="Times New Roman" w:hAnsi="Times New Roman" w:cs="Times New Roman"/>
                <w:lang w:val="en-US" w:eastAsia="zh-CN"/>
              </w:rPr>
              <w:t>6</w:t>
            </w:r>
            <w:r>
              <w:rPr>
                <w:rFonts w:hint="default" w:ascii="Times New Roman" w:hAnsi="Times New Roman" w:cs="Times New Roman"/>
              </w:rPr>
              <w:t>月</w:t>
            </w:r>
            <w:r>
              <w:rPr>
                <w:rFonts w:hint="eastAsia" w:ascii="Times New Roman" w:hAnsi="Times New Roman" w:cs="Times New Roman"/>
                <w:lang w:val="en-US" w:eastAsia="zh-CN"/>
              </w:rPr>
              <w:t>16</w:t>
            </w:r>
            <w:r>
              <w:rPr>
                <w:rFonts w:hint="default" w:ascii="Times New Roman" w:hAnsi="Times New Roman" w:cs="Times New Roman"/>
              </w:rPr>
              <w:t>日发布的《2024年</w:t>
            </w:r>
            <w:r>
              <w:rPr>
                <w:rFonts w:hint="eastAsia" w:ascii="Times New Roman" w:hAnsi="Times New Roman" w:cs="Times New Roman"/>
                <w:lang w:val="en-US" w:eastAsia="zh-CN"/>
              </w:rPr>
              <w:t>池州</w:t>
            </w:r>
            <w:r>
              <w:rPr>
                <w:rFonts w:hint="default" w:ascii="Times New Roman" w:hAnsi="Times New Roman" w:cs="Times New Roman"/>
              </w:rPr>
              <w:t>市生态环境状况公报》</w:t>
            </w:r>
            <w:r>
              <w:rPr>
                <w:rFonts w:hint="eastAsia" w:ascii="Times New Roman" w:hAnsi="Times New Roman" w:cs="Times New Roman"/>
                <w:lang w:eastAsia="zh-CN"/>
              </w:rPr>
              <w:t>（https://sthjj.chizhou.gov.cn/News/show/749380.html）</w:t>
            </w:r>
            <w:r>
              <w:rPr>
                <w:rFonts w:hint="default" w:ascii="Times New Roman" w:hAnsi="Times New Roman" w:cs="Times New Roman"/>
              </w:rPr>
              <w:t>中的数据</w:t>
            </w:r>
            <w:r>
              <w:rPr>
                <w:rFonts w:hint="eastAsia" w:ascii="Times New Roman" w:hAnsi="Times New Roman" w:cs="Times New Roman"/>
                <w:lang w:eastAsia="zh-CN"/>
              </w:rPr>
              <w:t>，</w:t>
            </w:r>
            <w:r>
              <w:rPr>
                <w:rFonts w:hint="eastAsia" w:ascii="Times New Roman" w:hAnsi="Times New Roman" w:cs="Times New Roman"/>
                <w:lang w:val="en-US" w:eastAsia="zh-CN"/>
              </w:rPr>
              <w:t>判定区域环境质量达标情况，详见下表。</w:t>
            </w:r>
          </w:p>
          <w:p w14:paraId="4B52E93E">
            <w:pPr>
              <w:pStyle w:val="31"/>
              <w:keepNext w:val="0"/>
              <w:keepLines w:val="0"/>
              <w:pageBreakBefore w:val="0"/>
              <w:widowControl w:val="0"/>
              <w:kinsoku/>
              <w:wordWrap/>
              <w:overflowPunct/>
              <w:topLinePunct w:val="0"/>
              <w:autoSpaceDE w:val="0"/>
              <w:autoSpaceDN/>
              <w:bidi w:val="0"/>
              <w:adjustRightInd w:val="0"/>
              <w:snapToGrid/>
              <w:ind w:firstLine="0" w:firstLineChars="0"/>
              <w:jc w:val="center"/>
              <w:textAlignment w:val="auto"/>
              <w:rPr>
                <w:rFonts w:hint="default" w:ascii="Times New Roman" w:hAnsi="Times New Roman" w:eastAsia="黑体" w:cs="Times New Roman"/>
                <w:sz w:val="21"/>
                <w:szCs w:val="21"/>
                <w:lang w:val="en-US"/>
              </w:rPr>
            </w:pPr>
            <w:r>
              <w:rPr>
                <w:rFonts w:hint="default" w:ascii="Times New Roman" w:hAnsi="Times New Roman" w:eastAsia="黑体" w:cs="Times New Roman"/>
                <w:sz w:val="21"/>
                <w:szCs w:val="21"/>
              </w:rPr>
              <w:t>表</w:t>
            </w:r>
            <w:r>
              <w:rPr>
                <w:rFonts w:hint="eastAsia" w:ascii="Times New Roman" w:hAnsi="Times New Roman" w:eastAsia="黑体" w:cs="Times New Roman"/>
                <w:sz w:val="21"/>
                <w:szCs w:val="21"/>
                <w:lang w:val="en-US" w:eastAsia="zh-CN"/>
              </w:rPr>
              <w:t>3-1</w:t>
            </w:r>
            <w:r>
              <w:rPr>
                <w:rFonts w:hint="default" w:ascii="Times New Roman" w:hAnsi="Times New Roman" w:eastAsia="黑体" w:cs="Times New Roman"/>
                <w:sz w:val="21"/>
                <w:szCs w:val="21"/>
              </w:rPr>
              <w:t xml:space="preserve"> </w:t>
            </w:r>
            <w:r>
              <w:rPr>
                <w:rFonts w:hint="eastAsia" w:ascii="Times New Roman" w:hAnsi="Times New Roman" w:eastAsia="黑体" w:cs="Times New Roman"/>
                <w:sz w:val="21"/>
                <w:szCs w:val="21"/>
                <w:lang w:val="en-US" w:eastAsia="zh-CN"/>
              </w:rPr>
              <w:t>池州市2024年环境空气质量现状一览表</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2792"/>
              <w:gridCol w:w="1249"/>
              <w:gridCol w:w="1239"/>
              <w:gridCol w:w="1026"/>
              <w:gridCol w:w="917"/>
            </w:tblGrid>
            <w:tr w14:paraId="10C60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pct"/>
                  <w:vAlign w:val="center"/>
                </w:tcPr>
                <w:p w14:paraId="10858649">
                  <w:pPr>
                    <w:autoSpaceDE w:val="0"/>
                    <w:adjustRightInd w:val="0"/>
                    <w:snapToGrid w:val="0"/>
                    <w:spacing w:line="360" w:lineRule="exact"/>
                    <w:jc w:val="center"/>
                    <w:rPr>
                      <w:rFonts w:hint="default" w:ascii="Times New Roman" w:hAnsi="Times New Roman" w:eastAsia="宋体" w:cs="Times New Roman"/>
                      <w:b w:val="0"/>
                      <w:bCs w:val="0"/>
                      <w:szCs w:val="21"/>
                    </w:rPr>
                  </w:pPr>
                  <w:r>
                    <w:rPr>
                      <w:rFonts w:hint="default" w:ascii="Times New Roman" w:hAnsi="Times New Roman" w:eastAsia="宋体" w:cs="Times New Roman"/>
                      <w:b w:val="0"/>
                      <w:bCs w:val="0"/>
                      <w:szCs w:val="21"/>
                    </w:rPr>
                    <w:t>污染物</w:t>
                  </w:r>
                </w:p>
              </w:tc>
              <w:tc>
                <w:tcPr>
                  <w:tcW w:w="1712" w:type="pct"/>
                  <w:vAlign w:val="center"/>
                </w:tcPr>
                <w:p w14:paraId="05DFB128">
                  <w:pPr>
                    <w:autoSpaceDE w:val="0"/>
                    <w:adjustRightInd w:val="0"/>
                    <w:snapToGrid w:val="0"/>
                    <w:spacing w:line="360" w:lineRule="exact"/>
                    <w:jc w:val="center"/>
                    <w:rPr>
                      <w:rFonts w:hint="default" w:ascii="Times New Roman" w:hAnsi="Times New Roman" w:eastAsia="宋体" w:cs="Times New Roman"/>
                      <w:b w:val="0"/>
                      <w:bCs w:val="0"/>
                      <w:szCs w:val="21"/>
                    </w:rPr>
                  </w:pPr>
                  <w:r>
                    <w:rPr>
                      <w:rFonts w:hint="default" w:ascii="Times New Roman" w:hAnsi="Times New Roman" w:eastAsia="宋体" w:cs="Times New Roman"/>
                      <w:b w:val="0"/>
                      <w:bCs w:val="0"/>
                      <w:szCs w:val="21"/>
                    </w:rPr>
                    <w:t>年评价指标</w:t>
                  </w:r>
                </w:p>
              </w:tc>
              <w:tc>
                <w:tcPr>
                  <w:tcW w:w="766" w:type="pct"/>
                  <w:vAlign w:val="center"/>
                </w:tcPr>
                <w:p w14:paraId="2D638C7C">
                  <w:pPr>
                    <w:autoSpaceDE w:val="0"/>
                    <w:adjustRightInd w:val="0"/>
                    <w:snapToGrid w:val="0"/>
                    <w:spacing w:line="360" w:lineRule="exact"/>
                    <w:jc w:val="center"/>
                    <w:rPr>
                      <w:rFonts w:hint="default" w:ascii="Times New Roman" w:hAnsi="Times New Roman" w:eastAsia="宋体" w:cs="Times New Roman"/>
                      <w:b w:val="0"/>
                      <w:bCs w:val="0"/>
                      <w:szCs w:val="21"/>
                    </w:rPr>
                  </w:pPr>
                  <w:r>
                    <w:rPr>
                      <w:rFonts w:hint="default" w:ascii="Times New Roman" w:hAnsi="Times New Roman" w:eastAsia="宋体" w:cs="Times New Roman"/>
                      <w:b w:val="0"/>
                      <w:bCs w:val="0"/>
                      <w:szCs w:val="21"/>
                    </w:rPr>
                    <w:t>现状浓度</w:t>
                  </w:r>
                  <w:r>
                    <w:rPr>
                      <w:rFonts w:hint="default" w:ascii="Times New Roman" w:hAnsi="Times New Roman" w:cs="Times New Roman"/>
                      <w:b w:val="0"/>
                      <w:bCs w:val="0"/>
                    </w:rPr>
                    <w:t>（ug/m</w:t>
                  </w:r>
                  <w:r>
                    <w:rPr>
                      <w:rFonts w:hint="default" w:ascii="Times New Roman" w:hAnsi="Times New Roman" w:cs="Times New Roman"/>
                      <w:b w:val="0"/>
                      <w:bCs w:val="0"/>
                      <w:vertAlign w:val="superscript"/>
                    </w:rPr>
                    <w:t>3</w:t>
                  </w:r>
                  <w:r>
                    <w:rPr>
                      <w:rFonts w:hint="default" w:ascii="Times New Roman" w:hAnsi="Times New Roman" w:cs="Times New Roman"/>
                      <w:b w:val="0"/>
                      <w:bCs w:val="0"/>
                    </w:rPr>
                    <w:t>）</w:t>
                  </w:r>
                </w:p>
              </w:tc>
              <w:tc>
                <w:tcPr>
                  <w:tcW w:w="760" w:type="pct"/>
                  <w:vAlign w:val="center"/>
                </w:tcPr>
                <w:p w14:paraId="19C49D29">
                  <w:pPr>
                    <w:autoSpaceDE w:val="0"/>
                    <w:adjustRightInd w:val="0"/>
                    <w:snapToGrid w:val="0"/>
                    <w:spacing w:line="360" w:lineRule="exact"/>
                    <w:jc w:val="center"/>
                    <w:rPr>
                      <w:rFonts w:hint="default" w:ascii="Times New Roman" w:hAnsi="Times New Roman" w:eastAsia="宋体" w:cs="Times New Roman"/>
                      <w:b w:val="0"/>
                      <w:bCs w:val="0"/>
                      <w:szCs w:val="21"/>
                    </w:rPr>
                  </w:pPr>
                  <w:r>
                    <w:rPr>
                      <w:rFonts w:hint="default" w:ascii="Times New Roman" w:hAnsi="Times New Roman" w:eastAsia="宋体" w:cs="Times New Roman"/>
                      <w:b w:val="0"/>
                      <w:bCs w:val="0"/>
                      <w:szCs w:val="21"/>
                    </w:rPr>
                    <w:t>标准值</w:t>
                  </w:r>
                  <w:r>
                    <w:rPr>
                      <w:rFonts w:hint="default" w:ascii="Times New Roman" w:hAnsi="Times New Roman" w:cs="Times New Roman"/>
                      <w:b w:val="0"/>
                      <w:bCs w:val="0"/>
                    </w:rPr>
                    <w:t>（ug/m</w:t>
                  </w:r>
                  <w:r>
                    <w:rPr>
                      <w:rFonts w:hint="default" w:ascii="Times New Roman" w:hAnsi="Times New Roman" w:cs="Times New Roman"/>
                      <w:b w:val="0"/>
                      <w:bCs w:val="0"/>
                      <w:vertAlign w:val="superscript"/>
                    </w:rPr>
                    <w:t>3</w:t>
                  </w:r>
                  <w:r>
                    <w:rPr>
                      <w:rFonts w:hint="default" w:ascii="Times New Roman" w:hAnsi="Times New Roman" w:cs="Times New Roman"/>
                      <w:b w:val="0"/>
                      <w:bCs w:val="0"/>
                    </w:rPr>
                    <w:t>）</w:t>
                  </w:r>
                </w:p>
              </w:tc>
              <w:tc>
                <w:tcPr>
                  <w:tcW w:w="629" w:type="pct"/>
                  <w:vAlign w:val="center"/>
                </w:tcPr>
                <w:p w14:paraId="078D2897">
                  <w:pPr>
                    <w:autoSpaceDE w:val="0"/>
                    <w:adjustRightInd w:val="0"/>
                    <w:snapToGrid w:val="0"/>
                    <w:spacing w:line="360" w:lineRule="exact"/>
                    <w:jc w:val="center"/>
                    <w:rPr>
                      <w:rFonts w:hint="default" w:ascii="Times New Roman" w:hAnsi="Times New Roman" w:eastAsia="宋体" w:cs="Times New Roman"/>
                      <w:b w:val="0"/>
                      <w:bCs w:val="0"/>
                      <w:szCs w:val="21"/>
                    </w:rPr>
                  </w:pPr>
                  <w:r>
                    <w:rPr>
                      <w:rFonts w:hint="default" w:ascii="Times New Roman" w:hAnsi="Times New Roman" w:eastAsia="宋体" w:cs="Times New Roman"/>
                      <w:b w:val="0"/>
                      <w:bCs w:val="0"/>
                      <w:szCs w:val="21"/>
                    </w:rPr>
                    <w:t>占标率（%）</w:t>
                  </w:r>
                </w:p>
              </w:tc>
              <w:tc>
                <w:tcPr>
                  <w:tcW w:w="562" w:type="pct"/>
                  <w:vAlign w:val="center"/>
                </w:tcPr>
                <w:p w14:paraId="02D687B3">
                  <w:pPr>
                    <w:autoSpaceDE w:val="0"/>
                    <w:adjustRightInd w:val="0"/>
                    <w:snapToGrid w:val="0"/>
                    <w:spacing w:line="360" w:lineRule="exact"/>
                    <w:jc w:val="center"/>
                    <w:rPr>
                      <w:rFonts w:hint="default" w:ascii="Times New Roman" w:hAnsi="Times New Roman" w:eastAsia="宋体" w:cs="Times New Roman"/>
                      <w:b w:val="0"/>
                      <w:bCs w:val="0"/>
                      <w:szCs w:val="21"/>
                    </w:rPr>
                  </w:pPr>
                  <w:r>
                    <w:rPr>
                      <w:rFonts w:hint="default" w:ascii="Times New Roman" w:hAnsi="Times New Roman" w:eastAsia="宋体" w:cs="Times New Roman"/>
                      <w:b w:val="0"/>
                      <w:bCs w:val="0"/>
                      <w:szCs w:val="21"/>
                    </w:rPr>
                    <w:t>达标</w:t>
                  </w:r>
                </w:p>
                <w:p w14:paraId="51CFFCBD">
                  <w:pPr>
                    <w:autoSpaceDE w:val="0"/>
                    <w:adjustRightInd w:val="0"/>
                    <w:snapToGrid w:val="0"/>
                    <w:spacing w:line="360" w:lineRule="exact"/>
                    <w:jc w:val="center"/>
                    <w:rPr>
                      <w:rFonts w:hint="default" w:ascii="Times New Roman" w:hAnsi="Times New Roman" w:eastAsia="宋体" w:cs="Times New Roman"/>
                      <w:b w:val="0"/>
                      <w:bCs w:val="0"/>
                      <w:szCs w:val="21"/>
                    </w:rPr>
                  </w:pPr>
                  <w:r>
                    <w:rPr>
                      <w:rFonts w:hint="default" w:ascii="Times New Roman" w:hAnsi="Times New Roman" w:eastAsia="宋体" w:cs="Times New Roman"/>
                      <w:b w:val="0"/>
                      <w:bCs w:val="0"/>
                      <w:szCs w:val="21"/>
                    </w:rPr>
                    <w:t>情况</w:t>
                  </w:r>
                </w:p>
              </w:tc>
            </w:tr>
            <w:tr w14:paraId="678BA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pct"/>
                  <w:vAlign w:val="center"/>
                </w:tcPr>
                <w:p w14:paraId="7CB1A3E9">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cs="Times New Roman"/>
                    </w:rPr>
                    <w:t>SO</w:t>
                  </w:r>
                  <w:r>
                    <w:rPr>
                      <w:rFonts w:hint="default" w:ascii="Times New Roman" w:hAnsi="Times New Roman" w:cs="Times New Roman"/>
                      <w:vertAlign w:val="subscript"/>
                    </w:rPr>
                    <w:t>2</w:t>
                  </w:r>
                </w:p>
              </w:tc>
              <w:tc>
                <w:tcPr>
                  <w:tcW w:w="1712" w:type="pct"/>
                  <w:vAlign w:val="center"/>
                </w:tcPr>
                <w:p w14:paraId="1E9CEEBD">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rPr>
                    <w:t>年平均质量浓度</w:t>
                  </w:r>
                </w:p>
              </w:tc>
              <w:tc>
                <w:tcPr>
                  <w:tcW w:w="766" w:type="pct"/>
                  <w:vAlign w:val="center"/>
                </w:tcPr>
                <w:p w14:paraId="44A8F758">
                  <w:pPr>
                    <w:autoSpaceDE w:val="0"/>
                    <w:adjustRightInd w:val="0"/>
                    <w:snapToGrid w:val="0"/>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5</w:t>
                  </w:r>
                </w:p>
              </w:tc>
              <w:tc>
                <w:tcPr>
                  <w:tcW w:w="760" w:type="pct"/>
                  <w:vAlign w:val="center"/>
                </w:tcPr>
                <w:p w14:paraId="1E50B660">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rPr>
                    <w:t>60</w:t>
                  </w:r>
                </w:p>
              </w:tc>
              <w:tc>
                <w:tcPr>
                  <w:tcW w:w="629" w:type="pct"/>
                  <w:vAlign w:val="center"/>
                </w:tcPr>
                <w:p w14:paraId="5FFABE0A">
                  <w:pPr>
                    <w:autoSpaceDE w:val="0"/>
                    <w:adjustRightInd w:val="0"/>
                    <w:snapToGrid w:val="0"/>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8.3</w:t>
                  </w:r>
                </w:p>
              </w:tc>
              <w:tc>
                <w:tcPr>
                  <w:tcW w:w="562" w:type="pct"/>
                  <w:vAlign w:val="center"/>
                </w:tcPr>
                <w:p w14:paraId="5C055E9B">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rPr>
                    <w:t>达标</w:t>
                  </w:r>
                </w:p>
              </w:tc>
            </w:tr>
            <w:tr w14:paraId="2E401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pct"/>
                  <w:vAlign w:val="center"/>
                </w:tcPr>
                <w:p w14:paraId="7924EA28">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cs="Times New Roman"/>
                    </w:rPr>
                    <w:t>NO</w:t>
                  </w:r>
                  <w:r>
                    <w:rPr>
                      <w:rFonts w:hint="default" w:ascii="Times New Roman" w:hAnsi="Times New Roman" w:cs="Times New Roman"/>
                      <w:vertAlign w:val="subscript"/>
                    </w:rPr>
                    <w:t>2</w:t>
                  </w:r>
                </w:p>
              </w:tc>
              <w:tc>
                <w:tcPr>
                  <w:tcW w:w="1712" w:type="pct"/>
                  <w:vAlign w:val="center"/>
                </w:tcPr>
                <w:p w14:paraId="56080810">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rPr>
                    <w:t>年平均质量浓度</w:t>
                  </w:r>
                </w:p>
              </w:tc>
              <w:tc>
                <w:tcPr>
                  <w:tcW w:w="766" w:type="pct"/>
                  <w:vAlign w:val="center"/>
                </w:tcPr>
                <w:p w14:paraId="39834442">
                  <w:pPr>
                    <w:autoSpaceDE w:val="0"/>
                    <w:adjustRightInd w:val="0"/>
                    <w:snapToGrid w:val="0"/>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20</w:t>
                  </w:r>
                </w:p>
              </w:tc>
              <w:tc>
                <w:tcPr>
                  <w:tcW w:w="760" w:type="pct"/>
                  <w:vAlign w:val="center"/>
                </w:tcPr>
                <w:p w14:paraId="3D38A474">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rPr>
                    <w:t>40</w:t>
                  </w:r>
                </w:p>
              </w:tc>
              <w:tc>
                <w:tcPr>
                  <w:tcW w:w="629" w:type="pct"/>
                  <w:vAlign w:val="center"/>
                </w:tcPr>
                <w:p w14:paraId="2BB285F8">
                  <w:pPr>
                    <w:autoSpaceDE w:val="0"/>
                    <w:adjustRightInd w:val="0"/>
                    <w:snapToGrid w:val="0"/>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50</w:t>
                  </w:r>
                </w:p>
              </w:tc>
              <w:tc>
                <w:tcPr>
                  <w:tcW w:w="562" w:type="pct"/>
                  <w:vAlign w:val="center"/>
                </w:tcPr>
                <w:p w14:paraId="4C775631">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rPr>
                    <w:t>达标</w:t>
                  </w:r>
                </w:p>
              </w:tc>
            </w:tr>
            <w:tr w14:paraId="09683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pct"/>
                  <w:vAlign w:val="center"/>
                </w:tcPr>
                <w:p w14:paraId="411374E4">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cs="Times New Roman"/>
                    </w:rPr>
                    <w:t>PM</w:t>
                  </w:r>
                  <w:r>
                    <w:rPr>
                      <w:rFonts w:hint="default" w:ascii="Times New Roman" w:hAnsi="Times New Roman" w:cs="Times New Roman"/>
                      <w:vertAlign w:val="subscript"/>
                    </w:rPr>
                    <w:t>10</w:t>
                  </w:r>
                </w:p>
              </w:tc>
              <w:tc>
                <w:tcPr>
                  <w:tcW w:w="1712" w:type="pct"/>
                  <w:vAlign w:val="center"/>
                </w:tcPr>
                <w:p w14:paraId="370B7EA2">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rPr>
                    <w:t>年平均质量浓度</w:t>
                  </w:r>
                </w:p>
              </w:tc>
              <w:tc>
                <w:tcPr>
                  <w:tcW w:w="766" w:type="pct"/>
                  <w:vAlign w:val="center"/>
                </w:tcPr>
                <w:p w14:paraId="0A697553">
                  <w:pPr>
                    <w:autoSpaceDE w:val="0"/>
                    <w:adjustRightInd w:val="0"/>
                    <w:snapToGrid w:val="0"/>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47</w:t>
                  </w:r>
                </w:p>
              </w:tc>
              <w:tc>
                <w:tcPr>
                  <w:tcW w:w="760" w:type="pct"/>
                  <w:vAlign w:val="center"/>
                </w:tcPr>
                <w:p w14:paraId="1C9CC723">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rPr>
                    <w:t>70</w:t>
                  </w:r>
                </w:p>
              </w:tc>
              <w:tc>
                <w:tcPr>
                  <w:tcW w:w="629" w:type="pct"/>
                  <w:vAlign w:val="center"/>
                </w:tcPr>
                <w:p w14:paraId="23B30C43">
                  <w:pPr>
                    <w:autoSpaceDE w:val="0"/>
                    <w:adjustRightInd w:val="0"/>
                    <w:snapToGrid w:val="0"/>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67.1</w:t>
                  </w:r>
                </w:p>
              </w:tc>
              <w:tc>
                <w:tcPr>
                  <w:tcW w:w="562" w:type="pct"/>
                  <w:vAlign w:val="center"/>
                </w:tcPr>
                <w:p w14:paraId="3BC8E8A6">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rPr>
                    <w:t>达标</w:t>
                  </w:r>
                </w:p>
              </w:tc>
            </w:tr>
            <w:tr w14:paraId="5EA9E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pct"/>
                  <w:vAlign w:val="center"/>
                </w:tcPr>
                <w:p w14:paraId="11AF8036">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cs="Times New Roman"/>
                    </w:rPr>
                    <w:t>PM</w:t>
                  </w:r>
                  <w:r>
                    <w:rPr>
                      <w:rFonts w:hint="default" w:ascii="Times New Roman" w:hAnsi="Times New Roman" w:cs="Times New Roman"/>
                      <w:vertAlign w:val="subscript"/>
                    </w:rPr>
                    <w:t>2.5</w:t>
                  </w:r>
                </w:p>
              </w:tc>
              <w:tc>
                <w:tcPr>
                  <w:tcW w:w="1712" w:type="pct"/>
                  <w:vAlign w:val="center"/>
                </w:tcPr>
                <w:p w14:paraId="115F379F">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rPr>
                    <w:t>年平均质量浓度</w:t>
                  </w:r>
                </w:p>
              </w:tc>
              <w:tc>
                <w:tcPr>
                  <w:tcW w:w="766" w:type="pct"/>
                  <w:vAlign w:val="center"/>
                </w:tcPr>
                <w:p w14:paraId="11B8931A">
                  <w:pPr>
                    <w:autoSpaceDE w:val="0"/>
                    <w:adjustRightInd w:val="0"/>
                    <w:snapToGrid w:val="0"/>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31</w:t>
                  </w:r>
                </w:p>
              </w:tc>
              <w:tc>
                <w:tcPr>
                  <w:tcW w:w="760" w:type="pct"/>
                  <w:vAlign w:val="center"/>
                </w:tcPr>
                <w:p w14:paraId="066C4E54">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rPr>
                    <w:t>35</w:t>
                  </w:r>
                </w:p>
              </w:tc>
              <w:tc>
                <w:tcPr>
                  <w:tcW w:w="629" w:type="pct"/>
                  <w:vAlign w:val="center"/>
                </w:tcPr>
                <w:p w14:paraId="0A1830CE">
                  <w:pPr>
                    <w:autoSpaceDE w:val="0"/>
                    <w:adjustRightInd w:val="0"/>
                    <w:snapToGrid w:val="0"/>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88.6</w:t>
                  </w:r>
                </w:p>
              </w:tc>
              <w:tc>
                <w:tcPr>
                  <w:tcW w:w="562" w:type="pct"/>
                  <w:vAlign w:val="center"/>
                </w:tcPr>
                <w:p w14:paraId="2032EACB">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rPr>
                    <w:t>达标</w:t>
                  </w:r>
                </w:p>
              </w:tc>
            </w:tr>
            <w:tr w14:paraId="1E4CF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pct"/>
                  <w:vAlign w:val="center"/>
                </w:tcPr>
                <w:p w14:paraId="2B428D38">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cs="Times New Roman"/>
                    </w:rPr>
                    <w:t>CO</w:t>
                  </w:r>
                </w:p>
              </w:tc>
              <w:tc>
                <w:tcPr>
                  <w:tcW w:w="1712" w:type="pct"/>
                  <w:vAlign w:val="center"/>
                </w:tcPr>
                <w:p w14:paraId="1B86E5AE">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rPr>
                    <w:t>24小时平均第95百分位数质量浓度</w:t>
                  </w:r>
                </w:p>
              </w:tc>
              <w:tc>
                <w:tcPr>
                  <w:tcW w:w="766" w:type="pct"/>
                  <w:vAlign w:val="center"/>
                </w:tcPr>
                <w:p w14:paraId="5609C28A">
                  <w:pPr>
                    <w:autoSpaceDE w:val="0"/>
                    <w:adjustRightInd w:val="0"/>
                    <w:snapToGrid w:val="0"/>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1000</w:t>
                  </w:r>
                </w:p>
              </w:tc>
              <w:tc>
                <w:tcPr>
                  <w:tcW w:w="760" w:type="pct"/>
                  <w:vAlign w:val="center"/>
                </w:tcPr>
                <w:p w14:paraId="3601760F">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rPr>
                    <w:t>4000</w:t>
                  </w:r>
                </w:p>
              </w:tc>
              <w:tc>
                <w:tcPr>
                  <w:tcW w:w="629" w:type="pct"/>
                  <w:vAlign w:val="center"/>
                </w:tcPr>
                <w:p w14:paraId="54543E59">
                  <w:pPr>
                    <w:autoSpaceDE w:val="0"/>
                    <w:adjustRightInd w:val="0"/>
                    <w:snapToGrid w:val="0"/>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25</w:t>
                  </w:r>
                </w:p>
              </w:tc>
              <w:tc>
                <w:tcPr>
                  <w:tcW w:w="562" w:type="pct"/>
                  <w:vAlign w:val="center"/>
                </w:tcPr>
                <w:p w14:paraId="279D7215">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rPr>
                    <w:t>达标</w:t>
                  </w:r>
                </w:p>
              </w:tc>
            </w:tr>
            <w:tr w14:paraId="25C26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pct"/>
                  <w:vAlign w:val="center"/>
                </w:tcPr>
                <w:p w14:paraId="39BCF26C">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cs="Times New Roman"/>
                    </w:rPr>
                    <w:t>O</w:t>
                  </w:r>
                  <w:r>
                    <w:rPr>
                      <w:rFonts w:hint="default" w:ascii="Times New Roman" w:hAnsi="Times New Roman" w:cs="Times New Roman"/>
                      <w:vertAlign w:val="subscript"/>
                    </w:rPr>
                    <w:t>3</w:t>
                  </w:r>
                </w:p>
              </w:tc>
              <w:tc>
                <w:tcPr>
                  <w:tcW w:w="1712" w:type="pct"/>
                  <w:vAlign w:val="center"/>
                </w:tcPr>
                <w:p w14:paraId="3E805C26">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rPr>
                    <w:t>日最大8小时滑动平均值第90百分位数质量浓度</w:t>
                  </w:r>
                </w:p>
              </w:tc>
              <w:tc>
                <w:tcPr>
                  <w:tcW w:w="766" w:type="pct"/>
                  <w:vAlign w:val="center"/>
                </w:tcPr>
                <w:p w14:paraId="62B7FFE6">
                  <w:pPr>
                    <w:autoSpaceDE w:val="0"/>
                    <w:adjustRightInd w:val="0"/>
                    <w:snapToGrid w:val="0"/>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154</w:t>
                  </w:r>
                </w:p>
              </w:tc>
              <w:tc>
                <w:tcPr>
                  <w:tcW w:w="760" w:type="pct"/>
                  <w:vAlign w:val="center"/>
                </w:tcPr>
                <w:p w14:paraId="2EAE292A">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rPr>
                    <w:t>160</w:t>
                  </w:r>
                </w:p>
              </w:tc>
              <w:tc>
                <w:tcPr>
                  <w:tcW w:w="629" w:type="pct"/>
                  <w:vAlign w:val="center"/>
                </w:tcPr>
                <w:p w14:paraId="0B79305C">
                  <w:pPr>
                    <w:autoSpaceDE w:val="0"/>
                    <w:adjustRightInd w:val="0"/>
                    <w:snapToGrid w:val="0"/>
                    <w:spacing w:line="3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96.3</w:t>
                  </w:r>
                </w:p>
              </w:tc>
              <w:tc>
                <w:tcPr>
                  <w:tcW w:w="562" w:type="pct"/>
                  <w:vAlign w:val="center"/>
                </w:tcPr>
                <w:p w14:paraId="0290FF9A">
                  <w:pPr>
                    <w:autoSpaceDE w:val="0"/>
                    <w:adjustRightInd w:val="0"/>
                    <w:snapToGrid w:val="0"/>
                    <w:spacing w:line="360" w:lineRule="exact"/>
                    <w:jc w:val="center"/>
                    <w:rPr>
                      <w:rFonts w:hint="default" w:ascii="Times New Roman" w:hAnsi="Times New Roman" w:eastAsia="宋体" w:cs="Times New Roman"/>
                      <w:szCs w:val="21"/>
                    </w:rPr>
                  </w:pPr>
                  <w:r>
                    <w:rPr>
                      <w:rFonts w:hint="default" w:ascii="Times New Roman" w:hAnsi="Times New Roman" w:eastAsia="宋体" w:cs="Times New Roman"/>
                      <w:szCs w:val="21"/>
                    </w:rPr>
                    <w:t>达标</w:t>
                  </w:r>
                </w:p>
              </w:tc>
            </w:tr>
          </w:tbl>
          <w:p w14:paraId="5FF80CAC">
            <w:pPr>
              <w:keepNext w:val="0"/>
              <w:keepLines w:val="0"/>
              <w:pageBreakBefore w:val="0"/>
              <w:widowControl w:val="0"/>
              <w:numPr>
                <w:ilvl w:val="0"/>
                <w:numId w:val="0"/>
              </w:numPr>
              <w:kinsoku/>
              <w:wordWrap/>
              <w:overflowPunct/>
              <w:topLinePunct w:val="0"/>
              <w:autoSpaceDE w:val="0"/>
              <w:autoSpaceDN/>
              <w:bidi w:val="0"/>
              <w:adjustRightInd w:val="0"/>
              <w:snapToGrid/>
              <w:spacing w:line="360" w:lineRule="auto"/>
              <w:ind w:firstLine="480" w:firstLineChars="200"/>
              <w:textAlignment w:val="auto"/>
              <w:rPr>
                <w:rFonts w:hint="default" w:ascii="Times New Roman" w:hAnsi="Times New Roman" w:cs="Times New Roman"/>
                <w:sz w:val="24"/>
                <w:lang w:eastAsia="zh-CN"/>
              </w:rPr>
            </w:pPr>
            <w:r>
              <w:rPr>
                <w:rFonts w:hint="default" w:ascii="Times New Roman" w:hAnsi="Times New Roman" w:cs="Times New Roman"/>
                <w:sz w:val="24"/>
              </w:rPr>
              <w:t>由上表可知，202</w:t>
            </w:r>
            <w:r>
              <w:rPr>
                <w:rFonts w:hint="eastAsia" w:ascii="Times New Roman" w:hAnsi="Times New Roman" w:cs="Times New Roman"/>
                <w:sz w:val="24"/>
                <w:lang w:val="en-US" w:eastAsia="zh-CN"/>
              </w:rPr>
              <w:t>4</w:t>
            </w:r>
            <w:r>
              <w:rPr>
                <w:rFonts w:hint="default" w:ascii="Times New Roman" w:hAnsi="Times New Roman" w:cs="Times New Roman"/>
                <w:sz w:val="24"/>
              </w:rPr>
              <w:t>年</w:t>
            </w:r>
            <w:r>
              <w:rPr>
                <w:rFonts w:hint="eastAsia" w:ascii="Times New Roman" w:hAnsi="Times New Roman" w:cs="Times New Roman"/>
                <w:sz w:val="24"/>
                <w:lang w:val="en-US" w:eastAsia="zh-CN"/>
              </w:rPr>
              <w:t>池州</w:t>
            </w:r>
            <w:r>
              <w:rPr>
                <w:rFonts w:hint="default" w:ascii="Times New Roman" w:hAnsi="Times New Roman" w:cs="Times New Roman"/>
                <w:sz w:val="24"/>
              </w:rPr>
              <w:t>市环境空气中</w:t>
            </w:r>
            <w:r>
              <w:rPr>
                <w:rFonts w:hint="default" w:ascii="Times New Roman" w:hAnsi="Times New Roman" w:cs="Times New Roman"/>
              </w:rPr>
              <w:t>SO</w:t>
            </w:r>
            <w:r>
              <w:rPr>
                <w:rFonts w:hint="default" w:ascii="Times New Roman" w:hAnsi="Times New Roman" w:cs="Times New Roman"/>
                <w:vertAlign w:val="subscript"/>
              </w:rPr>
              <w:t>2</w:t>
            </w:r>
            <w:r>
              <w:rPr>
                <w:rFonts w:hint="default" w:ascii="Times New Roman" w:hAnsi="Times New Roman" w:cs="Times New Roman"/>
              </w:rPr>
              <w:t>、NO</w:t>
            </w:r>
            <w:r>
              <w:rPr>
                <w:rFonts w:hint="default" w:ascii="Times New Roman" w:hAnsi="Times New Roman" w:cs="Times New Roman"/>
                <w:vertAlign w:val="subscript"/>
              </w:rPr>
              <w:t>2</w:t>
            </w:r>
            <w:r>
              <w:rPr>
                <w:rFonts w:hint="default" w:ascii="Times New Roman" w:hAnsi="Times New Roman" w:cs="Times New Roman"/>
              </w:rPr>
              <w:t>、PM</w:t>
            </w:r>
            <w:r>
              <w:rPr>
                <w:rFonts w:hint="default" w:ascii="Times New Roman" w:hAnsi="Times New Roman" w:cs="Times New Roman"/>
                <w:vertAlign w:val="subscript"/>
              </w:rPr>
              <w:t>2.5</w:t>
            </w:r>
            <w:r>
              <w:rPr>
                <w:rFonts w:hint="default" w:ascii="Times New Roman" w:hAnsi="Times New Roman" w:cs="Times New Roman"/>
              </w:rPr>
              <w:t>、PM</w:t>
            </w:r>
            <w:r>
              <w:rPr>
                <w:rFonts w:hint="default" w:ascii="Times New Roman" w:hAnsi="Times New Roman" w:cs="Times New Roman"/>
                <w:vertAlign w:val="subscript"/>
              </w:rPr>
              <w:t>10</w:t>
            </w:r>
            <w:r>
              <w:rPr>
                <w:rFonts w:hint="default" w:ascii="Times New Roman" w:hAnsi="Times New Roman" w:cs="Times New Roman"/>
              </w:rPr>
              <w:t>、CO和O</w:t>
            </w:r>
            <w:r>
              <w:rPr>
                <w:rFonts w:hint="default" w:ascii="Times New Roman" w:hAnsi="Times New Roman" w:cs="Times New Roman"/>
                <w:vertAlign w:val="subscript"/>
              </w:rPr>
              <w:t>3</w:t>
            </w:r>
            <w:r>
              <w:rPr>
                <w:rFonts w:hint="default" w:ascii="Times New Roman" w:hAnsi="Times New Roman" w:cs="Times New Roman"/>
                <w:sz w:val="24"/>
              </w:rPr>
              <w:t>均能够满足《环境空气质量标准》</w:t>
            </w:r>
            <w:r>
              <w:rPr>
                <w:rFonts w:hint="eastAsia" w:ascii="Times New Roman" w:hAnsi="Times New Roman" w:cs="Times New Roman"/>
                <w:sz w:val="24"/>
                <w:lang w:eastAsia="zh-CN"/>
              </w:rPr>
              <w:t>（</w:t>
            </w:r>
            <w:r>
              <w:rPr>
                <w:rFonts w:hint="default" w:ascii="Times New Roman" w:hAnsi="Times New Roman" w:cs="Times New Roman"/>
                <w:sz w:val="24"/>
              </w:rPr>
              <w:t>GB3095-2012</w:t>
            </w:r>
            <w:r>
              <w:rPr>
                <w:rFonts w:hint="eastAsia" w:ascii="Times New Roman" w:hAnsi="Times New Roman" w:cs="Times New Roman"/>
                <w:sz w:val="24"/>
                <w:lang w:eastAsia="zh-CN"/>
              </w:rPr>
              <w:t>）</w:t>
            </w:r>
            <w:r>
              <w:rPr>
                <w:rFonts w:hint="default" w:ascii="Times New Roman" w:hAnsi="Times New Roman" w:cs="Times New Roman"/>
                <w:sz w:val="24"/>
              </w:rPr>
              <w:t>中的二级标准限值要求。因此，判定项目所在区域环境空气质量为达标区。</w:t>
            </w:r>
          </w:p>
          <w:p w14:paraId="6B17E950">
            <w:pPr>
              <w:keepNext w:val="0"/>
              <w:keepLines w:val="0"/>
              <w:pageBreakBefore w:val="0"/>
              <w:widowControl w:val="0"/>
              <w:numPr>
                <w:ilvl w:val="0"/>
                <w:numId w:val="0"/>
              </w:numPr>
              <w:kinsoku/>
              <w:wordWrap/>
              <w:overflowPunct/>
              <w:topLinePunct w:val="0"/>
              <w:autoSpaceDE w:val="0"/>
              <w:autoSpaceDN/>
              <w:bidi w:val="0"/>
              <w:adjustRightInd w:val="0"/>
              <w:snapToGrid/>
              <w:spacing w:line="360" w:lineRule="auto"/>
              <w:ind w:firstLine="480" w:firstLineChars="200"/>
              <w:textAlignment w:val="auto"/>
              <w:rPr>
                <w:rFonts w:hint="default" w:ascii="Times New Roman" w:hAnsi="Times New Roman" w:cs="Times New Roman"/>
                <w:sz w:val="24"/>
                <w:highlight w:val="yellow"/>
                <w:lang w:eastAsia="zh-CN"/>
              </w:rPr>
            </w:pPr>
            <w:r>
              <w:rPr>
                <w:rFonts w:hint="eastAsia" w:ascii="Times New Roman" w:hAnsi="Times New Roman" w:cs="Times New Roman"/>
                <w:sz w:val="24"/>
                <w:highlight w:val="none"/>
                <w:lang w:eastAsia="zh-CN"/>
              </w:rPr>
              <w:t>（</w:t>
            </w:r>
            <w:r>
              <w:rPr>
                <w:rFonts w:hint="eastAsia" w:ascii="Times New Roman" w:hAnsi="Times New Roman" w:cs="Times New Roman"/>
                <w:sz w:val="24"/>
                <w:highlight w:val="none"/>
                <w:lang w:val="en-US" w:eastAsia="zh-CN"/>
              </w:rPr>
              <w:t>2</w:t>
            </w:r>
            <w:r>
              <w:rPr>
                <w:rFonts w:hint="eastAsia" w:ascii="Times New Roman" w:hAnsi="Times New Roman" w:cs="Times New Roman"/>
                <w:sz w:val="24"/>
                <w:highlight w:val="none"/>
                <w:lang w:eastAsia="zh-CN"/>
              </w:rPr>
              <w:t>）</w:t>
            </w:r>
            <w:r>
              <w:rPr>
                <w:rFonts w:hint="default" w:ascii="Times New Roman" w:hAnsi="Times New Roman" w:cs="Times New Roman"/>
                <w:sz w:val="24"/>
                <w:highlight w:val="none"/>
                <w:lang w:eastAsia="zh-CN"/>
              </w:rPr>
              <w:t>特征污染物环境质量现状</w:t>
            </w:r>
          </w:p>
          <w:p w14:paraId="78799AD1">
            <w:pPr>
              <w:keepNext w:val="0"/>
              <w:keepLines w:val="0"/>
              <w:pageBreakBefore w:val="0"/>
              <w:widowControl w:val="0"/>
              <w:numPr>
                <w:ilvl w:val="0"/>
                <w:numId w:val="0"/>
              </w:numPr>
              <w:kinsoku/>
              <w:wordWrap/>
              <w:overflowPunct/>
              <w:topLinePunct w:val="0"/>
              <w:autoSpaceDE w:val="0"/>
              <w:autoSpaceDN/>
              <w:bidi w:val="0"/>
              <w:adjustRightInd w:val="0"/>
              <w:snapToGrid/>
              <w:spacing w:line="360" w:lineRule="auto"/>
              <w:ind w:firstLine="480" w:firstLineChars="200"/>
              <w:textAlignment w:val="auto"/>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根据《建设项目环境影响报告表编制技术指南（污染影响类）》（试行），排放国家、地方环境空气质量标准中有标准限值要求的特征污染物时，引用建设项目周边5km范围内近3年的现有监测数据，无相关数据的选择当季主导风向下风向1个点位补充不少于3天的监测数据。</w:t>
            </w:r>
          </w:p>
          <w:p w14:paraId="4DC66F33">
            <w:pPr>
              <w:keepNext w:val="0"/>
              <w:keepLines w:val="0"/>
              <w:pageBreakBefore w:val="0"/>
              <w:widowControl w:val="0"/>
              <w:numPr>
                <w:ilvl w:val="0"/>
                <w:numId w:val="0"/>
              </w:numPr>
              <w:kinsoku/>
              <w:wordWrap/>
              <w:overflowPunct/>
              <w:topLinePunct w:val="0"/>
              <w:autoSpaceDE w:val="0"/>
              <w:autoSpaceDN/>
              <w:bidi w:val="0"/>
              <w:adjustRightInd w:val="0"/>
              <w:snapToGrid/>
              <w:spacing w:line="360" w:lineRule="auto"/>
              <w:ind w:firstLine="480" w:firstLineChars="200"/>
              <w:textAlignment w:val="auto"/>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本次评价TSP现状浓度引用《安徽华航电子科技有限公司智能终端研发生产基地项目环境影响报告表》中的现状监测数据（安徽绿健检测技术服务有限公司于2023年8月7日~8月9日进行监测），孵化园公租房监测点位于本项目区西侧约790m。具体监测内容如下：</w:t>
            </w:r>
          </w:p>
          <w:p w14:paraId="08530F39">
            <w:pPr>
              <w:keepNext w:val="0"/>
              <w:keepLines w:val="0"/>
              <w:pageBreakBefore w:val="0"/>
              <w:widowControl w:val="0"/>
              <w:numPr>
                <w:ilvl w:val="0"/>
                <w:numId w:val="0"/>
              </w:numPr>
              <w:kinsoku/>
              <w:wordWrap/>
              <w:overflowPunct/>
              <w:topLinePunct w:val="0"/>
              <w:autoSpaceDE w:val="0"/>
              <w:autoSpaceDN/>
              <w:bidi w:val="0"/>
              <w:adjustRightInd w:val="0"/>
              <w:snapToGrid/>
              <w:spacing w:line="360" w:lineRule="auto"/>
              <w:ind w:firstLine="480" w:firstLineChars="200"/>
              <w:textAlignment w:val="auto"/>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①监测因子：TSP。</w:t>
            </w:r>
          </w:p>
          <w:p w14:paraId="7E8704E0">
            <w:pPr>
              <w:keepNext w:val="0"/>
              <w:keepLines w:val="0"/>
              <w:pageBreakBefore w:val="0"/>
              <w:widowControl w:val="0"/>
              <w:numPr>
                <w:ilvl w:val="0"/>
                <w:numId w:val="0"/>
              </w:numPr>
              <w:kinsoku/>
              <w:wordWrap/>
              <w:overflowPunct/>
              <w:topLinePunct w:val="0"/>
              <w:autoSpaceDE w:val="0"/>
              <w:autoSpaceDN/>
              <w:bidi w:val="0"/>
              <w:adjustRightInd w:val="0"/>
              <w:snapToGrid/>
              <w:spacing w:line="360" w:lineRule="auto"/>
              <w:ind w:firstLine="480" w:firstLineChars="200"/>
              <w:textAlignment w:val="auto"/>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②监测时间和频次：2023年8月7日~2023年8月9日，连续监测3天。</w:t>
            </w:r>
          </w:p>
          <w:p w14:paraId="68EB8B75">
            <w:pPr>
              <w:keepNext w:val="0"/>
              <w:keepLines w:val="0"/>
              <w:pageBreakBefore w:val="0"/>
              <w:widowControl w:val="0"/>
              <w:numPr>
                <w:ilvl w:val="0"/>
                <w:numId w:val="0"/>
              </w:numPr>
              <w:kinsoku/>
              <w:wordWrap/>
              <w:overflowPunct/>
              <w:topLinePunct w:val="0"/>
              <w:autoSpaceDE w:val="0"/>
              <w:autoSpaceDN/>
              <w:bidi w:val="0"/>
              <w:adjustRightInd w:val="0"/>
              <w:snapToGrid/>
              <w:spacing w:line="360" w:lineRule="auto"/>
              <w:ind w:firstLine="480" w:firstLineChars="200"/>
              <w:textAlignment w:val="auto"/>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③监测点位：孵化园公租房。</w:t>
            </w:r>
          </w:p>
          <w:p w14:paraId="16F40EB1">
            <w:pPr>
              <w:keepNext w:val="0"/>
              <w:keepLines w:val="0"/>
              <w:pageBreakBefore w:val="0"/>
              <w:widowControl w:val="0"/>
              <w:numPr>
                <w:ilvl w:val="0"/>
                <w:numId w:val="0"/>
              </w:numPr>
              <w:kinsoku/>
              <w:wordWrap/>
              <w:overflowPunct/>
              <w:topLinePunct w:val="0"/>
              <w:autoSpaceDE w:val="0"/>
              <w:autoSpaceDN/>
              <w:bidi w:val="0"/>
              <w:adjustRightInd w:val="0"/>
              <w:snapToGrid/>
              <w:spacing w:line="360" w:lineRule="auto"/>
              <w:ind w:firstLine="480" w:firstLineChars="200"/>
              <w:textAlignment w:val="auto"/>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监测点分布见下表及下图。</w:t>
            </w:r>
          </w:p>
          <w:p w14:paraId="35BB032D">
            <w:pPr>
              <w:keepNext w:val="0"/>
              <w:keepLines w:val="0"/>
              <w:pageBreakBefore w:val="0"/>
              <w:widowControl w:val="0"/>
              <w:numPr>
                <w:ilvl w:val="0"/>
                <w:numId w:val="0"/>
              </w:numPr>
              <w:kinsoku/>
              <w:wordWrap/>
              <w:overflowPunct/>
              <w:topLinePunct w:val="0"/>
              <w:autoSpaceDE w:val="0"/>
              <w:autoSpaceDN/>
              <w:bidi w:val="0"/>
              <w:adjustRightInd w:val="0"/>
              <w:snapToGrid/>
              <w:spacing w:line="360" w:lineRule="auto"/>
              <w:jc w:val="center"/>
              <w:textAlignment w:val="auto"/>
              <w:rPr>
                <w:rFonts w:hint="default" w:ascii="Times New Roman" w:hAnsi="Times New Roman" w:eastAsia="黑体" w:cs="Times New Roman"/>
                <w:sz w:val="21"/>
                <w:szCs w:val="21"/>
                <w:lang w:val="en-US" w:eastAsia="zh-CN"/>
              </w:rPr>
            </w:pPr>
            <w:r>
              <w:rPr>
                <w:rFonts w:hint="default" w:ascii="Times New Roman" w:hAnsi="Times New Roman" w:eastAsia="黑体" w:cs="Times New Roman"/>
                <w:sz w:val="21"/>
                <w:szCs w:val="21"/>
                <w:lang w:val="en-US" w:eastAsia="zh-CN"/>
              </w:rPr>
              <w:t xml:space="preserve">表3-2 </w:t>
            </w:r>
            <w:r>
              <w:rPr>
                <w:rFonts w:hint="eastAsia" w:ascii="Times New Roman" w:hAnsi="Times New Roman" w:eastAsia="黑体" w:cs="Times New Roman"/>
                <w:sz w:val="21"/>
                <w:szCs w:val="21"/>
                <w:lang w:val="en-US" w:eastAsia="zh-CN"/>
              </w:rPr>
              <w:t>引用项目</w:t>
            </w:r>
            <w:r>
              <w:rPr>
                <w:rFonts w:hint="default" w:ascii="Times New Roman" w:hAnsi="Times New Roman" w:eastAsia="黑体" w:cs="Times New Roman"/>
                <w:sz w:val="21"/>
                <w:szCs w:val="21"/>
                <w:lang w:val="en-US" w:eastAsia="zh-CN"/>
              </w:rPr>
              <w:t>大气环境监测点</w:t>
            </w:r>
            <w:r>
              <w:rPr>
                <w:rFonts w:hint="eastAsia" w:ascii="Times New Roman" w:hAnsi="Times New Roman" w:eastAsia="黑体" w:cs="Times New Roman"/>
                <w:sz w:val="21"/>
                <w:szCs w:val="21"/>
                <w:lang w:val="en-US" w:eastAsia="zh-CN"/>
              </w:rPr>
              <w:t>与本项目位置一览</w:t>
            </w:r>
            <w:r>
              <w:rPr>
                <w:rFonts w:hint="default" w:ascii="Times New Roman" w:hAnsi="Times New Roman" w:eastAsia="黑体" w:cs="Times New Roman"/>
                <w:sz w:val="21"/>
                <w:szCs w:val="21"/>
                <w:lang w:val="en-US" w:eastAsia="zh-CN"/>
              </w:rPr>
              <w:t>表</w:t>
            </w:r>
          </w:p>
          <w:tbl>
            <w:tblPr>
              <w:tblStyle w:val="24"/>
              <w:tblW w:w="5000"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2039"/>
              <w:gridCol w:w="2040"/>
              <w:gridCol w:w="2040"/>
              <w:gridCol w:w="2040"/>
            </w:tblGrid>
            <w:tr w14:paraId="37CE696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1250" w:type="pct"/>
                  <w:noWrap w:val="0"/>
                  <w:tcMar>
                    <w:left w:w="0" w:type="dxa"/>
                    <w:right w:w="0" w:type="dxa"/>
                  </w:tcMar>
                  <w:vAlign w:val="center"/>
                </w:tcPr>
                <w:p w14:paraId="0570D38A">
                  <w:pPr>
                    <w:pStyle w:val="44"/>
                    <w:keepNext w:val="0"/>
                    <w:keepLines w:val="0"/>
                    <w:pageBreakBefore w:val="0"/>
                    <w:widowControl w:val="0"/>
                    <w:kinsoku/>
                    <w:wordWrap/>
                    <w:overflowPunct/>
                    <w:topLinePunct w:val="0"/>
                    <w:bidi w:val="0"/>
                    <w:adjustRightInd w:val="0"/>
                    <w:snapToGrid w:val="0"/>
                    <w:textAlignment w:val="auto"/>
                    <w:rPr>
                      <w:rFonts w:hint="default" w:ascii="Times New Roman" w:hAnsi="Times New Roman" w:eastAsia="宋体" w:cs="Times New Roman"/>
                      <w:b w:val="0"/>
                      <w:bCs/>
                    </w:rPr>
                  </w:pPr>
                  <w:r>
                    <w:rPr>
                      <w:rFonts w:hint="default" w:ascii="Times New Roman" w:hAnsi="Times New Roman" w:eastAsia="宋体" w:cs="Times New Roman"/>
                      <w:b w:val="0"/>
                      <w:bCs/>
                    </w:rPr>
                    <w:t>点位编号</w:t>
                  </w:r>
                </w:p>
              </w:tc>
              <w:tc>
                <w:tcPr>
                  <w:tcW w:w="1250" w:type="pct"/>
                  <w:noWrap w:val="0"/>
                  <w:tcMar>
                    <w:left w:w="0" w:type="dxa"/>
                    <w:right w:w="0" w:type="dxa"/>
                  </w:tcMar>
                  <w:vAlign w:val="center"/>
                </w:tcPr>
                <w:p w14:paraId="6D893F0F">
                  <w:pPr>
                    <w:pStyle w:val="44"/>
                    <w:keepNext w:val="0"/>
                    <w:keepLines w:val="0"/>
                    <w:pageBreakBefore w:val="0"/>
                    <w:widowControl w:val="0"/>
                    <w:kinsoku/>
                    <w:wordWrap/>
                    <w:overflowPunct/>
                    <w:topLinePunct w:val="0"/>
                    <w:bidi w:val="0"/>
                    <w:adjustRightInd w:val="0"/>
                    <w:snapToGrid w:val="0"/>
                    <w:textAlignment w:val="auto"/>
                    <w:rPr>
                      <w:rFonts w:hint="default" w:ascii="Times New Roman" w:hAnsi="Times New Roman" w:eastAsia="宋体" w:cs="Times New Roman"/>
                      <w:b w:val="0"/>
                      <w:bCs/>
                    </w:rPr>
                  </w:pPr>
                  <w:r>
                    <w:rPr>
                      <w:rFonts w:hint="default" w:ascii="Times New Roman" w:hAnsi="Times New Roman" w:eastAsia="宋体" w:cs="Times New Roman"/>
                      <w:b w:val="0"/>
                      <w:bCs/>
                    </w:rPr>
                    <w:t>名称</w:t>
                  </w:r>
                </w:p>
              </w:tc>
              <w:tc>
                <w:tcPr>
                  <w:tcW w:w="1250" w:type="pct"/>
                  <w:noWrap w:val="0"/>
                  <w:tcMar>
                    <w:left w:w="0" w:type="dxa"/>
                    <w:right w:w="0" w:type="dxa"/>
                  </w:tcMar>
                  <w:vAlign w:val="center"/>
                </w:tcPr>
                <w:p w14:paraId="601A30B6">
                  <w:pPr>
                    <w:pStyle w:val="44"/>
                    <w:keepNext w:val="0"/>
                    <w:keepLines w:val="0"/>
                    <w:pageBreakBefore w:val="0"/>
                    <w:widowControl w:val="0"/>
                    <w:kinsoku/>
                    <w:wordWrap/>
                    <w:overflowPunct/>
                    <w:topLinePunct w:val="0"/>
                    <w:bidi w:val="0"/>
                    <w:adjustRightInd w:val="0"/>
                    <w:snapToGrid w:val="0"/>
                    <w:textAlignment w:val="auto"/>
                    <w:rPr>
                      <w:rFonts w:hint="default" w:ascii="Times New Roman" w:hAnsi="Times New Roman" w:eastAsia="宋体" w:cs="Times New Roman"/>
                      <w:b w:val="0"/>
                      <w:bCs/>
                      <w:lang w:val="en-US" w:eastAsia="zh-CN"/>
                    </w:rPr>
                  </w:pPr>
                  <w:r>
                    <w:rPr>
                      <w:rFonts w:hint="default" w:ascii="Times New Roman" w:hAnsi="Times New Roman" w:eastAsia="宋体" w:cs="Times New Roman"/>
                      <w:b w:val="0"/>
                      <w:bCs/>
                    </w:rPr>
                    <w:t>相对</w:t>
                  </w:r>
                  <w:r>
                    <w:rPr>
                      <w:rFonts w:hint="default" w:ascii="Times New Roman" w:hAnsi="Times New Roman" w:eastAsia="宋体" w:cs="Times New Roman"/>
                      <w:b w:val="0"/>
                      <w:bCs/>
                      <w:lang w:val="en-US" w:eastAsia="zh-CN"/>
                    </w:rPr>
                    <w:t>厂址方位</w:t>
                  </w:r>
                </w:p>
              </w:tc>
              <w:tc>
                <w:tcPr>
                  <w:tcW w:w="1250" w:type="pct"/>
                  <w:noWrap w:val="0"/>
                  <w:tcMar>
                    <w:left w:w="0" w:type="dxa"/>
                    <w:right w:w="0" w:type="dxa"/>
                  </w:tcMar>
                  <w:vAlign w:val="center"/>
                </w:tcPr>
                <w:p w14:paraId="3ADEC6FC">
                  <w:pPr>
                    <w:pStyle w:val="44"/>
                    <w:keepNext w:val="0"/>
                    <w:keepLines w:val="0"/>
                    <w:pageBreakBefore w:val="0"/>
                    <w:widowControl w:val="0"/>
                    <w:kinsoku/>
                    <w:wordWrap/>
                    <w:overflowPunct/>
                    <w:topLinePunct w:val="0"/>
                    <w:bidi w:val="0"/>
                    <w:adjustRightInd w:val="0"/>
                    <w:snapToGrid w:val="0"/>
                    <w:textAlignment w:val="auto"/>
                    <w:rPr>
                      <w:rFonts w:hint="default" w:ascii="Times New Roman" w:hAnsi="Times New Roman" w:eastAsia="宋体" w:cs="Times New Roman"/>
                      <w:b w:val="0"/>
                      <w:bCs/>
                    </w:rPr>
                  </w:pPr>
                  <w:r>
                    <w:rPr>
                      <w:rFonts w:hint="default" w:ascii="Times New Roman" w:hAnsi="Times New Roman" w:eastAsia="宋体" w:cs="Times New Roman"/>
                      <w:b w:val="0"/>
                      <w:bCs/>
                    </w:rPr>
                    <w:t>距离（m）</w:t>
                  </w:r>
                </w:p>
              </w:tc>
            </w:tr>
            <w:tr w14:paraId="58370F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1250" w:type="pct"/>
                  <w:noWrap w:val="0"/>
                  <w:tcMar>
                    <w:left w:w="0" w:type="dxa"/>
                    <w:right w:w="0" w:type="dxa"/>
                  </w:tcMar>
                  <w:vAlign w:val="center"/>
                </w:tcPr>
                <w:p w14:paraId="4DF51119">
                  <w:pPr>
                    <w:pStyle w:val="44"/>
                    <w:keepNext w:val="0"/>
                    <w:keepLines w:val="0"/>
                    <w:pageBreakBefore w:val="0"/>
                    <w:widowControl w:val="0"/>
                    <w:kinsoku/>
                    <w:wordWrap/>
                    <w:overflowPunct/>
                    <w:topLinePunct w:val="0"/>
                    <w:bidi w:val="0"/>
                    <w:adjustRightInd w:val="0"/>
                    <w:snapToGrid w:val="0"/>
                    <w:textAlignment w:val="auto"/>
                    <w:rPr>
                      <w:rFonts w:hint="default" w:ascii="Times New Roman" w:hAnsi="Times New Roman" w:eastAsia="宋体" w:cs="Times New Roman"/>
                      <w:b w:val="0"/>
                      <w:bCs/>
                    </w:rPr>
                  </w:pPr>
                  <w:r>
                    <w:rPr>
                      <w:rFonts w:hint="default" w:ascii="Times New Roman" w:hAnsi="Times New Roman" w:eastAsia="宋体" w:cs="Times New Roman"/>
                      <w:b w:val="0"/>
                      <w:bCs/>
                    </w:rPr>
                    <w:t>G1</w:t>
                  </w:r>
                </w:p>
              </w:tc>
              <w:tc>
                <w:tcPr>
                  <w:tcW w:w="1250" w:type="pct"/>
                  <w:noWrap w:val="0"/>
                  <w:tcMar>
                    <w:left w:w="0" w:type="dxa"/>
                    <w:right w:w="0" w:type="dxa"/>
                  </w:tcMar>
                  <w:vAlign w:val="center"/>
                </w:tcPr>
                <w:p w14:paraId="3815E39B">
                  <w:pPr>
                    <w:pStyle w:val="44"/>
                    <w:keepNext w:val="0"/>
                    <w:keepLines w:val="0"/>
                    <w:pageBreakBefore w:val="0"/>
                    <w:widowControl w:val="0"/>
                    <w:kinsoku/>
                    <w:wordWrap/>
                    <w:overflowPunct/>
                    <w:topLinePunct w:val="0"/>
                    <w:bidi w:val="0"/>
                    <w:adjustRightInd w:val="0"/>
                    <w:snapToGrid w:val="0"/>
                    <w:textAlignment w:val="auto"/>
                    <w:rPr>
                      <w:rFonts w:hint="default" w:ascii="Times New Roman" w:hAnsi="Times New Roman" w:eastAsia="宋体" w:cs="Times New Roman"/>
                      <w:b w:val="0"/>
                      <w:bCs/>
                      <w:lang w:val="en-US" w:eastAsia="zh-CN"/>
                    </w:rPr>
                  </w:pPr>
                  <w:r>
                    <w:rPr>
                      <w:rFonts w:hint="default" w:ascii="Times New Roman" w:hAnsi="Times New Roman" w:eastAsia="宋体" w:cs="Times New Roman"/>
                      <w:b w:val="0"/>
                      <w:bCs/>
                      <w:spacing w:val="-1"/>
                      <w:sz w:val="21"/>
                      <w:szCs w:val="21"/>
                    </w:rPr>
                    <w:t>孵化园公租房</w:t>
                  </w:r>
                </w:p>
              </w:tc>
              <w:tc>
                <w:tcPr>
                  <w:tcW w:w="1250" w:type="pct"/>
                  <w:noWrap w:val="0"/>
                  <w:tcMar>
                    <w:left w:w="0" w:type="dxa"/>
                    <w:right w:w="0" w:type="dxa"/>
                  </w:tcMar>
                  <w:vAlign w:val="center"/>
                </w:tcPr>
                <w:p w14:paraId="7E8471FB">
                  <w:pPr>
                    <w:pStyle w:val="44"/>
                    <w:keepNext w:val="0"/>
                    <w:keepLines w:val="0"/>
                    <w:pageBreakBefore w:val="0"/>
                    <w:widowControl w:val="0"/>
                    <w:kinsoku/>
                    <w:wordWrap/>
                    <w:overflowPunct/>
                    <w:topLinePunct w:val="0"/>
                    <w:bidi w:val="0"/>
                    <w:adjustRightInd w:val="0"/>
                    <w:snapToGrid w:val="0"/>
                    <w:textAlignment w:val="auto"/>
                    <w:rPr>
                      <w:rFonts w:hint="default" w:ascii="Times New Roman" w:hAnsi="Times New Roman" w:eastAsia="宋体" w:cs="Times New Roman"/>
                      <w:b w:val="0"/>
                      <w:bCs/>
                      <w:lang w:val="en-US" w:eastAsia="zh-CN"/>
                    </w:rPr>
                  </w:pPr>
                  <w:r>
                    <w:rPr>
                      <w:rFonts w:hint="default" w:ascii="Times New Roman" w:hAnsi="Times New Roman" w:eastAsia="宋体" w:cs="Times New Roman"/>
                      <w:b w:val="0"/>
                      <w:bCs/>
                      <w:lang w:val="en-US" w:eastAsia="zh-CN"/>
                    </w:rPr>
                    <w:t>W</w:t>
                  </w:r>
                </w:p>
              </w:tc>
              <w:tc>
                <w:tcPr>
                  <w:tcW w:w="1250" w:type="pct"/>
                  <w:noWrap w:val="0"/>
                  <w:tcMar>
                    <w:left w:w="0" w:type="dxa"/>
                    <w:right w:w="0" w:type="dxa"/>
                  </w:tcMar>
                  <w:vAlign w:val="center"/>
                </w:tcPr>
                <w:p w14:paraId="6021E732">
                  <w:pPr>
                    <w:pStyle w:val="44"/>
                    <w:keepNext w:val="0"/>
                    <w:keepLines w:val="0"/>
                    <w:pageBreakBefore w:val="0"/>
                    <w:widowControl w:val="0"/>
                    <w:kinsoku/>
                    <w:wordWrap/>
                    <w:overflowPunct/>
                    <w:topLinePunct w:val="0"/>
                    <w:bidi w:val="0"/>
                    <w:adjustRightInd w:val="0"/>
                    <w:snapToGrid w:val="0"/>
                    <w:textAlignment w:val="auto"/>
                    <w:rPr>
                      <w:rFonts w:hint="default" w:ascii="Times New Roman" w:hAnsi="Times New Roman" w:eastAsia="宋体" w:cs="Times New Roman"/>
                      <w:b w:val="0"/>
                      <w:bCs/>
                      <w:lang w:val="en-US" w:eastAsia="zh-CN"/>
                    </w:rPr>
                  </w:pPr>
                  <w:r>
                    <w:rPr>
                      <w:rFonts w:hint="eastAsia" w:ascii="Times New Roman" w:hAnsi="Times New Roman" w:eastAsia="宋体" w:cs="Times New Roman"/>
                      <w:b w:val="0"/>
                      <w:bCs/>
                      <w:lang w:val="en-US" w:eastAsia="zh-CN"/>
                    </w:rPr>
                    <w:t>790</w:t>
                  </w:r>
                </w:p>
              </w:tc>
            </w:tr>
          </w:tbl>
          <w:p w14:paraId="1DE51BD9">
            <w:pPr>
              <w:keepNext w:val="0"/>
              <w:keepLines w:val="0"/>
              <w:pageBreakBefore w:val="0"/>
              <w:widowControl w:val="0"/>
              <w:numPr>
                <w:ilvl w:val="0"/>
                <w:numId w:val="0"/>
              </w:numPr>
              <w:kinsoku/>
              <w:wordWrap/>
              <w:overflowPunct/>
              <w:topLinePunct w:val="0"/>
              <w:autoSpaceDE w:val="0"/>
              <w:autoSpaceDN/>
              <w:bidi w:val="0"/>
              <w:adjustRightInd w:val="0"/>
              <w:snapToGrid/>
              <w:spacing w:line="360" w:lineRule="auto"/>
              <w:textAlignment w:val="auto"/>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drawing>
                <wp:inline distT="0" distB="0" distL="114300" distR="114300">
                  <wp:extent cx="5160645" cy="2843530"/>
                  <wp:effectExtent l="0" t="0" r="1905" b="13970"/>
                  <wp:docPr id="36" name="图片 36" descr="微信截图_2025072417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微信截图_20250724171740"/>
                          <pic:cNvPicPr>
                            <a:picLocks noChangeAspect="1"/>
                          </pic:cNvPicPr>
                        </pic:nvPicPr>
                        <pic:blipFill>
                          <a:blip r:embed="rId9"/>
                          <a:stretch>
                            <a:fillRect/>
                          </a:stretch>
                        </pic:blipFill>
                        <pic:spPr>
                          <a:xfrm>
                            <a:off x="0" y="0"/>
                            <a:ext cx="5160645" cy="2843530"/>
                          </a:xfrm>
                          <a:prstGeom prst="rect">
                            <a:avLst/>
                          </a:prstGeom>
                        </pic:spPr>
                      </pic:pic>
                    </a:graphicData>
                  </a:graphic>
                </wp:inline>
              </w:drawing>
            </w:r>
          </w:p>
          <w:p w14:paraId="11FFB73C">
            <w:pPr>
              <w:keepNext w:val="0"/>
              <w:keepLines w:val="0"/>
              <w:pageBreakBefore w:val="0"/>
              <w:widowControl w:val="0"/>
              <w:numPr>
                <w:ilvl w:val="0"/>
                <w:numId w:val="0"/>
              </w:numPr>
              <w:kinsoku/>
              <w:wordWrap/>
              <w:overflowPunct/>
              <w:topLinePunct w:val="0"/>
              <w:autoSpaceDE w:val="0"/>
              <w:autoSpaceDN/>
              <w:bidi w:val="0"/>
              <w:adjustRightInd w:val="0"/>
              <w:snapToGrid/>
              <w:spacing w:line="360" w:lineRule="auto"/>
              <w:jc w:val="center"/>
              <w:textAlignment w:val="auto"/>
              <w:rPr>
                <w:rFonts w:hint="default" w:ascii="Times New Roman" w:hAnsi="Times New Roman" w:eastAsia="黑体" w:cs="Times New Roman"/>
                <w:sz w:val="21"/>
                <w:szCs w:val="21"/>
                <w:lang w:val="en-US" w:eastAsia="zh-CN"/>
              </w:rPr>
            </w:pPr>
            <w:r>
              <w:rPr>
                <w:rFonts w:hint="default" w:ascii="Times New Roman" w:hAnsi="Times New Roman" w:eastAsia="黑体" w:cs="Times New Roman"/>
                <w:sz w:val="21"/>
                <w:szCs w:val="21"/>
                <w:lang w:val="en-US" w:eastAsia="zh-CN"/>
              </w:rPr>
              <w:t>图3-1</w:t>
            </w:r>
            <w:r>
              <w:rPr>
                <w:rFonts w:hint="eastAsia" w:ascii="Times New Roman" w:hAnsi="Times New Roman" w:eastAsia="黑体" w:cs="Times New Roman"/>
                <w:sz w:val="21"/>
                <w:szCs w:val="21"/>
                <w:lang w:val="en-US" w:eastAsia="zh-CN"/>
              </w:rPr>
              <w:t>引用项目</w:t>
            </w:r>
            <w:r>
              <w:rPr>
                <w:rFonts w:hint="default" w:ascii="Times New Roman" w:hAnsi="Times New Roman" w:eastAsia="黑体" w:cs="Times New Roman"/>
                <w:sz w:val="21"/>
                <w:szCs w:val="21"/>
                <w:lang w:val="en-US" w:eastAsia="zh-CN"/>
              </w:rPr>
              <w:t>大气环境监测点</w:t>
            </w:r>
            <w:r>
              <w:rPr>
                <w:rFonts w:hint="eastAsia" w:ascii="Times New Roman" w:hAnsi="Times New Roman" w:eastAsia="黑体" w:cs="Times New Roman"/>
                <w:sz w:val="21"/>
                <w:szCs w:val="21"/>
                <w:lang w:val="en-US" w:eastAsia="zh-CN"/>
              </w:rPr>
              <w:t>与本项目位置关系</w:t>
            </w:r>
            <w:r>
              <w:rPr>
                <w:rFonts w:hint="default" w:ascii="Times New Roman" w:hAnsi="Times New Roman" w:eastAsia="黑体" w:cs="Times New Roman"/>
                <w:sz w:val="21"/>
                <w:szCs w:val="21"/>
                <w:lang w:val="en-US" w:eastAsia="zh-CN"/>
              </w:rPr>
              <w:t>图</w:t>
            </w:r>
          </w:p>
          <w:p w14:paraId="4D4DA33E">
            <w:pPr>
              <w:keepNext w:val="0"/>
              <w:keepLines w:val="0"/>
              <w:pageBreakBefore w:val="0"/>
              <w:widowControl w:val="0"/>
              <w:numPr>
                <w:ilvl w:val="0"/>
                <w:numId w:val="0"/>
              </w:numPr>
              <w:kinsoku/>
              <w:wordWrap/>
              <w:overflowPunct/>
              <w:topLinePunct w:val="0"/>
              <w:autoSpaceDE w:val="0"/>
              <w:autoSpaceDN/>
              <w:bidi w:val="0"/>
              <w:adjustRightInd w:val="0"/>
              <w:snapToGrid/>
              <w:spacing w:line="360" w:lineRule="auto"/>
              <w:ind w:firstLine="480" w:firstLineChars="200"/>
              <w:textAlignment w:val="auto"/>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④评价结果</w:t>
            </w:r>
          </w:p>
          <w:p w14:paraId="1821F8F4">
            <w:pPr>
              <w:keepNext w:val="0"/>
              <w:keepLines w:val="0"/>
              <w:pageBreakBefore w:val="0"/>
              <w:widowControl w:val="0"/>
              <w:numPr>
                <w:ilvl w:val="0"/>
                <w:numId w:val="0"/>
              </w:numPr>
              <w:kinsoku/>
              <w:wordWrap/>
              <w:overflowPunct/>
              <w:topLinePunct w:val="0"/>
              <w:autoSpaceDE w:val="0"/>
              <w:autoSpaceDN/>
              <w:bidi w:val="0"/>
              <w:adjustRightInd w:val="0"/>
              <w:snapToGrid/>
              <w:spacing w:line="360" w:lineRule="auto"/>
              <w:jc w:val="center"/>
              <w:textAlignment w:val="auto"/>
              <w:rPr>
                <w:rFonts w:hint="default" w:ascii="Times New Roman" w:hAnsi="Times New Roman" w:eastAsia="黑体" w:cs="Times New Roman"/>
                <w:sz w:val="21"/>
                <w:szCs w:val="21"/>
                <w:lang w:val="en-US" w:eastAsia="zh-CN"/>
              </w:rPr>
            </w:pPr>
            <w:r>
              <w:rPr>
                <w:rFonts w:hint="default" w:ascii="Times New Roman" w:hAnsi="Times New Roman" w:eastAsia="黑体" w:cs="Times New Roman"/>
                <w:sz w:val="21"/>
                <w:szCs w:val="21"/>
                <w:lang w:val="en-US" w:eastAsia="zh-CN"/>
              </w:rPr>
              <w:t>表3-</w:t>
            </w:r>
            <w:r>
              <w:rPr>
                <w:rFonts w:hint="eastAsia" w:ascii="Times New Roman" w:hAnsi="Times New Roman" w:eastAsia="黑体" w:cs="Times New Roman"/>
                <w:sz w:val="21"/>
                <w:szCs w:val="21"/>
                <w:lang w:val="en-US" w:eastAsia="zh-CN"/>
              </w:rPr>
              <w:t xml:space="preserve">3 </w:t>
            </w:r>
            <w:r>
              <w:rPr>
                <w:rFonts w:hint="default" w:ascii="Times New Roman" w:hAnsi="Times New Roman" w:eastAsia="黑体" w:cs="Times New Roman"/>
                <w:sz w:val="21"/>
                <w:szCs w:val="21"/>
                <w:lang w:val="en-US" w:eastAsia="zh-CN"/>
              </w:rPr>
              <w:t>空气环境现状监测结果</w:t>
            </w:r>
            <w:r>
              <w:rPr>
                <w:rFonts w:hint="eastAsia" w:ascii="Times New Roman" w:hAnsi="Times New Roman" w:eastAsia="黑体" w:cs="Times New Roman"/>
                <w:sz w:val="21"/>
                <w:szCs w:val="21"/>
                <w:lang w:val="en-US" w:eastAsia="zh-CN"/>
              </w:rPr>
              <w:t>一览表</w:t>
            </w:r>
          </w:p>
          <w:tbl>
            <w:tblPr>
              <w:tblStyle w:val="25"/>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659"/>
              <w:gridCol w:w="1330"/>
              <w:gridCol w:w="1140"/>
              <w:gridCol w:w="1100"/>
              <w:gridCol w:w="770"/>
              <w:gridCol w:w="830"/>
              <w:gridCol w:w="890"/>
              <w:gridCol w:w="656"/>
            </w:tblGrid>
            <w:tr w14:paraId="7CE16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73" w:type="pct"/>
                  <w:noWrap w:val="0"/>
                  <w:vAlign w:val="center"/>
                </w:tcPr>
                <w:p w14:paraId="479951E4">
                  <w:pPr>
                    <w:pStyle w:val="4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lang w:val="en-US" w:eastAsia="zh-CN"/>
                    </w:rPr>
                    <w:t>监测点位</w:t>
                  </w:r>
                </w:p>
              </w:tc>
              <w:tc>
                <w:tcPr>
                  <w:tcW w:w="404" w:type="pct"/>
                  <w:noWrap w:val="0"/>
                  <w:vAlign w:val="center"/>
                </w:tcPr>
                <w:p w14:paraId="201856E7">
                  <w:pPr>
                    <w:pStyle w:val="4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lang w:val="en-US" w:eastAsia="zh-CN"/>
                    </w:rPr>
                    <w:t>污染物</w:t>
                  </w:r>
                </w:p>
              </w:tc>
              <w:tc>
                <w:tcPr>
                  <w:tcW w:w="816" w:type="pct"/>
                  <w:noWrap w:val="0"/>
                  <w:vAlign w:val="center"/>
                </w:tcPr>
                <w:p w14:paraId="26C8D79D">
                  <w:pPr>
                    <w:pStyle w:val="4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lang w:val="en-US" w:eastAsia="zh-CN"/>
                    </w:rPr>
                    <w:t>浓度范围（</w:t>
                  </w:r>
                  <w:r>
                    <w:rPr>
                      <w:rFonts w:hint="default" w:ascii="Times New Roman" w:hAnsi="Times New Roman" w:cs="Times New Roman"/>
                      <w:b w:val="0"/>
                      <w:bCs/>
                      <w:color w:val="000000" w:themeColor="text1"/>
                      <w:lang w:val="en-US" w:eastAsia="zh-CN"/>
                      <w14:textFill>
                        <w14:solidFill>
                          <w14:schemeClr w14:val="tx1"/>
                        </w14:solidFill>
                      </w14:textFill>
                    </w:rPr>
                    <w:t>mg/m</w:t>
                  </w:r>
                  <w:r>
                    <w:rPr>
                      <w:rFonts w:hint="eastAsia" w:ascii="Times New Roman" w:hAnsi="Times New Roman" w:cs="Times New Roman"/>
                      <w:b w:val="0"/>
                      <w:bCs/>
                      <w:color w:val="000000" w:themeColor="text1"/>
                      <w:vertAlign w:val="superscript"/>
                      <w:lang w:val="en-US" w:eastAsia="zh-CN"/>
                      <w14:textFill>
                        <w14:solidFill>
                          <w14:schemeClr w14:val="tx1"/>
                        </w14:solidFill>
                      </w14:textFill>
                    </w:rPr>
                    <w:t>3</w:t>
                  </w:r>
                  <w:r>
                    <w:rPr>
                      <w:rFonts w:hint="default" w:ascii="Times New Roman" w:hAnsi="Times New Roman" w:cs="Times New Roman"/>
                      <w:b w:val="0"/>
                      <w:bCs/>
                      <w:sz w:val="21"/>
                      <w:szCs w:val="21"/>
                      <w:lang w:val="en-US" w:eastAsia="zh-CN"/>
                    </w:rPr>
                    <w:t>）</w:t>
                  </w:r>
                </w:p>
              </w:tc>
              <w:tc>
                <w:tcPr>
                  <w:tcW w:w="699" w:type="pct"/>
                  <w:noWrap w:val="0"/>
                  <w:vAlign w:val="center"/>
                </w:tcPr>
                <w:p w14:paraId="2562DF2C">
                  <w:pPr>
                    <w:pStyle w:val="4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lang w:val="en-US" w:eastAsia="zh-CN"/>
                    </w:rPr>
                    <w:t>标准限值（</w:t>
                  </w:r>
                  <w:r>
                    <w:rPr>
                      <w:rFonts w:hint="default" w:ascii="Times New Roman" w:hAnsi="Times New Roman" w:cs="Times New Roman"/>
                      <w:b w:val="0"/>
                      <w:bCs/>
                      <w:color w:val="000000" w:themeColor="text1"/>
                      <w:lang w:val="en-US" w:eastAsia="zh-CN"/>
                      <w14:textFill>
                        <w14:solidFill>
                          <w14:schemeClr w14:val="tx1"/>
                        </w14:solidFill>
                      </w14:textFill>
                    </w:rPr>
                    <w:t>mg/m</w:t>
                  </w:r>
                  <w:r>
                    <w:rPr>
                      <w:rFonts w:hint="eastAsia" w:ascii="Times New Roman" w:hAnsi="Times New Roman" w:cs="Times New Roman"/>
                      <w:b w:val="0"/>
                      <w:bCs/>
                      <w:color w:val="000000" w:themeColor="text1"/>
                      <w:vertAlign w:val="superscript"/>
                      <w:lang w:val="en-US" w:eastAsia="zh-CN"/>
                      <w14:textFill>
                        <w14:solidFill>
                          <w14:schemeClr w14:val="tx1"/>
                        </w14:solidFill>
                      </w14:textFill>
                    </w:rPr>
                    <w:t>3</w:t>
                  </w:r>
                  <w:r>
                    <w:rPr>
                      <w:rFonts w:hint="default" w:ascii="Times New Roman" w:hAnsi="Times New Roman" w:cs="Times New Roman"/>
                      <w:b w:val="0"/>
                      <w:bCs/>
                      <w:sz w:val="21"/>
                      <w:szCs w:val="21"/>
                      <w:lang w:val="en-US" w:eastAsia="zh-CN"/>
                    </w:rPr>
                    <w:t>）</w:t>
                  </w:r>
                </w:p>
              </w:tc>
              <w:tc>
                <w:tcPr>
                  <w:tcW w:w="675" w:type="pct"/>
                  <w:noWrap w:val="0"/>
                  <w:vAlign w:val="center"/>
                </w:tcPr>
                <w:p w14:paraId="1F45CBE0">
                  <w:pPr>
                    <w:pStyle w:val="4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lang w:val="en-US" w:eastAsia="zh-CN"/>
                    </w:rPr>
                    <w:t>最大占标率</w:t>
                  </w:r>
                  <w:r>
                    <w:rPr>
                      <w:rFonts w:hint="eastAsia" w:ascii="Times New Roman" w:hAnsi="Times New Roman" w:cs="Times New Roman"/>
                      <w:b w:val="0"/>
                      <w:bCs/>
                      <w:sz w:val="21"/>
                      <w:szCs w:val="21"/>
                      <w:lang w:val="en-US" w:eastAsia="zh-CN"/>
                    </w:rPr>
                    <w:t>（%）</w:t>
                  </w:r>
                </w:p>
              </w:tc>
              <w:tc>
                <w:tcPr>
                  <w:tcW w:w="472" w:type="pct"/>
                  <w:noWrap w:val="0"/>
                  <w:vAlign w:val="center"/>
                </w:tcPr>
                <w:p w14:paraId="2FF53688">
                  <w:pPr>
                    <w:pStyle w:val="4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lang w:val="en-US" w:eastAsia="zh-CN"/>
                    </w:rPr>
                    <w:t>超标数</w:t>
                  </w:r>
                  <w:r>
                    <w:rPr>
                      <w:rFonts w:hint="eastAsia" w:ascii="Times New Roman" w:hAnsi="Times New Roman" w:cs="Times New Roman"/>
                      <w:b w:val="0"/>
                      <w:bCs/>
                      <w:sz w:val="21"/>
                      <w:szCs w:val="21"/>
                      <w:lang w:val="en-US" w:eastAsia="zh-CN"/>
                    </w:rPr>
                    <w:t>（个）</w:t>
                  </w:r>
                </w:p>
              </w:tc>
              <w:tc>
                <w:tcPr>
                  <w:tcW w:w="509" w:type="pct"/>
                  <w:noWrap w:val="0"/>
                  <w:vAlign w:val="center"/>
                </w:tcPr>
                <w:p w14:paraId="487DE454">
                  <w:pPr>
                    <w:pStyle w:val="4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lang w:val="en-US" w:eastAsia="zh-CN"/>
                    </w:rPr>
                    <w:t>超标率</w:t>
                  </w:r>
                  <w:r>
                    <w:rPr>
                      <w:rFonts w:hint="eastAsia" w:ascii="Times New Roman" w:hAnsi="Times New Roman" w:cs="Times New Roman"/>
                      <w:b w:val="0"/>
                      <w:bCs/>
                      <w:sz w:val="21"/>
                      <w:szCs w:val="21"/>
                      <w:lang w:val="en-US" w:eastAsia="zh-CN"/>
                    </w:rPr>
                    <w:t>（%）</w:t>
                  </w:r>
                </w:p>
              </w:tc>
              <w:tc>
                <w:tcPr>
                  <w:tcW w:w="546" w:type="pct"/>
                  <w:noWrap w:val="0"/>
                  <w:vAlign w:val="center"/>
                </w:tcPr>
                <w:p w14:paraId="5B2B9549">
                  <w:pPr>
                    <w:pStyle w:val="4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lang w:val="en-US" w:eastAsia="zh-CN"/>
                    </w:rPr>
                    <w:t>最大超标倍数</w:t>
                  </w:r>
                </w:p>
              </w:tc>
              <w:tc>
                <w:tcPr>
                  <w:tcW w:w="402" w:type="pct"/>
                  <w:noWrap w:val="0"/>
                  <w:vAlign w:val="center"/>
                </w:tcPr>
                <w:p w14:paraId="64A4B7C5">
                  <w:pPr>
                    <w:pStyle w:val="4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lang w:val="en-US" w:eastAsia="zh-CN"/>
                    </w:rPr>
                    <w:t>是否达标</w:t>
                  </w:r>
                </w:p>
              </w:tc>
            </w:tr>
            <w:tr w14:paraId="091C9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73" w:type="pct"/>
                  <w:noWrap w:val="0"/>
                  <w:vAlign w:val="center"/>
                </w:tcPr>
                <w:p w14:paraId="466760DE">
                  <w:pPr>
                    <w:pStyle w:val="4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 w:val="0"/>
                      <w:bCs/>
                      <w:sz w:val="21"/>
                      <w:szCs w:val="21"/>
                      <w:lang w:val="en-US" w:eastAsia="zh-CN"/>
                    </w:rPr>
                  </w:pPr>
                  <w:r>
                    <w:rPr>
                      <w:rFonts w:hint="eastAsia" w:ascii="Times New Roman" w:hAnsi="Times New Roman" w:cs="Times New Roman"/>
                      <w:b w:val="0"/>
                      <w:bCs/>
                      <w:sz w:val="21"/>
                      <w:szCs w:val="21"/>
                      <w:lang w:val="en-US" w:eastAsia="zh-CN"/>
                    </w:rPr>
                    <w:t>G1</w:t>
                  </w:r>
                </w:p>
              </w:tc>
              <w:tc>
                <w:tcPr>
                  <w:tcW w:w="404" w:type="pct"/>
                  <w:noWrap w:val="0"/>
                  <w:vAlign w:val="center"/>
                </w:tcPr>
                <w:p w14:paraId="5DB584B3">
                  <w:pPr>
                    <w:pStyle w:val="4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lang w:val="en-US" w:eastAsia="zh-CN"/>
                    </w:rPr>
                    <w:t>TSP</w:t>
                  </w:r>
                </w:p>
              </w:tc>
              <w:tc>
                <w:tcPr>
                  <w:tcW w:w="816" w:type="pct"/>
                  <w:noWrap w:val="0"/>
                  <w:vAlign w:val="center"/>
                </w:tcPr>
                <w:p w14:paraId="331C7736">
                  <w:pPr>
                    <w:pStyle w:val="4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lang w:val="en-US" w:eastAsia="zh-CN"/>
                    </w:rPr>
                    <w:t>0.099~0.105</w:t>
                  </w:r>
                </w:p>
              </w:tc>
              <w:tc>
                <w:tcPr>
                  <w:tcW w:w="699" w:type="pct"/>
                  <w:noWrap w:val="0"/>
                  <w:vAlign w:val="center"/>
                </w:tcPr>
                <w:p w14:paraId="5C6FFFA5">
                  <w:pPr>
                    <w:pStyle w:val="4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lang w:val="en-US" w:eastAsia="zh-CN"/>
                    </w:rPr>
                    <w:t>0.3</w:t>
                  </w:r>
                </w:p>
              </w:tc>
              <w:tc>
                <w:tcPr>
                  <w:tcW w:w="675" w:type="pct"/>
                  <w:noWrap w:val="0"/>
                  <w:vAlign w:val="center"/>
                </w:tcPr>
                <w:p w14:paraId="7A75378D">
                  <w:pPr>
                    <w:pStyle w:val="4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 w:val="0"/>
                      <w:bCs/>
                      <w:sz w:val="21"/>
                      <w:szCs w:val="21"/>
                      <w:lang w:val="en-US" w:eastAsia="zh-CN"/>
                    </w:rPr>
                  </w:pPr>
                  <w:r>
                    <w:rPr>
                      <w:rFonts w:hint="eastAsia" w:ascii="Times New Roman" w:hAnsi="Times New Roman" w:cs="Times New Roman"/>
                      <w:b w:val="0"/>
                      <w:bCs/>
                      <w:sz w:val="21"/>
                      <w:szCs w:val="21"/>
                      <w:lang w:val="en-US" w:eastAsia="zh-CN"/>
                    </w:rPr>
                    <w:t>35</w:t>
                  </w:r>
                  <w:r>
                    <w:rPr>
                      <w:rFonts w:hint="default" w:ascii="Times New Roman" w:hAnsi="Times New Roman" w:cs="Times New Roman"/>
                      <w:b w:val="0"/>
                      <w:bCs/>
                      <w:sz w:val="21"/>
                      <w:szCs w:val="21"/>
                      <w:lang w:val="en-US" w:eastAsia="zh-CN"/>
                    </w:rPr>
                    <w:t>%</w:t>
                  </w:r>
                </w:p>
              </w:tc>
              <w:tc>
                <w:tcPr>
                  <w:tcW w:w="472" w:type="pct"/>
                  <w:noWrap w:val="0"/>
                  <w:vAlign w:val="center"/>
                </w:tcPr>
                <w:p w14:paraId="518EE4D9">
                  <w:pPr>
                    <w:pStyle w:val="4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lang w:val="en-US" w:eastAsia="zh-CN"/>
                    </w:rPr>
                    <w:t>0</w:t>
                  </w:r>
                </w:p>
              </w:tc>
              <w:tc>
                <w:tcPr>
                  <w:tcW w:w="509" w:type="pct"/>
                  <w:noWrap w:val="0"/>
                  <w:vAlign w:val="center"/>
                </w:tcPr>
                <w:p w14:paraId="036D8B0C">
                  <w:pPr>
                    <w:pStyle w:val="4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lang w:val="en-US" w:eastAsia="zh-CN"/>
                    </w:rPr>
                    <w:t>0</w:t>
                  </w:r>
                </w:p>
              </w:tc>
              <w:tc>
                <w:tcPr>
                  <w:tcW w:w="546" w:type="pct"/>
                  <w:noWrap w:val="0"/>
                  <w:vAlign w:val="center"/>
                </w:tcPr>
                <w:p w14:paraId="2680C382">
                  <w:pPr>
                    <w:pStyle w:val="4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lang w:val="en-US" w:eastAsia="zh-CN"/>
                    </w:rPr>
                    <w:t>0</w:t>
                  </w:r>
                </w:p>
              </w:tc>
              <w:tc>
                <w:tcPr>
                  <w:tcW w:w="402" w:type="pct"/>
                  <w:noWrap w:val="0"/>
                  <w:vAlign w:val="center"/>
                </w:tcPr>
                <w:p w14:paraId="1AC2EB4E">
                  <w:pPr>
                    <w:pStyle w:val="44"/>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lang w:val="en-US" w:eastAsia="zh-CN"/>
                    </w:rPr>
                    <w:t>是</w:t>
                  </w:r>
                </w:p>
              </w:tc>
            </w:tr>
          </w:tbl>
          <w:p w14:paraId="319B0442">
            <w:pPr>
              <w:keepNext w:val="0"/>
              <w:keepLines w:val="0"/>
              <w:pageBreakBefore w:val="0"/>
              <w:widowControl w:val="0"/>
              <w:numPr>
                <w:ilvl w:val="0"/>
                <w:numId w:val="0"/>
              </w:numPr>
              <w:kinsoku/>
              <w:wordWrap/>
              <w:overflowPunct/>
              <w:topLinePunct w:val="0"/>
              <w:autoSpaceDE w:val="0"/>
              <w:autoSpaceDN/>
              <w:bidi w:val="0"/>
              <w:adjustRightInd w:val="0"/>
              <w:snapToGrid/>
              <w:spacing w:line="360" w:lineRule="auto"/>
              <w:ind w:firstLine="480" w:firstLineChars="200"/>
              <w:textAlignment w:val="auto"/>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由上表可知，评价区域TSP满足《环境空气质量标准》（GB3095-2012）限值要求。</w:t>
            </w:r>
          </w:p>
          <w:p w14:paraId="17D8818D">
            <w:pPr>
              <w:pStyle w:val="6"/>
              <w:keepNext w:val="0"/>
              <w:keepLines w:val="0"/>
              <w:pageBreakBefore w:val="0"/>
              <w:widowControl w:val="0"/>
              <w:kinsoku/>
              <w:wordWrap/>
              <w:overflowPunct/>
              <w:topLinePunct w:val="0"/>
              <w:autoSpaceDN/>
              <w:bidi w:val="0"/>
              <w:adjustRightInd w:val="0"/>
              <w:snapToGrid/>
              <w:spacing w:line="360" w:lineRule="auto"/>
              <w:ind w:firstLine="0" w:firstLineChars="0"/>
              <w:textAlignment w:val="auto"/>
              <w:rPr>
                <w:rFonts w:hint="default" w:ascii="Times New Roman" w:hAnsi="Times New Roman" w:cs="Times New Roman"/>
                <w:b/>
                <w:bCs/>
                <w:sz w:val="24"/>
              </w:rPr>
            </w:pPr>
            <w:r>
              <w:rPr>
                <w:rFonts w:hint="default" w:ascii="Times New Roman" w:hAnsi="Times New Roman" w:cs="Times New Roman"/>
                <w:b/>
                <w:bCs/>
                <w:sz w:val="24"/>
              </w:rPr>
              <w:t>2、水环境质量现状</w:t>
            </w:r>
          </w:p>
          <w:p w14:paraId="38DE548A">
            <w:pPr>
              <w:pStyle w:val="6"/>
              <w:keepNext w:val="0"/>
              <w:keepLines w:val="0"/>
              <w:pageBreakBefore w:val="0"/>
              <w:widowControl w:val="0"/>
              <w:shd w:val="clear"/>
              <w:kinsoku/>
              <w:wordWrap/>
              <w:overflowPunct/>
              <w:topLinePunct w:val="0"/>
              <w:autoSpaceDN/>
              <w:bidi w:val="0"/>
              <w:adjustRightInd w:val="0"/>
              <w:snapToGrid/>
              <w:spacing w:line="360" w:lineRule="auto"/>
              <w:ind w:firstLine="480"/>
              <w:jc w:val="left"/>
              <w:textAlignment w:val="auto"/>
              <w:rPr>
                <w:rFonts w:hint="default" w:ascii="Times New Roman" w:hAnsi="Times New Roman" w:cs="Times New Roman"/>
                <w:sz w:val="24"/>
                <w:highlight w:val="none"/>
                <w:lang w:eastAsia="zh-CN"/>
              </w:rPr>
            </w:pPr>
            <w:r>
              <w:rPr>
                <w:rFonts w:hint="default" w:ascii="Times New Roman" w:hAnsi="Times New Roman" w:cs="Times New Roman"/>
                <w:sz w:val="24"/>
                <w:highlight w:val="none"/>
              </w:rPr>
              <w:t>根据《建设项目环境影响报告表编制技术指南》（污染影响类）（试行），项目地表水环境质量可引用生态环境主管部门发布的水环境质量数据或地表水达标情况的结论。根据《2024年</w:t>
            </w:r>
            <w:r>
              <w:rPr>
                <w:rFonts w:hint="eastAsia" w:ascii="Times New Roman" w:hAnsi="Times New Roman" w:cs="Times New Roman"/>
                <w:sz w:val="24"/>
                <w:highlight w:val="none"/>
                <w:lang w:val="en-US" w:eastAsia="zh-CN"/>
              </w:rPr>
              <w:t>池州</w:t>
            </w:r>
            <w:r>
              <w:rPr>
                <w:rFonts w:hint="default" w:ascii="Times New Roman" w:hAnsi="Times New Roman" w:cs="Times New Roman"/>
                <w:sz w:val="24"/>
                <w:highlight w:val="none"/>
              </w:rPr>
              <w:t>市生态环境状况公报》</w:t>
            </w:r>
            <w:r>
              <w:rPr>
                <w:rFonts w:hint="eastAsia" w:ascii="Times New Roman" w:hAnsi="Times New Roman" w:cs="Times New Roman"/>
                <w:sz w:val="24"/>
                <w:highlight w:val="none"/>
                <w:lang w:eastAsia="zh-CN"/>
              </w:rPr>
              <w:t>：2024年全市长江（池州段）、秋浦河、青通河、尧渡河、黄湓河、九华河、龙泉河、陵阳河、白洋河、香隅河、丁香河、石台清溪河、王村河等河流和升金湖、平天湖、牛桥水库、古潭水库、石湖水库等湖库共计25个国省控考核监测断面（点位），其中</w:t>
            </w:r>
            <w:r>
              <w:rPr>
                <w:rFonts w:hint="default" w:ascii="Times New Roman" w:hAnsi="Times New Roman" w:cs="Times New Roman"/>
                <w:sz w:val="24"/>
                <w:highlight w:val="none"/>
                <w:lang w:eastAsia="zh-CN"/>
              </w:rPr>
              <w:t>达到Ⅰ类水的断面（点位）有3个，占12%；达到Ⅱ类水的断面（点位）有17个，占68%；达到Ⅲ类水的断面（点位）有5个，占20%。</w:t>
            </w:r>
          </w:p>
          <w:p w14:paraId="33C5685B">
            <w:pPr>
              <w:pStyle w:val="6"/>
              <w:keepNext w:val="0"/>
              <w:keepLines w:val="0"/>
              <w:pageBreakBefore w:val="0"/>
              <w:widowControl w:val="0"/>
              <w:shd w:val="clear"/>
              <w:kinsoku/>
              <w:wordWrap/>
              <w:overflowPunct/>
              <w:topLinePunct w:val="0"/>
              <w:autoSpaceDN/>
              <w:bidi w:val="0"/>
              <w:adjustRightInd w:val="0"/>
              <w:snapToGrid/>
              <w:spacing w:line="360" w:lineRule="auto"/>
              <w:ind w:firstLine="480"/>
              <w:jc w:val="left"/>
              <w:textAlignment w:val="auto"/>
              <w:rPr>
                <w:rFonts w:hint="default" w:ascii="Times New Roman" w:hAnsi="Times New Roman" w:cs="Times New Roman" w:eastAsiaTheme="minorEastAsia"/>
                <w:sz w:val="24"/>
                <w:highlight w:val="none"/>
                <w:lang w:eastAsia="zh-CN"/>
              </w:rPr>
            </w:pPr>
            <w:r>
              <w:rPr>
                <w:rFonts w:hint="default" w:ascii="Times New Roman" w:hAnsi="Times New Roman" w:cs="Times New Roman"/>
                <w:sz w:val="24"/>
                <w:highlight w:val="none"/>
                <w:lang w:eastAsia="zh-CN"/>
              </w:rPr>
              <w:t>综上所述，安徽省江南产业集中区第一污水处理厂纳污水体九华河、长江（池州段）水环境质量较好，可以达到《地表水环境质量标准》（GB3838-2002）中的Ⅲ类标准要求。</w:t>
            </w:r>
          </w:p>
          <w:p w14:paraId="0DDBF540">
            <w:pPr>
              <w:pStyle w:val="6"/>
              <w:keepNext w:val="0"/>
              <w:keepLines w:val="0"/>
              <w:pageBreakBefore w:val="0"/>
              <w:widowControl w:val="0"/>
              <w:shd w:val="clear"/>
              <w:kinsoku/>
              <w:wordWrap/>
              <w:overflowPunct/>
              <w:topLinePunct w:val="0"/>
              <w:autoSpaceDN/>
              <w:bidi w:val="0"/>
              <w:adjustRightInd w:val="0"/>
              <w:snapToGrid/>
              <w:spacing w:line="360" w:lineRule="auto"/>
              <w:ind w:firstLine="0" w:firstLineChars="0"/>
              <w:textAlignment w:val="auto"/>
              <w:rPr>
                <w:rFonts w:hint="default" w:ascii="Times New Roman" w:hAnsi="Times New Roman" w:cs="Times New Roman"/>
                <w:b/>
                <w:bCs/>
                <w:sz w:val="24"/>
              </w:rPr>
            </w:pPr>
            <w:r>
              <w:rPr>
                <w:rFonts w:hint="default" w:ascii="Times New Roman" w:hAnsi="Times New Roman" w:cs="Times New Roman"/>
                <w:b/>
                <w:bCs/>
                <w:sz w:val="24"/>
              </w:rPr>
              <w:t>3、声环境质量现状</w:t>
            </w:r>
          </w:p>
          <w:p w14:paraId="2C50EE2D">
            <w:pPr>
              <w:pStyle w:val="6"/>
              <w:shd w:val="clear"/>
              <w:adjustRightInd w:val="0"/>
              <w:snapToGrid w:val="0"/>
              <w:spacing w:line="360" w:lineRule="auto"/>
              <w:ind w:left="0" w:leftChars="0" w:firstLine="480" w:firstLineChars="200"/>
              <w:jc w:val="both"/>
              <w:rPr>
                <w:rFonts w:hint="eastAsia" w:ascii="Times New Roman" w:hAnsi="Times New Roman" w:cs="Times New Roman"/>
                <w:sz w:val="24"/>
                <w:highlight w:val="none"/>
                <w:lang w:val="en-US" w:eastAsia="zh-CN"/>
              </w:rPr>
            </w:pPr>
            <w:r>
              <w:rPr>
                <w:rFonts w:hint="eastAsia" w:ascii="Times New Roman" w:hAnsi="Times New Roman" w:cs="Times New Roman"/>
                <w:sz w:val="24"/>
                <w:highlight w:val="none"/>
                <w:lang w:val="en-US" w:eastAsia="zh-CN"/>
              </w:rPr>
              <w:t>根据《建设项目环境影响报告表编制技术指南（污染影响类）（试行）》，项目厂界外周边50米范围内不存在声环境保护目标，因此无需进行声环境质量现状监测。</w:t>
            </w:r>
          </w:p>
          <w:p w14:paraId="701348ED">
            <w:pPr>
              <w:pStyle w:val="6"/>
              <w:shd w:val="clear"/>
              <w:adjustRightInd w:val="0"/>
              <w:snapToGrid w:val="0"/>
              <w:spacing w:line="360" w:lineRule="auto"/>
              <w:ind w:left="0" w:leftChars="0" w:firstLine="0" w:firstLineChars="0"/>
              <w:jc w:val="both"/>
              <w:rPr>
                <w:rFonts w:hint="eastAsia" w:ascii="Times New Roman" w:hAnsi="Times New Roman" w:cs="Times New Roman"/>
                <w:b/>
                <w:bCs/>
                <w:sz w:val="24"/>
                <w:highlight w:val="none"/>
                <w:lang w:val="en-US" w:eastAsia="zh-CN"/>
              </w:rPr>
            </w:pPr>
            <w:r>
              <w:rPr>
                <w:rFonts w:hint="eastAsia" w:ascii="Times New Roman" w:hAnsi="Times New Roman" w:cs="Times New Roman"/>
                <w:b/>
                <w:bCs/>
                <w:sz w:val="24"/>
                <w:highlight w:val="none"/>
                <w:lang w:val="en-US" w:eastAsia="zh-CN"/>
              </w:rPr>
              <w:t>4、地下水、土壤环境质量现状</w:t>
            </w:r>
          </w:p>
          <w:p w14:paraId="01C8A796">
            <w:pPr>
              <w:pStyle w:val="6"/>
              <w:shd w:val="clear"/>
              <w:adjustRightInd w:val="0"/>
              <w:snapToGrid w:val="0"/>
              <w:spacing w:line="360" w:lineRule="auto"/>
              <w:ind w:left="0" w:leftChars="0" w:firstLine="480" w:firstLineChars="200"/>
              <w:jc w:val="both"/>
              <w:rPr>
                <w:rFonts w:hint="eastAsia" w:ascii="Times New Roman" w:hAnsi="Times New Roman" w:cs="Times New Roman"/>
                <w:sz w:val="24"/>
                <w:highlight w:val="none"/>
                <w:lang w:val="en-US" w:eastAsia="zh-CN"/>
              </w:rPr>
            </w:pPr>
            <w:r>
              <w:rPr>
                <w:rFonts w:hint="eastAsia" w:ascii="Times New Roman" w:hAnsi="Times New Roman" w:cs="Times New Roman"/>
                <w:sz w:val="24"/>
                <w:highlight w:val="none"/>
                <w:lang w:val="en-US" w:eastAsia="zh-CN"/>
              </w:rPr>
              <w:t>根据《建设项目环境影响报告表编制技术指南（污染影响类）（试行）》，地下水、土壤原则上不开展环境质量现状调查。建设项目存在土壤、地下水环境污染途径的，应结合污染源、保护目标分布情况开展现状调查以留作背景值。本项目租赁安徽省池州市江南产业集中区皖能电子信息产业园5幢4层进行生产，项目厂房在4层，正常情况下无土壤及地下水环境污染途径，不会对土壤及地下水环境产生不利影响。因此本次评价不开展地下水、土壤环境质量现状调查。</w:t>
            </w:r>
          </w:p>
          <w:p w14:paraId="17773650">
            <w:pPr>
              <w:pStyle w:val="6"/>
              <w:shd w:val="clear"/>
              <w:adjustRightInd w:val="0"/>
              <w:snapToGrid w:val="0"/>
              <w:spacing w:line="360" w:lineRule="auto"/>
              <w:ind w:left="0" w:leftChars="0" w:firstLine="0" w:firstLineChars="0"/>
              <w:jc w:val="both"/>
              <w:rPr>
                <w:rFonts w:hint="eastAsia" w:ascii="Times New Roman" w:hAnsi="Times New Roman" w:cs="Times New Roman"/>
                <w:b/>
                <w:bCs/>
                <w:sz w:val="24"/>
                <w:highlight w:val="none"/>
                <w:lang w:val="en-US" w:eastAsia="zh-CN"/>
              </w:rPr>
            </w:pPr>
            <w:r>
              <w:rPr>
                <w:rFonts w:hint="eastAsia" w:ascii="Times New Roman" w:hAnsi="Times New Roman" w:cs="Times New Roman"/>
                <w:b/>
                <w:bCs/>
                <w:sz w:val="24"/>
                <w:highlight w:val="none"/>
                <w:lang w:val="en-US" w:eastAsia="zh-CN"/>
              </w:rPr>
              <w:t>5、生态环境</w:t>
            </w:r>
          </w:p>
          <w:p w14:paraId="2F9C0B23">
            <w:pPr>
              <w:pStyle w:val="6"/>
              <w:shd w:val="clear"/>
              <w:adjustRightInd w:val="0"/>
              <w:snapToGrid w:val="0"/>
              <w:spacing w:line="360" w:lineRule="auto"/>
              <w:ind w:left="0" w:leftChars="0" w:firstLine="480" w:firstLineChars="200"/>
              <w:jc w:val="both"/>
              <w:rPr>
                <w:rFonts w:hint="eastAsia" w:ascii="Times New Roman" w:hAnsi="Times New Roman" w:cs="Times New Roman"/>
                <w:sz w:val="24"/>
                <w:highlight w:val="none"/>
                <w:lang w:val="en-US" w:eastAsia="zh-CN"/>
              </w:rPr>
            </w:pPr>
            <w:r>
              <w:rPr>
                <w:rFonts w:hint="eastAsia" w:ascii="Times New Roman" w:hAnsi="Times New Roman" w:cs="Times New Roman"/>
                <w:sz w:val="24"/>
                <w:highlight w:val="none"/>
                <w:lang w:val="en-US" w:eastAsia="zh-CN"/>
              </w:rPr>
              <w:t>本项目位于皖江江南新兴产业集中区内，不需要进行生态环境现状调查。</w:t>
            </w:r>
          </w:p>
          <w:p w14:paraId="3A424D4B">
            <w:pPr>
              <w:pStyle w:val="6"/>
              <w:shd w:val="clear"/>
              <w:adjustRightInd w:val="0"/>
              <w:snapToGrid w:val="0"/>
              <w:spacing w:line="360" w:lineRule="auto"/>
              <w:ind w:left="0" w:leftChars="0" w:firstLine="0" w:firstLineChars="0"/>
              <w:jc w:val="both"/>
              <w:rPr>
                <w:rFonts w:hint="eastAsia" w:ascii="Times New Roman" w:hAnsi="Times New Roman" w:cs="Times New Roman"/>
                <w:sz w:val="24"/>
                <w:lang w:val="en-US" w:eastAsia="zh-CN"/>
              </w:rPr>
            </w:pPr>
          </w:p>
          <w:p w14:paraId="5B14946F">
            <w:pPr>
              <w:pStyle w:val="6"/>
              <w:shd w:val="clear"/>
              <w:adjustRightInd w:val="0"/>
              <w:snapToGrid w:val="0"/>
              <w:spacing w:line="360" w:lineRule="auto"/>
              <w:ind w:left="0" w:leftChars="0" w:firstLine="0" w:firstLineChars="0"/>
              <w:jc w:val="both"/>
              <w:rPr>
                <w:rFonts w:hint="eastAsia" w:ascii="Times New Roman" w:hAnsi="Times New Roman" w:cs="Times New Roman"/>
                <w:sz w:val="24"/>
                <w:lang w:val="en-US" w:eastAsia="zh-CN"/>
              </w:rPr>
            </w:pPr>
          </w:p>
          <w:p w14:paraId="7E05E9A2">
            <w:pPr>
              <w:pStyle w:val="6"/>
              <w:shd w:val="clear"/>
              <w:adjustRightInd w:val="0"/>
              <w:snapToGrid w:val="0"/>
              <w:spacing w:line="360" w:lineRule="auto"/>
              <w:ind w:left="0" w:leftChars="0" w:firstLine="0" w:firstLineChars="0"/>
              <w:jc w:val="both"/>
              <w:rPr>
                <w:rFonts w:hint="eastAsia" w:ascii="Times New Roman" w:hAnsi="Times New Roman" w:cs="Times New Roman"/>
                <w:sz w:val="24"/>
                <w:lang w:val="en-US" w:eastAsia="zh-CN"/>
              </w:rPr>
            </w:pPr>
          </w:p>
          <w:p w14:paraId="775C4326">
            <w:pPr>
              <w:pStyle w:val="6"/>
              <w:shd w:val="clear"/>
              <w:adjustRightInd w:val="0"/>
              <w:snapToGrid w:val="0"/>
              <w:spacing w:line="360" w:lineRule="auto"/>
              <w:ind w:left="0" w:leftChars="0" w:firstLine="0" w:firstLineChars="0"/>
              <w:jc w:val="both"/>
              <w:rPr>
                <w:rFonts w:hint="eastAsia" w:ascii="Times New Roman" w:hAnsi="Times New Roman" w:cs="Times New Roman"/>
                <w:sz w:val="24"/>
                <w:lang w:val="en-US" w:eastAsia="zh-CN"/>
              </w:rPr>
            </w:pPr>
          </w:p>
          <w:p w14:paraId="7BA35DFE">
            <w:pPr>
              <w:pStyle w:val="6"/>
              <w:shd w:val="clear"/>
              <w:adjustRightInd w:val="0"/>
              <w:snapToGrid w:val="0"/>
              <w:spacing w:line="360" w:lineRule="auto"/>
              <w:ind w:left="0" w:leftChars="0" w:firstLine="0" w:firstLineChars="0"/>
              <w:jc w:val="both"/>
              <w:rPr>
                <w:rFonts w:hint="eastAsia" w:ascii="Times New Roman" w:hAnsi="Times New Roman" w:cs="Times New Roman"/>
                <w:sz w:val="24"/>
                <w:lang w:val="en-US" w:eastAsia="zh-CN"/>
              </w:rPr>
            </w:pPr>
          </w:p>
          <w:p w14:paraId="4BDE3A76">
            <w:pPr>
              <w:pStyle w:val="6"/>
              <w:shd w:val="clear"/>
              <w:adjustRightInd w:val="0"/>
              <w:snapToGrid w:val="0"/>
              <w:spacing w:line="360" w:lineRule="auto"/>
              <w:ind w:left="0" w:leftChars="0" w:firstLine="0" w:firstLineChars="0"/>
              <w:jc w:val="both"/>
              <w:rPr>
                <w:rFonts w:hint="eastAsia" w:ascii="Times New Roman" w:hAnsi="Times New Roman" w:cs="Times New Roman"/>
                <w:sz w:val="24"/>
                <w:lang w:val="en-US" w:eastAsia="zh-CN"/>
              </w:rPr>
            </w:pPr>
          </w:p>
          <w:p w14:paraId="7348087D">
            <w:pPr>
              <w:pStyle w:val="6"/>
              <w:shd w:val="clear"/>
              <w:adjustRightInd w:val="0"/>
              <w:snapToGrid w:val="0"/>
              <w:spacing w:line="360" w:lineRule="auto"/>
              <w:ind w:left="0" w:leftChars="0" w:firstLine="0" w:firstLineChars="0"/>
              <w:jc w:val="both"/>
              <w:rPr>
                <w:rFonts w:hint="default" w:ascii="Times New Roman" w:hAnsi="Times New Roman" w:cs="Times New Roman" w:eastAsiaTheme="minorEastAsia"/>
                <w:sz w:val="24"/>
                <w:lang w:val="en-US" w:eastAsia="zh-CN"/>
              </w:rPr>
            </w:pPr>
          </w:p>
        </w:tc>
      </w:tr>
      <w:tr w14:paraId="7386B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88" w:type="pct"/>
            <w:vAlign w:val="center"/>
          </w:tcPr>
          <w:p w14:paraId="078B5B42">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环境保护</w:t>
            </w:r>
          </w:p>
          <w:p w14:paraId="189697D1">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目标</w:t>
            </w:r>
          </w:p>
        </w:tc>
        <w:tc>
          <w:tcPr>
            <w:tcW w:w="4511" w:type="pct"/>
            <w:vAlign w:val="center"/>
          </w:tcPr>
          <w:p w14:paraId="54A77352">
            <w:pPr>
              <w:keepNext w:val="0"/>
              <w:keepLines w:val="0"/>
              <w:pageBreakBefore w:val="0"/>
              <w:widowControl w:val="0"/>
              <w:numPr>
                <w:ilvl w:val="0"/>
                <w:numId w:val="6"/>
              </w:numPr>
              <w:kinsoku/>
              <w:wordWrap/>
              <w:overflowPunct/>
              <w:topLinePunct w:val="0"/>
              <w:autoSpaceDN/>
              <w:bidi w:val="0"/>
              <w:snapToGrid/>
              <w:spacing w:line="360" w:lineRule="auto"/>
              <w:ind w:firstLine="480" w:firstLineChars="200"/>
              <w:textAlignment w:val="auto"/>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大气环境保护目标</w:t>
            </w:r>
          </w:p>
          <w:p w14:paraId="5FCA4945">
            <w:pPr>
              <w:keepNext w:val="0"/>
              <w:keepLines w:val="0"/>
              <w:pageBreakBefore w:val="0"/>
              <w:widowControl w:val="0"/>
              <w:numPr>
                <w:ilvl w:val="0"/>
                <w:numId w:val="0"/>
              </w:numPr>
              <w:kinsoku/>
              <w:wordWrap/>
              <w:overflowPunct/>
              <w:topLinePunct w:val="0"/>
              <w:autoSpaceDN/>
              <w:bidi w:val="0"/>
              <w:snapToGrid/>
              <w:spacing w:line="360" w:lineRule="auto"/>
              <w:ind w:firstLine="480" w:firstLineChars="200"/>
              <w:textAlignment w:val="auto"/>
              <w:rPr>
                <w:rFonts w:hint="default" w:ascii="Times New Roman" w:hAnsi="Times New Roman" w:cs="Times New Roman" w:eastAsiaTheme="minorEastAsia"/>
                <w:sz w:val="24"/>
                <w:lang w:val="en-US" w:eastAsia="zh-CN"/>
              </w:rPr>
            </w:pPr>
            <w:r>
              <w:rPr>
                <w:rFonts w:hint="eastAsia" w:ascii="Times New Roman" w:hAnsi="Times New Roman" w:cs="Times New Roman"/>
                <w:sz w:val="24"/>
                <w:lang w:val="en-US" w:eastAsia="zh-CN"/>
              </w:rPr>
              <w:t>本项目厂界500m范围内具体大气环境保护目标见下表。</w:t>
            </w:r>
          </w:p>
          <w:p w14:paraId="79025927">
            <w:pPr>
              <w:keepNext w:val="0"/>
              <w:keepLines w:val="0"/>
              <w:pageBreakBefore w:val="0"/>
              <w:widowControl w:val="0"/>
              <w:numPr>
                <w:ilvl w:val="0"/>
                <w:numId w:val="0"/>
              </w:numPr>
              <w:kinsoku/>
              <w:wordWrap/>
              <w:overflowPunct/>
              <w:topLinePunct w:val="0"/>
              <w:autoSpaceDE w:val="0"/>
              <w:autoSpaceDN/>
              <w:bidi w:val="0"/>
              <w:adjustRightInd w:val="0"/>
              <w:snapToGrid/>
              <w:spacing w:line="360" w:lineRule="auto"/>
              <w:jc w:val="center"/>
              <w:textAlignment w:val="auto"/>
              <w:rPr>
                <w:rFonts w:hint="default" w:ascii="Times New Roman" w:hAnsi="Times New Roman" w:eastAsia="黑体" w:cs="Times New Roman"/>
                <w:sz w:val="21"/>
                <w:szCs w:val="21"/>
                <w:lang w:val="en-US" w:eastAsia="zh-CN"/>
              </w:rPr>
            </w:pPr>
            <w:r>
              <w:rPr>
                <w:rFonts w:hint="default" w:ascii="Times New Roman" w:hAnsi="Times New Roman" w:eastAsia="黑体" w:cs="Times New Roman"/>
                <w:sz w:val="21"/>
                <w:szCs w:val="21"/>
                <w:lang w:eastAsia="zh-CN"/>
              </w:rPr>
              <w:t>表</w:t>
            </w:r>
            <w:r>
              <w:rPr>
                <w:rFonts w:hint="eastAsia" w:ascii="Times New Roman" w:hAnsi="Times New Roman" w:eastAsia="黑体" w:cs="Times New Roman"/>
                <w:sz w:val="21"/>
                <w:szCs w:val="21"/>
                <w:lang w:val="en-US" w:eastAsia="zh-CN"/>
              </w:rPr>
              <w:t>3-4 大气环境保护目标一览表</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770"/>
              <w:gridCol w:w="872"/>
              <w:gridCol w:w="874"/>
              <w:gridCol w:w="634"/>
              <w:gridCol w:w="1099"/>
              <w:gridCol w:w="2005"/>
              <w:gridCol w:w="683"/>
              <w:gridCol w:w="687"/>
            </w:tblGrid>
            <w:tr w14:paraId="03879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322" w:type="pct"/>
                  <w:vMerge w:val="restart"/>
                  <w:vAlign w:val="center"/>
                </w:tcPr>
                <w:p w14:paraId="69D6B013">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环境要素</w:t>
                  </w:r>
                </w:p>
              </w:tc>
              <w:tc>
                <w:tcPr>
                  <w:tcW w:w="472" w:type="pct"/>
                  <w:vMerge w:val="restart"/>
                  <w:vAlign w:val="center"/>
                </w:tcPr>
                <w:p w14:paraId="47176FE9">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名称</w:t>
                  </w:r>
                </w:p>
              </w:tc>
              <w:tc>
                <w:tcPr>
                  <w:tcW w:w="1071" w:type="pct"/>
                  <w:gridSpan w:val="2"/>
                  <w:vAlign w:val="center"/>
                </w:tcPr>
                <w:p w14:paraId="468A548B">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b w:val="0"/>
                      <w:bCs w:val="0"/>
                      <w:kern w:val="2"/>
                      <w:sz w:val="21"/>
                      <w:szCs w:val="21"/>
                      <w:vertAlign w:val="baseline"/>
                      <w:lang w:val="en-US" w:eastAsia="zh-CN" w:bidi="ar-SA"/>
                    </w:rPr>
                    <w:t>坐标</w:t>
                  </w:r>
                </w:p>
              </w:tc>
              <w:tc>
                <w:tcPr>
                  <w:tcW w:w="389" w:type="pct"/>
                  <w:vMerge w:val="restart"/>
                  <w:vAlign w:val="center"/>
                </w:tcPr>
                <w:p w14:paraId="52293351">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b w:val="0"/>
                      <w:bCs w:val="0"/>
                      <w:kern w:val="2"/>
                      <w:sz w:val="21"/>
                      <w:szCs w:val="21"/>
                      <w:vertAlign w:val="baseline"/>
                      <w:lang w:val="en-US" w:eastAsia="zh-CN" w:bidi="ar-SA"/>
                    </w:rPr>
                    <w:t>保护对象</w:t>
                  </w:r>
                </w:p>
              </w:tc>
              <w:tc>
                <w:tcPr>
                  <w:tcW w:w="674" w:type="pct"/>
                  <w:vMerge w:val="restart"/>
                  <w:vAlign w:val="center"/>
                </w:tcPr>
                <w:p w14:paraId="0407B469">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b w:val="0"/>
                      <w:bCs w:val="0"/>
                      <w:kern w:val="2"/>
                      <w:sz w:val="21"/>
                      <w:szCs w:val="21"/>
                      <w:vertAlign w:val="baseline"/>
                      <w:lang w:val="en-US" w:eastAsia="zh-CN" w:bidi="ar-SA"/>
                    </w:rPr>
                    <w:t>保护内容/人</w:t>
                  </w:r>
                </w:p>
              </w:tc>
              <w:tc>
                <w:tcPr>
                  <w:tcW w:w="1230" w:type="pct"/>
                  <w:vMerge w:val="restart"/>
                  <w:vAlign w:val="center"/>
                </w:tcPr>
                <w:p w14:paraId="5ADA33D6">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b w:val="0"/>
                      <w:bCs w:val="0"/>
                      <w:kern w:val="2"/>
                      <w:sz w:val="21"/>
                      <w:szCs w:val="21"/>
                      <w:vertAlign w:val="baseline"/>
                      <w:lang w:val="en-US" w:eastAsia="zh-CN" w:bidi="ar-SA"/>
                    </w:rPr>
                    <w:t>环境功能区</w:t>
                  </w:r>
                </w:p>
              </w:tc>
              <w:tc>
                <w:tcPr>
                  <w:tcW w:w="419" w:type="pct"/>
                  <w:vMerge w:val="restart"/>
                  <w:vAlign w:val="center"/>
                </w:tcPr>
                <w:p w14:paraId="4C3934B5">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b w:val="0"/>
                      <w:bCs w:val="0"/>
                      <w:kern w:val="2"/>
                      <w:sz w:val="21"/>
                      <w:szCs w:val="21"/>
                      <w:vertAlign w:val="baseline"/>
                      <w:lang w:val="en-US" w:eastAsia="zh-CN" w:bidi="ar-SA"/>
                    </w:rPr>
                  </w:pPr>
                  <w:r>
                    <w:rPr>
                      <w:rFonts w:hint="default" w:ascii="Times New Roman" w:hAnsi="Times New Roman" w:cs="Times New Roman" w:eastAsiaTheme="minorEastAsia"/>
                      <w:b w:val="0"/>
                      <w:bCs w:val="0"/>
                      <w:kern w:val="2"/>
                      <w:sz w:val="21"/>
                      <w:szCs w:val="21"/>
                      <w:vertAlign w:val="baseline"/>
                      <w:lang w:val="en-US" w:eastAsia="zh-CN" w:bidi="ar-SA"/>
                    </w:rPr>
                    <w:t>相对厂址方位</w:t>
                  </w:r>
                </w:p>
              </w:tc>
              <w:tc>
                <w:tcPr>
                  <w:tcW w:w="421" w:type="pct"/>
                  <w:vMerge w:val="restart"/>
                  <w:vAlign w:val="center"/>
                </w:tcPr>
                <w:p w14:paraId="26385B20">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b w:val="0"/>
                      <w:bCs w:val="0"/>
                      <w:kern w:val="2"/>
                      <w:sz w:val="21"/>
                      <w:szCs w:val="21"/>
                      <w:vertAlign w:val="baseline"/>
                      <w:lang w:val="en-US" w:eastAsia="zh-CN" w:bidi="ar-SA"/>
                    </w:rPr>
                  </w:pPr>
                  <w:r>
                    <w:rPr>
                      <w:rFonts w:hint="default" w:ascii="Times New Roman" w:hAnsi="Times New Roman" w:cs="Times New Roman" w:eastAsiaTheme="minorEastAsia"/>
                      <w:b w:val="0"/>
                      <w:bCs w:val="0"/>
                      <w:kern w:val="2"/>
                      <w:sz w:val="21"/>
                      <w:szCs w:val="21"/>
                      <w:vertAlign w:val="baseline"/>
                      <w:lang w:val="en-US" w:eastAsia="zh-CN" w:bidi="ar-SA"/>
                    </w:rPr>
                    <w:t>相对厂界距离/m</w:t>
                  </w:r>
                </w:p>
              </w:tc>
            </w:tr>
            <w:tr w14:paraId="12BAC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322" w:type="pct"/>
                  <w:vMerge w:val="continue"/>
                  <w:vAlign w:val="center"/>
                </w:tcPr>
                <w:p w14:paraId="11494031">
                  <w:pPr>
                    <w:keepNext w:val="0"/>
                    <w:keepLines w:val="0"/>
                    <w:pageBreakBefore w:val="0"/>
                    <w:widowControl w:val="0"/>
                    <w:kinsoku/>
                    <w:wordWrap/>
                    <w:overflowPunct/>
                    <w:topLinePunct w:val="0"/>
                    <w:autoSpaceDE w:val="0"/>
                    <w:autoSpaceDN/>
                    <w:bidi w:val="0"/>
                    <w:adjustRightInd w:val="0"/>
                    <w:snapToGrid w:val="0"/>
                    <w:spacing w:line="360" w:lineRule="exact"/>
                    <w:ind w:left="0" w:leftChars="0" w:firstLine="0" w:firstLineChars="0"/>
                    <w:jc w:val="center"/>
                    <w:textAlignment w:val="auto"/>
                  </w:pPr>
                </w:p>
              </w:tc>
              <w:tc>
                <w:tcPr>
                  <w:tcW w:w="472" w:type="pct"/>
                  <w:vMerge w:val="continue"/>
                  <w:vAlign w:val="center"/>
                </w:tcPr>
                <w:p w14:paraId="75A78A7C">
                  <w:pPr>
                    <w:keepNext w:val="0"/>
                    <w:keepLines w:val="0"/>
                    <w:pageBreakBefore w:val="0"/>
                    <w:widowControl w:val="0"/>
                    <w:kinsoku/>
                    <w:wordWrap/>
                    <w:overflowPunct/>
                    <w:topLinePunct w:val="0"/>
                    <w:autoSpaceDE w:val="0"/>
                    <w:autoSpaceDN/>
                    <w:bidi w:val="0"/>
                    <w:adjustRightInd w:val="0"/>
                    <w:snapToGrid w:val="0"/>
                    <w:spacing w:line="360" w:lineRule="exact"/>
                    <w:ind w:left="0" w:leftChars="0" w:firstLine="0" w:firstLineChars="0"/>
                    <w:jc w:val="center"/>
                    <w:textAlignment w:val="auto"/>
                  </w:pPr>
                </w:p>
              </w:tc>
              <w:tc>
                <w:tcPr>
                  <w:tcW w:w="535" w:type="pct"/>
                  <w:vAlign w:val="center"/>
                </w:tcPr>
                <w:p w14:paraId="0AA20502">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b w:val="0"/>
                      <w:bCs w:val="0"/>
                      <w:kern w:val="2"/>
                      <w:sz w:val="21"/>
                      <w:szCs w:val="21"/>
                      <w:vertAlign w:val="baseline"/>
                      <w:lang w:val="en-US" w:eastAsia="zh-CN" w:bidi="ar-SA"/>
                    </w:rPr>
                    <w:t>X（m）</w:t>
                  </w:r>
                </w:p>
              </w:tc>
              <w:tc>
                <w:tcPr>
                  <w:tcW w:w="535" w:type="pct"/>
                  <w:vAlign w:val="center"/>
                </w:tcPr>
                <w:p w14:paraId="03311052">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b w:val="0"/>
                      <w:bCs w:val="0"/>
                      <w:kern w:val="2"/>
                      <w:sz w:val="21"/>
                      <w:szCs w:val="21"/>
                      <w:vertAlign w:val="baseline"/>
                      <w:lang w:val="en-US" w:eastAsia="zh-CN" w:bidi="ar-SA"/>
                    </w:rPr>
                    <w:t>Y（m）</w:t>
                  </w:r>
                </w:p>
              </w:tc>
              <w:tc>
                <w:tcPr>
                  <w:tcW w:w="389" w:type="pct"/>
                  <w:vMerge w:val="continue"/>
                  <w:vAlign w:val="center"/>
                </w:tcPr>
                <w:p w14:paraId="0B70AEDE">
                  <w:pPr>
                    <w:keepNext w:val="0"/>
                    <w:keepLines w:val="0"/>
                    <w:pageBreakBefore w:val="0"/>
                    <w:widowControl w:val="0"/>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p>
              </w:tc>
              <w:tc>
                <w:tcPr>
                  <w:tcW w:w="674" w:type="pct"/>
                  <w:vMerge w:val="continue"/>
                  <w:vAlign w:val="center"/>
                </w:tcPr>
                <w:p w14:paraId="7DB30FC4">
                  <w:pPr>
                    <w:keepNext w:val="0"/>
                    <w:keepLines w:val="0"/>
                    <w:pageBreakBefore w:val="0"/>
                    <w:widowControl w:val="0"/>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p>
              </w:tc>
              <w:tc>
                <w:tcPr>
                  <w:tcW w:w="1230" w:type="pct"/>
                  <w:vMerge w:val="continue"/>
                  <w:vAlign w:val="center"/>
                </w:tcPr>
                <w:p w14:paraId="796E152D">
                  <w:pPr>
                    <w:keepNext w:val="0"/>
                    <w:keepLines w:val="0"/>
                    <w:pageBreakBefore w:val="0"/>
                    <w:widowControl w:val="0"/>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p>
              </w:tc>
              <w:tc>
                <w:tcPr>
                  <w:tcW w:w="419" w:type="pct"/>
                  <w:vMerge w:val="continue"/>
                  <w:vAlign w:val="center"/>
                </w:tcPr>
                <w:p w14:paraId="61D7AAED">
                  <w:pPr>
                    <w:keepNext w:val="0"/>
                    <w:keepLines w:val="0"/>
                    <w:pageBreakBefore w:val="0"/>
                    <w:widowControl w:val="0"/>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p>
              </w:tc>
              <w:tc>
                <w:tcPr>
                  <w:tcW w:w="421" w:type="pct"/>
                  <w:vMerge w:val="continue"/>
                  <w:vAlign w:val="center"/>
                </w:tcPr>
                <w:p w14:paraId="25C1B5D4">
                  <w:pPr>
                    <w:keepNext w:val="0"/>
                    <w:keepLines w:val="0"/>
                    <w:pageBreakBefore w:val="0"/>
                    <w:widowControl w:val="0"/>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p>
              </w:tc>
            </w:tr>
            <w:tr w14:paraId="6E99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 w:type="pct"/>
                  <w:vAlign w:val="center"/>
                </w:tcPr>
                <w:p w14:paraId="38C16997">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eastAsia" w:ascii="Times New Roman" w:hAnsi="Times New Roman" w:cs="Times New Roman"/>
                      <w:sz w:val="21"/>
                      <w:szCs w:val="21"/>
                      <w:vertAlign w:val="baseline"/>
                      <w:lang w:val="en-US" w:eastAsia="zh-CN"/>
                    </w:rPr>
                    <w:t>大气环境</w:t>
                  </w:r>
                </w:p>
              </w:tc>
              <w:tc>
                <w:tcPr>
                  <w:tcW w:w="472" w:type="pct"/>
                  <w:vAlign w:val="center"/>
                </w:tcPr>
                <w:p w14:paraId="323FB046">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eastAsia" w:ascii="Times New Roman" w:hAnsi="Times New Roman" w:cs="Times New Roman"/>
                      <w:sz w:val="21"/>
                      <w:szCs w:val="21"/>
                      <w:vertAlign w:val="baseline"/>
                      <w:lang w:val="en-US" w:eastAsia="zh-CN"/>
                    </w:rPr>
                    <w:t>梅龙街道</w:t>
                  </w:r>
                </w:p>
              </w:tc>
              <w:tc>
                <w:tcPr>
                  <w:tcW w:w="535" w:type="pct"/>
                  <w:vAlign w:val="center"/>
                </w:tcPr>
                <w:p w14:paraId="47B3BEC3">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r>
                    <w:rPr>
                      <w:rFonts w:hint="eastAsia" w:ascii="Times New Roman" w:hAnsi="Times New Roman" w:cs="Times New Roman"/>
                      <w:kern w:val="2"/>
                      <w:sz w:val="21"/>
                      <w:szCs w:val="21"/>
                      <w:vertAlign w:val="baseline"/>
                      <w:lang w:val="en-US" w:eastAsia="zh-CN" w:bidi="ar-SA"/>
                    </w:rPr>
                    <w:t>-180</w:t>
                  </w:r>
                </w:p>
              </w:tc>
              <w:tc>
                <w:tcPr>
                  <w:tcW w:w="535" w:type="pct"/>
                  <w:vAlign w:val="center"/>
                </w:tcPr>
                <w:p w14:paraId="2C05F6DA">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r>
                    <w:rPr>
                      <w:rFonts w:hint="eastAsia" w:ascii="Times New Roman" w:hAnsi="Times New Roman" w:cs="Times New Roman"/>
                      <w:kern w:val="2"/>
                      <w:sz w:val="21"/>
                      <w:szCs w:val="21"/>
                      <w:vertAlign w:val="baseline"/>
                      <w:lang w:val="en-US" w:eastAsia="zh-CN" w:bidi="ar-SA"/>
                    </w:rPr>
                    <w:t>418</w:t>
                  </w:r>
                </w:p>
              </w:tc>
              <w:tc>
                <w:tcPr>
                  <w:tcW w:w="389" w:type="pct"/>
                  <w:vAlign w:val="center"/>
                </w:tcPr>
                <w:p w14:paraId="4588A0B9">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r>
                    <w:rPr>
                      <w:rFonts w:hint="eastAsia" w:ascii="Times New Roman" w:hAnsi="Times New Roman" w:cs="Times New Roman"/>
                      <w:kern w:val="2"/>
                      <w:sz w:val="21"/>
                      <w:szCs w:val="21"/>
                      <w:vertAlign w:val="baseline"/>
                      <w:lang w:val="en-US" w:eastAsia="zh-CN" w:bidi="ar-SA"/>
                    </w:rPr>
                    <w:t>居民</w:t>
                  </w:r>
                </w:p>
              </w:tc>
              <w:tc>
                <w:tcPr>
                  <w:tcW w:w="674" w:type="pct"/>
                  <w:vAlign w:val="center"/>
                </w:tcPr>
                <w:p w14:paraId="20AEA917">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r>
                    <w:rPr>
                      <w:rFonts w:hint="eastAsia" w:ascii="Times New Roman" w:hAnsi="Times New Roman" w:cs="Times New Roman"/>
                      <w:kern w:val="2"/>
                      <w:sz w:val="21"/>
                      <w:szCs w:val="21"/>
                      <w:vertAlign w:val="baseline"/>
                      <w:lang w:val="en-US" w:eastAsia="zh-CN" w:bidi="ar-SA"/>
                    </w:rPr>
                    <w:t>约747户，2241人</w:t>
                  </w:r>
                </w:p>
              </w:tc>
              <w:tc>
                <w:tcPr>
                  <w:tcW w:w="1230" w:type="pct"/>
                  <w:vAlign w:val="center"/>
                </w:tcPr>
                <w:p w14:paraId="61F568EC">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r>
                    <w:rPr>
                      <w:rFonts w:hint="default" w:ascii="Times New Roman" w:hAnsi="Times New Roman" w:cs="Times New Roman" w:eastAsiaTheme="minorEastAsia"/>
                      <w:kern w:val="2"/>
                      <w:sz w:val="21"/>
                      <w:szCs w:val="21"/>
                      <w:vertAlign w:val="baseline"/>
                      <w:lang w:val="en-US" w:eastAsia="zh-CN" w:bidi="ar-SA"/>
                    </w:rPr>
                    <w:t>《环境空气质量标准》</w:t>
                  </w:r>
                  <w:r>
                    <w:rPr>
                      <w:rFonts w:hint="eastAsia" w:ascii="Times New Roman" w:hAnsi="Times New Roman" w:cs="Times New Roman"/>
                      <w:kern w:val="2"/>
                      <w:sz w:val="21"/>
                      <w:szCs w:val="21"/>
                      <w:vertAlign w:val="baseline"/>
                      <w:lang w:val="en-US" w:eastAsia="zh-CN" w:bidi="ar-SA"/>
                    </w:rPr>
                    <w:t>（</w:t>
                  </w:r>
                  <w:r>
                    <w:rPr>
                      <w:rFonts w:hint="default" w:ascii="Times New Roman" w:hAnsi="Times New Roman" w:cs="Times New Roman" w:eastAsiaTheme="minorEastAsia"/>
                      <w:kern w:val="2"/>
                      <w:sz w:val="21"/>
                      <w:szCs w:val="21"/>
                      <w:vertAlign w:val="baseline"/>
                      <w:lang w:val="en-US" w:eastAsia="zh-CN" w:bidi="ar-SA"/>
                    </w:rPr>
                    <w:t>GB3095-2012</w:t>
                  </w:r>
                  <w:r>
                    <w:rPr>
                      <w:rFonts w:hint="eastAsia" w:ascii="Times New Roman" w:hAnsi="Times New Roman" w:cs="Times New Roman"/>
                      <w:kern w:val="2"/>
                      <w:sz w:val="21"/>
                      <w:szCs w:val="21"/>
                      <w:vertAlign w:val="baseline"/>
                      <w:lang w:val="en-US" w:eastAsia="zh-CN" w:bidi="ar-SA"/>
                    </w:rPr>
                    <w:t>）</w:t>
                  </w:r>
                  <w:r>
                    <w:rPr>
                      <w:rFonts w:hint="default" w:ascii="Times New Roman" w:hAnsi="Times New Roman" w:cs="Times New Roman" w:eastAsiaTheme="minorEastAsia"/>
                      <w:kern w:val="2"/>
                      <w:sz w:val="21"/>
                      <w:szCs w:val="21"/>
                      <w:vertAlign w:val="baseline"/>
                      <w:lang w:val="en-US" w:eastAsia="zh-CN" w:bidi="ar-SA"/>
                    </w:rPr>
                    <w:t>及修改单中二级标准</w:t>
                  </w:r>
                </w:p>
              </w:tc>
              <w:tc>
                <w:tcPr>
                  <w:tcW w:w="419" w:type="pct"/>
                  <w:vAlign w:val="center"/>
                </w:tcPr>
                <w:p w14:paraId="19C14326">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r>
                    <w:rPr>
                      <w:rFonts w:hint="eastAsia" w:ascii="Times New Roman" w:hAnsi="Times New Roman" w:cs="Times New Roman"/>
                      <w:kern w:val="2"/>
                      <w:sz w:val="21"/>
                      <w:szCs w:val="21"/>
                      <w:vertAlign w:val="baseline"/>
                      <w:lang w:val="en-US" w:eastAsia="zh-CN" w:bidi="ar-SA"/>
                    </w:rPr>
                    <w:t>NW</w:t>
                  </w:r>
                </w:p>
              </w:tc>
              <w:tc>
                <w:tcPr>
                  <w:tcW w:w="421" w:type="pct"/>
                  <w:vAlign w:val="center"/>
                </w:tcPr>
                <w:p w14:paraId="64EF39EB">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r>
                    <w:rPr>
                      <w:rFonts w:hint="eastAsia" w:ascii="Times New Roman" w:hAnsi="Times New Roman" w:cs="Times New Roman"/>
                      <w:kern w:val="2"/>
                      <w:sz w:val="21"/>
                      <w:szCs w:val="21"/>
                      <w:vertAlign w:val="baseline"/>
                      <w:lang w:val="en-US" w:eastAsia="zh-CN" w:bidi="ar-SA"/>
                    </w:rPr>
                    <w:t>365</w:t>
                  </w:r>
                </w:p>
              </w:tc>
            </w:tr>
          </w:tbl>
          <w:p w14:paraId="6220508E">
            <w:pPr>
              <w:pStyle w:val="13"/>
              <w:shd w:val="clear"/>
              <w:spacing w:line="360" w:lineRule="auto"/>
              <w:ind w:left="0" w:leftChars="0" w:firstLine="0" w:firstLineChars="0"/>
              <w:rPr>
                <w:rFonts w:hint="eastAsia" w:ascii="Times New Roman" w:hAnsi="Times New Roman" w:cs="Times New Roman"/>
                <w:sz w:val="24"/>
                <w:lang w:val="en-US" w:eastAsia="zh-CN"/>
              </w:rPr>
            </w:pPr>
            <w:r>
              <w:rPr>
                <w:rFonts w:hint="default" w:ascii="Times New Roman" w:hAnsi="Times New Roman" w:eastAsia="宋体" w:cs="Times New Roman"/>
                <w:b w:val="0"/>
                <w:bCs w:val="0"/>
                <w:sz w:val="18"/>
                <w:szCs w:val="18"/>
              </w:rPr>
              <w:t>注：以厂区西南角为原点，正东方向为X轴正方向，正北为Y轴正方向</w:t>
            </w:r>
            <w:r>
              <w:rPr>
                <w:rFonts w:hint="eastAsia" w:ascii="Times New Roman" w:hAnsi="Times New Roman" w:eastAsia="宋体" w:cs="Times New Roman"/>
                <w:b w:val="0"/>
                <w:bCs w:val="0"/>
                <w:sz w:val="18"/>
                <w:szCs w:val="18"/>
                <w:lang w:eastAsia="zh-CN"/>
              </w:rPr>
              <w:t>。</w:t>
            </w:r>
          </w:p>
          <w:p w14:paraId="41087856">
            <w:pPr>
              <w:keepNext w:val="0"/>
              <w:keepLines w:val="0"/>
              <w:pageBreakBefore w:val="0"/>
              <w:widowControl w:val="0"/>
              <w:numPr>
                <w:ilvl w:val="0"/>
                <w:numId w:val="0"/>
              </w:numPr>
              <w:kinsoku/>
              <w:wordWrap/>
              <w:overflowPunct/>
              <w:topLinePunct w:val="0"/>
              <w:autoSpaceDN/>
              <w:bidi w:val="0"/>
              <w:snapToGrid/>
              <w:spacing w:line="360" w:lineRule="auto"/>
              <w:ind w:leftChars="200"/>
              <w:textAlignment w:val="auto"/>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2、地表水环境保护目标</w:t>
            </w:r>
          </w:p>
          <w:p w14:paraId="66575195">
            <w:pPr>
              <w:keepNext w:val="0"/>
              <w:keepLines w:val="0"/>
              <w:pageBreakBefore w:val="0"/>
              <w:widowControl w:val="0"/>
              <w:numPr>
                <w:ilvl w:val="0"/>
                <w:numId w:val="0"/>
              </w:numPr>
              <w:kinsoku/>
              <w:wordWrap/>
              <w:overflowPunct/>
              <w:topLinePunct w:val="0"/>
              <w:autoSpaceDE w:val="0"/>
              <w:autoSpaceDN/>
              <w:bidi w:val="0"/>
              <w:adjustRightInd w:val="0"/>
              <w:snapToGrid/>
              <w:spacing w:line="360" w:lineRule="auto"/>
              <w:jc w:val="center"/>
              <w:textAlignment w:val="auto"/>
              <w:rPr>
                <w:rFonts w:hint="default" w:ascii="Times New Roman" w:hAnsi="Times New Roman" w:eastAsia="黑体" w:cs="Times New Roman"/>
                <w:sz w:val="21"/>
                <w:szCs w:val="21"/>
                <w:lang w:val="en-US" w:eastAsia="zh-CN"/>
              </w:rPr>
            </w:pPr>
            <w:r>
              <w:rPr>
                <w:rFonts w:hint="default" w:ascii="Times New Roman" w:hAnsi="Times New Roman" w:eastAsia="黑体" w:cs="Times New Roman"/>
                <w:sz w:val="21"/>
                <w:szCs w:val="21"/>
                <w:lang w:eastAsia="zh-CN"/>
              </w:rPr>
              <w:t>表</w:t>
            </w:r>
            <w:r>
              <w:rPr>
                <w:rFonts w:hint="eastAsia" w:ascii="Times New Roman" w:hAnsi="Times New Roman" w:eastAsia="黑体" w:cs="Times New Roman"/>
                <w:sz w:val="21"/>
                <w:szCs w:val="21"/>
                <w:lang w:val="en-US" w:eastAsia="zh-CN"/>
              </w:rPr>
              <w:t>3-5 地表水环境保护目标一览表</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961"/>
              <w:gridCol w:w="1181"/>
              <w:gridCol w:w="1376"/>
              <w:gridCol w:w="1213"/>
              <w:gridCol w:w="2611"/>
            </w:tblGrid>
            <w:tr w14:paraId="33AB1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495" w:type="pct"/>
                  <w:vMerge w:val="restart"/>
                  <w:vAlign w:val="center"/>
                </w:tcPr>
                <w:p w14:paraId="39AA6309">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环境要素</w:t>
                  </w:r>
                </w:p>
              </w:tc>
              <w:tc>
                <w:tcPr>
                  <w:tcW w:w="589" w:type="pct"/>
                  <w:vMerge w:val="restart"/>
                  <w:vAlign w:val="center"/>
                </w:tcPr>
                <w:p w14:paraId="71649953">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保护目标</w:t>
                  </w:r>
                </w:p>
              </w:tc>
              <w:tc>
                <w:tcPr>
                  <w:tcW w:w="724" w:type="pct"/>
                  <w:vMerge w:val="restart"/>
                  <w:vAlign w:val="center"/>
                </w:tcPr>
                <w:p w14:paraId="25EDD4F1">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b w:val="0"/>
                      <w:bCs w:val="0"/>
                      <w:kern w:val="2"/>
                      <w:sz w:val="21"/>
                      <w:szCs w:val="21"/>
                      <w:vertAlign w:val="baseline"/>
                      <w:lang w:val="en-US" w:eastAsia="zh-CN" w:bidi="ar-SA"/>
                    </w:rPr>
                  </w:pPr>
                  <w:r>
                    <w:rPr>
                      <w:rFonts w:hint="default" w:ascii="Times New Roman" w:hAnsi="Times New Roman" w:cs="Times New Roman"/>
                      <w:b w:val="0"/>
                      <w:bCs w:val="0"/>
                      <w:kern w:val="2"/>
                      <w:sz w:val="21"/>
                      <w:szCs w:val="21"/>
                      <w:vertAlign w:val="baseline"/>
                      <w:lang w:val="en-US" w:eastAsia="zh-CN" w:bidi="ar-SA"/>
                    </w:rPr>
                    <w:t>规模</w:t>
                  </w:r>
                </w:p>
              </w:tc>
              <w:tc>
                <w:tcPr>
                  <w:tcW w:w="844" w:type="pct"/>
                  <w:vMerge w:val="restart"/>
                  <w:vAlign w:val="center"/>
                </w:tcPr>
                <w:p w14:paraId="35C9CE63">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b w:val="0"/>
                      <w:bCs w:val="0"/>
                      <w:kern w:val="2"/>
                      <w:sz w:val="21"/>
                      <w:szCs w:val="21"/>
                      <w:vertAlign w:val="baseline"/>
                      <w:lang w:val="en-US" w:eastAsia="zh-CN" w:bidi="ar-SA"/>
                    </w:rPr>
                  </w:pPr>
                  <w:r>
                    <w:rPr>
                      <w:rFonts w:hint="default" w:ascii="Times New Roman" w:hAnsi="Times New Roman" w:cs="Times New Roman"/>
                      <w:b w:val="0"/>
                      <w:bCs w:val="0"/>
                      <w:kern w:val="2"/>
                      <w:sz w:val="21"/>
                      <w:szCs w:val="21"/>
                      <w:vertAlign w:val="baseline"/>
                      <w:lang w:val="en-US" w:eastAsia="zh-CN" w:bidi="ar-SA"/>
                    </w:rPr>
                    <w:t>与项目相对位置</w:t>
                  </w:r>
                </w:p>
              </w:tc>
              <w:tc>
                <w:tcPr>
                  <w:tcW w:w="744" w:type="pct"/>
                  <w:vMerge w:val="restart"/>
                  <w:vAlign w:val="center"/>
                </w:tcPr>
                <w:p w14:paraId="7E0C185B">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b w:val="0"/>
                      <w:bCs w:val="0"/>
                      <w:kern w:val="2"/>
                      <w:sz w:val="21"/>
                      <w:szCs w:val="21"/>
                      <w:vertAlign w:val="baseline"/>
                      <w:lang w:val="en-US" w:eastAsia="zh-CN" w:bidi="ar-SA"/>
                    </w:rPr>
                  </w:pPr>
                  <w:r>
                    <w:rPr>
                      <w:rFonts w:hint="default" w:ascii="Times New Roman" w:hAnsi="Times New Roman" w:cs="Times New Roman"/>
                      <w:b w:val="0"/>
                      <w:bCs w:val="0"/>
                      <w:kern w:val="2"/>
                      <w:sz w:val="21"/>
                      <w:szCs w:val="21"/>
                      <w:vertAlign w:val="baseline"/>
                      <w:lang w:val="en-US" w:eastAsia="zh-CN" w:bidi="ar-SA"/>
                    </w:rPr>
                    <w:t>距离项目区距离</w:t>
                  </w:r>
                </w:p>
              </w:tc>
              <w:tc>
                <w:tcPr>
                  <w:tcW w:w="1601" w:type="pct"/>
                  <w:vMerge w:val="restart"/>
                  <w:vAlign w:val="center"/>
                </w:tcPr>
                <w:p w14:paraId="7ACB8A35">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b w:val="0"/>
                      <w:bCs w:val="0"/>
                      <w:kern w:val="2"/>
                      <w:sz w:val="21"/>
                      <w:szCs w:val="21"/>
                      <w:vertAlign w:val="baseline"/>
                      <w:lang w:val="en-US" w:eastAsia="zh-CN" w:bidi="ar-SA"/>
                    </w:rPr>
                  </w:pPr>
                  <w:r>
                    <w:rPr>
                      <w:rFonts w:hint="default" w:ascii="Times New Roman" w:hAnsi="Times New Roman" w:cs="Times New Roman"/>
                      <w:b w:val="0"/>
                      <w:bCs w:val="0"/>
                      <w:kern w:val="2"/>
                      <w:sz w:val="21"/>
                      <w:szCs w:val="21"/>
                      <w:vertAlign w:val="baseline"/>
                      <w:lang w:val="en-US" w:eastAsia="zh-CN" w:bidi="ar-SA"/>
                    </w:rPr>
                    <w:t>执行标准</w:t>
                  </w:r>
                </w:p>
              </w:tc>
            </w:tr>
            <w:tr w14:paraId="00A88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495" w:type="pct"/>
                  <w:vMerge w:val="continue"/>
                  <w:vAlign w:val="center"/>
                </w:tcPr>
                <w:p w14:paraId="131E08ED">
                  <w:pPr>
                    <w:keepNext w:val="0"/>
                    <w:keepLines w:val="0"/>
                    <w:pageBreakBefore w:val="0"/>
                    <w:widowControl w:val="0"/>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rPr>
                  </w:pPr>
                </w:p>
              </w:tc>
              <w:tc>
                <w:tcPr>
                  <w:tcW w:w="589" w:type="pct"/>
                  <w:vMerge w:val="continue"/>
                  <w:vAlign w:val="center"/>
                </w:tcPr>
                <w:p w14:paraId="1D089ADC">
                  <w:pPr>
                    <w:keepNext w:val="0"/>
                    <w:keepLines w:val="0"/>
                    <w:pageBreakBefore w:val="0"/>
                    <w:widowControl w:val="0"/>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rPr>
                  </w:pPr>
                </w:p>
              </w:tc>
              <w:tc>
                <w:tcPr>
                  <w:tcW w:w="724" w:type="pct"/>
                  <w:vMerge w:val="continue"/>
                  <w:vAlign w:val="center"/>
                </w:tcPr>
                <w:p w14:paraId="782F6975">
                  <w:pPr>
                    <w:keepNext w:val="0"/>
                    <w:keepLines w:val="0"/>
                    <w:pageBreakBefore w:val="0"/>
                    <w:widowControl w:val="0"/>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p>
              </w:tc>
              <w:tc>
                <w:tcPr>
                  <w:tcW w:w="844" w:type="pct"/>
                  <w:vMerge w:val="continue"/>
                  <w:vAlign w:val="center"/>
                </w:tcPr>
                <w:p w14:paraId="6F1802D9">
                  <w:pPr>
                    <w:keepNext w:val="0"/>
                    <w:keepLines w:val="0"/>
                    <w:pageBreakBefore w:val="0"/>
                    <w:widowControl w:val="0"/>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p>
              </w:tc>
              <w:tc>
                <w:tcPr>
                  <w:tcW w:w="744" w:type="pct"/>
                  <w:vMerge w:val="continue"/>
                  <w:vAlign w:val="center"/>
                </w:tcPr>
                <w:p w14:paraId="1362A484">
                  <w:pPr>
                    <w:keepNext w:val="0"/>
                    <w:keepLines w:val="0"/>
                    <w:pageBreakBefore w:val="0"/>
                    <w:widowControl w:val="0"/>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p>
              </w:tc>
              <w:tc>
                <w:tcPr>
                  <w:tcW w:w="1601" w:type="pct"/>
                  <w:vMerge w:val="continue"/>
                  <w:vAlign w:val="center"/>
                </w:tcPr>
                <w:p w14:paraId="7C6199DC">
                  <w:pPr>
                    <w:keepNext w:val="0"/>
                    <w:keepLines w:val="0"/>
                    <w:pageBreakBefore w:val="0"/>
                    <w:widowControl w:val="0"/>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p>
              </w:tc>
            </w:tr>
            <w:tr w14:paraId="4AAB4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5" w:type="pct"/>
                  <w:vMerge w:val="restart"/>
                  <w:vAlign w:val="center"/>
                </w:tcPr>
                <w:p w14:paraId="094A2AC7">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sz w:val="21"/>
                      <w:szCs w:val="21"/>
                      <w:vertAlign w:val="baseline"/>
                      <w:lang w:val="en-US" w:eastAsia="zh-CN"/>
                    </w:rPr>
                    <w:t>地表水</w:t>
                  </w:r>
                </w:p>
              </w:tc>
              <w:tc>
                <w:tcPr>
                  <w:tcW w:w="589" w:type="pct"/>
                  <w:vAlign w:val="center"/>
                </w:tcPr>
                <w:p w14:paraId="5E103C3F">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长江</w:t>
                  </w:r>
                </w:p>
              </w:tc>
              <w:tc>
                <w:tcPr>
                  <w:tcW w:w="724" w:type="pct"/>
                  <w:vAlign w:val="center"/>
                </w:tcPr>
                <w:p w14:paraId="0372B821">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r>
                    <w:rPr>
                      <w:rFonts w:hint="eastAsia" w:ascii="Times New Roman" w:hAnsi="Times New Roman" w:cs="Times New Roman"/>
                      <w:kern w:val="2"/>
                      <w:sz w:val="21"/>
                      <w:szCs w:val="21"/>
                      <w:vertAlign w:val="baseline"/>
                      <w:lang w:val="en-US" w:eastAsia="zh-CN" w:bidi="ar-SA"/>
                    </w:rPr>
                    <w:t>大型河流</w:t>
                  </w:r>
                </w:p>
              </w:tc>
              <w:tc>
                <w:tcPr>
                  <w:tcW w:w="844" w:type="pct"/>
                  <w:vAlign w:val="center"/>
                </w:tcPr>
                <w:p w14:paraId="5F4E7EDF">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r>
                    <w:rPr>
                      <w:rFonts w:hint="eastAsia" w:ascii="Times New Roman" w:hAnsi="Times New Roman" w:cs="Times New Roman"/>
                      <w:kern w:val="2"/>
                      <w:sz w:val="21"/>
                      <w:szCs w:val="21"/>
                      <w:vertAlign w:val="baseline"/>
                      <w:lang w:val="en-US" w:eastAsia="zh-CN" w:bidi="ar-SA"/>
                    </w:rPr>
                    <w:t>N</w:t>
                  </w:r>
                </w:p>
              </w:tc>
              <w:tc>
                <w:tcPr>
                  <w:tcW w:w="744" w:type="pct"/>
                  <w:vAlign w:val="center"/>
                </w:tcPr>
                <w:p w14:paraId="132ABC0F">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r>
                    <w:rPr>
                      <w:rFonts w:hint="eastAsia" w:ascii="Times New Roman" w:hAnsi="Times New Roman" w:cs="Times New Roman"/>
                      <w:kern w:val="2"/>
                      <w:sz w:val="21"/>
                      <w:szCs w:val="21"/>
                      <w:vertAlign w:val="baseline"/>
                      <w:lang w:val="en-US" w:eastAsia="zh-CN" w:bidi="ar-SA"/>
                    </w:rPr>
                    <w:t>1120m</w:t>
                  </w:r>
                </w:p>
              </w:tc>
              <w:tc>
                <w:tcPr>
                  <w:tcW w:w="1601" w:type="pct"/>
                  <w:vMerge w:val="restart"/>
                  <w:vAlign w:val="center"/>
                </w:tcPr>
                <w:p w14:paraId="30352735">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r>
                    <w:rPr>
                      <w:rFonts w:hint="default" w:ascii="Times New Roman" w:hAnsi="Times New Roman" w:cs="Times New Roman" w:eastAsiaTheme="minorEastAsia"/>
                      <w:kern w:val="2"/>
                      <w:sz w:val="21"/>
                      <w:szCs w:val="21"/>
                      <w:vertAlign w:val="baseline"/>
                      <w:lang w:val="en-US" w:eastAsia="zh-CN" w:bidi="ar-SA"/>
                    </w:rPr>
                    <w:t>《地表水环境质量标准》（GB3838-2002）Ⅲ类标准</w:t>
                  </w:r>
                </w:p>
              </w:tc>
            </w:tr>
            <w:tr w14:paraId="5DC43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5" w:type="pct"/>
                  <w:vMerge w:val="continue"/>
                  <w:vAlign w:val="center"/>
                </w:tcPr>
                <w:p w14:paraId="29E23EA8">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sz w:val="21"/>
                      <w:szCs w:val="21"/>
                      <w:vertAlign w:val="baseline"/>
                      <w:lang w:val="en-US" w:eastAsia="zh-CN"/>
                    </w:rPr>
                  </w:pPr>
                </w:p>
              </w:tc>
              <w:tc>
                <w:tcPr>
                  <w:tcW w:w="589" w:type="pct"/>
                  <w:vAlign w:val="center"/>
                </w:tcPr>
                <w:p w14:paraId="7603CD8C">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九华河</w:t>
                  </w:r>
                </w:p>
              </w:tc>
              <w:tc>
                <w:tcPr>
                  <w:tcW w:w="724" w:type="pct"/>
                  <w:vAlign w:val="center"/>
                </w:tcPr>
                <w:p w14:paraId="226A02EF">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kern w:val="2"/>
                      <w:sz w:val="21"/>
                      <w:szCs w:val="21"/>
                      <w:vertAlign w:val="baseline"/>
                      <w:lang w:val="en-US" w:eastAsia="zh-CN" w:bidi="ar-SA"/>
                    </w:rPr>
                  </w:pPr>
                  <w:r>
                    <w:rPr>
                      <w:rFonts w:hint="eastAsia" w:ascii="Times New Roman" w:hAnsi="Times New Roman" w:cs="Times New Roman"/>
                      <w:kern w:val="2"/>
                      <w:sz w:val="21"/>
                      <w:szCs w:val="21"/>
                      <w:vertAlign w:val="baseline"/>
                      <w:lang w:val="en-US" w:eastAsia="zh-CN" w:bidi="ar-SA"/>
                    </w:rPr>
                    <w:t>小型河流</w:t>
                  </w:r>
                </w:p>
              </w:tc>
              <w:tc>
                <w:tcPr>
                  <w:tcW w:w="844" w:type="pct"/>
                  <w:vAlign w:val="center"/>
                </w:tcPr>
                <w:p w14:paraId="2280AABB">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kern w:val="2"/>
                      <w:sz w:val="21"/>
                      <w:szCs w:val="21"/>
                      <w:vertAlign w:val="baseline"/>
                      <w:lang w:val="en-US" w:eastAsia="zh-CN" w:bidi="ar-SA"/>
                    </w:rPr>
                  </w:pPr>
                  <w:r>
                    <w:rPr>
                      <w:rFonts w:hint="eastAsia" w:ascii="Times New Roman" w:hAnsi="Times New Roman" w:cs="Times New Roman"/>
                      <w:kern w:val="2"/>
                      <w:sz w:val="21"/>
                      <w:szCs w:val="21"/>
                      <w:vertAlign w:val="baseline"/>
                      <w:lang w:val="en-US" w:eastAsia="zh-CN" w:bidi="ar-SA"/>
                    </w:rPr>
                    <w:t>W</w:t>
                  </w:r>
                </w:p>
              </w:tc>
              <w:tc>
                <w:tcPr>
                  <w:tcW w:w="744" w:type="pct"/>
                  <w:vAlign w:val="center"/>
                </w:tcPr>
                <w:p w14:paraId="486F08E0">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kern w:val="2"/>
                      <w:sz w:val="21"/>
                      <w:szCs w:val="21"/>
                      <w:vertAlign w:val="baseline"/>
                      <w:lang w:val="en-US" w:eastAsia="zh-CN" w:bidi="ar-SA"/>
                    </w:rPr>
                  </w:pPr>
                  <w:r>
                    <w:rPr>
                      <w:rFonts w:hint="eastAsia" w:ascii="Times New Roman" w:hAnsi="Times New Roman" w:cs="Times New Roman"/>
                      <w:kern w:val="2"/>
                      <w:sz w:val="21"/>
                      <w:szCs w:val="21"/>
                      <w:vertAlign w:val="baseline"/>
                      <w:lang w:val="en-US" w:eastAsia="zh-CN" w:bidi="ar-SA"/>
                    </w:rPr>
                    <w:t>770m</w:t>
                  </w:r>
                </w:p>
              </w:tc>
              <w:tc>
                <w:tcPr>
                  <w:tcW w:w="1601" w:type="pct"/>
                  <w:vMerge w:val="continue"/>
                  <w:vAlign w:val="center"/>
                </w:tcPr>
                <w:p w14:paraId="1A68C54D">
                  <w:pPr>
                    <w:keepNext w:val="0"/>
                    <w:keepLines w:val="0"/>
                    <w:pageBreakBefore w:val="0"/>
                    <w:widowControl w:val="0"/>
                    <w:numPr>
                      <w:ilvl w:val="0"/>
                      <w:numId w:val="0"/>
                    </w:numPr>
                    <w:kinsoku/>
                    <w:wordWrap/>
                    <w:overflowPunct/>
                    <w:topLinePunct w:val="0"/>
                    <w:autoSpaceDE w:val="0"/>
                    <w:autoSpaceDN/>
                    <w:bidi w:val="0"/>
                    <w:adjustRightInd w:val="0"/>
                    <w:snapToGrid w:val="0"/>
                    <w:spacing w:line="360" w:lineRule="exact"/>
                    <w:ind w:left="0" w:leftChars="0" w:firstLine="0" w:firstLineChars="0"/>
                    <w:jc w:val="center"/>
                    <w:textAlignment w:val="auto"/>
                    <w:rPr>
                      <w:rFonts w:hint="default" w:ascii="Times New Roman" w:hAnsi="Times New Roman" w:cs="Times New Roman" w:eastAsiaTheme="minorEastAsia"/>
                      <w:kern w:val="2"/>
                      <w:sz w:val="21"/>
                      <w:szCs w:val="21"/>
                      <w:vertAlign w:val="baseline"/>
                      <w:lang w:val="en-US" w:eastAsia="zh-CN" w:bidi="ar-SA"/>
                    </w:rPr>
                  </w:pPr>
                </w:p>
              </w:tc>
            </w:tr>
          </w:tbl>
          <w:p w14:paraId="16C1AE54">
            <w:pPr>
              <w:keepNext w:val="0"/>
              <w:keepLines w:val="0"/>
              <w:pageBreakBefore w:val="0"/>
              <w:widowControl w:val="0"/>
              <w:numPr>
                <w:ilvl w:val="0"/>
                <w:numId w:val="0"/>
              </w:numPr>
              <w:kinsoku/>
              <w:wordWrap/>
              <w:overflowPunct/>
              <w:topLinePunct w:val="0"/>
              <w:autoSpaceDN/>
              <w:bidi w:val="0"/>
              <w:snapToGrid/>
              <w:spacing w:line="360" w:lineRule="auto"/>
              <w:ind w:firstLine="480" w:firstLineChars="200"/>
              <w:textAlignment w:val="auto"/>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3、声环境保护目标</w:t>
            </w:r>
          </w:p>
          <w:p w14:paraId="79649FB2">
            <w:pPr>
              <w:numPr>
                <w:ilvl w:val="0"/>
                <w:numId w:val="0"/>
              </w:numPr>
              <w:bidi w:val="0"/>
              <w:spacing w:line="360" w:lineRule="auto"/>
              <w:ind w:firstLine="480" w:firstLineChars="200"/>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本项目厂界外50m米范围内无声环境保护目标。</w:t>
            </w:r>
          </w:p>
          <w:p w14:paraId="4B645C60">
            <w:pPr>
              <w:numPr>
                <w:ilvl w:val="0"/>
                <w:numId w:val="0"/>
              </w:numPr>
              <w:bidi w:val="0"/>
              <w:spacing w:line="360" w:lineRule="auto"/>
              <w:ind w:firstLine="480" w:firstLineChars="20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w:t>
            </w:r>
            <w:r>
              <w:rPr>
                <w:rFonts w:hint="default" w:ascii="Times New Roman" w:hAnsi="Times New Roman" w:cs="Times New Roman"/>
                <w:sz w:val="24"/>
                <w:szCs w:val="24"/>
                <w:lang w:val="en-US" w:eastAsia="zh-CN"/>
              </w:rPr>
              <w:t>地下水环境保护目标</w:t>
            </w:r>
          </w:p>
          <w:p w14:paraId="1474E976">
            <w:pPr>
              <w:numPr>
                <w:ilvl w:val="0"/>
                <w:numId w:val="0"/>
              </w:numPr>
              <w:bidi w:val="0"/>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本项目厂</w:t>
            </w:r>
            <w:r>
              <w:rPr>
                <w:rFonts w:hint="default" w:ascii="Times New Roman" w:hAnsi="Times New Roman" w:cs="Times New Roman"/>
                <w:sz w:val="24"/>
                <w:szCs w:val="24"/>
                <w:lang w:val="en-US" w:eastAsia="zh-CN"/>
              </w:rPr>
              <w:t>界</w:t>
            </w:r>
            <w:r>
              <w:rPr>
                <w:rFonts w:hint="default" w:ascii="Times New Roman" w:hAnsi="Times New Roman" w:cs="Times New Roman"/>
                <w:sz w:val="24"/>
                <w:szCs w:val="24"/>
              </w:rPr>
              <w:t>外500米</w:t>
            </w:r>
            <w:r>
              <w:rPr>
                <w:rFonts w:hint="default" w:ascii="Times New Roman" w:hAnsi="Times New Roman" w:cs="Times New Roman"/>
                <w:sz w:val="24"/>
                <w:szCs w:val="24"/>
                <w:lang w:val="en-US" w:eastAsia="zh-CN"/>
              </w:rPr>
              <w:t>范围</w:t>
            </w:r>
            <w:r>
              <w:rPr>
                <w:rFonts w:hint="default" w:ascii="Times New Roman" w:hAnsi="Times New Roman" w:cs="Times New Roman"/>
                <w:sz w:val="24"/>
                <w:szCs w:val="24"/>
              </w:rPr>
              <w:t>内无地下水</w:t>
            </w:r>
            <w:r>
              <w:rPr>
                <w:rFonts w:hint="default" w:ascii="Times New Roman" w:hAnsi="Times New Roman" w:cs="Times New Roman"/>
                <w:sz w:val="24"/>
                <w:szCs w:val="24"/>
                <w:lang w:val="en-US" w:eastAsia="zh-CN"/>
              </w:rPr>
              <w:t>集</w:t>
            </w:r>
            <w:r>
              <w:rPr>
                <w:rFonts w:hint="default" w:ascii="Times New Roman" w:hAnsi="Times New Roman" w:cs="Times New Roman"/>
                <w:sz w:val="24"/>
                <w:szCs w:val="24"/>
              </w:rPr>
              <w:t>中式饮用水</w:t>
            </w:r>
            <w:r>
              <w:rPr>
                <w:rFonts w:hint="default" w:ascii="Times New Roman" w:hAnsi="Times New Roman" w:cs="Times New Roman"/>
                <w:sz w:val="24"/>
                <w:szCs w:val="24"/>
                <w:lang w:val="en-US" w:eastAsia="zh-CN"/>
              </w:rPr>
              <w:t>水</w:t>
            </w:r>
            <w:r>
              <w:rPr>
                <w:rFonts w:hint="default" w:ascii="Times New Roman" w:hAnsi="Times New Roman" w:cs="Times New Roman"/>
                <w:sz w:val="24"/>
                <w:szCs w:val="24"/>
              </w:rPr>
              <w:t>源和热水、矿泉水、温泉等特殊地下水资源。</w:t>
            </w:r>
          </w:p>
          <w:p w14:paraId="268595E4">
            <w:pPr>
              <w:numPr>
                <w:ilvl w:val="0"/>
                <w:numId w:val="0"/>
              </w:numPr>
              <w:bidi w:val="0"/>
              <w:spacing w:line="360" w:lineRule="auto"/>
              <w:ind w:firstLine="480" w:firstLineChars="20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5、</w:t>
            </w:r>
            <w:r>
              <w:rPr>
                <w:rFonts w:hint="default" w:ascii="Times New Roman" w:hAnsi="Times New Roman" w:cs="Times New Roman"/>
                <w:sz w:val="24"/>
                <w:szCs w:val="24"/>
                <w:lang w:val="en-US" w:eastAsia="zh-CN"/>
              </w:rPr>
              <w:t>生态环境保护目标</w:t>
            </w:r>
          </w:p>
          <w:p w14:paraId="094BD3B9">
            <w:pPr>
              <w:numPr>
                <w:ilvl w:val="0"/>
                <w:numId w:val="0"/>
              </w:numPr>
              <w:bidi w:val="0"/>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本项目位于安徽皖江江南新兴产业集中区，用地范围内无生态环境保护目标。</w:t>
            </w:r>
          </w:p>
          <w:p w14:paraId="48E4B433">
            <w:pPr>
              <w:numPr>
                <w:ilvl w:val="0"/>
                <w:numId w:val="0"/>
              </w:numPr>
              <w:bidi w:val="0"/>
              <w:spacing w:line="360" w:lineRule="auto"/>
              <w:rPr>
                <w:rFonts w:hint="eastAsia" w:ascii="Times New Roman" w:hAnsi="Times New Roman" w:cs="Times New Roman"/>
                <w:sz w:val="24"/>
                <w:szCs w:val="24"/>
                <w:lang w:val="en-US" w:eastAsia="zh-CN"/>
              </w:rPr>
            </w:pPr>
          </w:p>
          <w:p w14:paraId="06DDBDBD">
            <w:pPr>
              <w:numPr>
                <w:ilvl w:val="0"/>
                <w:numId w:val="0"/>
              </w:numPr>
              <w:bidi w:val="0"/>
              <w:spacing w:line="360" w:lineRule="auto"/>
              <w:rPr>
                <w:rFonts w:hint="eastAsia" w:ascii="Times New Roman" w:hAnsi="Times New Roman" w:cs="Times New Roman"/>
                <w:sz w:val="24"/>
                <w:szCs w:val="24"/>
                <w:lang w:val="en-US" w:eastAsia="zh-CN"/>
              </w:rPr>
            </w:pPr>
          </w:p>
          <w:p w14:paraId="774F8C85">
            <w:pPr>
              <w:numPr>
                <w:ilvl w:val="0"/>
                <w:numId w:val="0"/>
              </w:numPr>
              <w:bidi w:val="0"/>
              <w:spacing w:line="360" w:lineRule="auto"/>
              <w:rPr>
                <w:rFonts w:hint="eastAsia" w:ascii="Times New Roman" w:hAnsi="Times New Roman" w:cs="Times New Roman"/>
                <w:sz w:val="24"/>
                <w:szCs w:val="24"/>
                <w:lang w:val="en-US" w:eastAsia="zh-CN"/>
              </w:rPr>
            </w:pPr>
          </w:p>
          <w:p w14:paraId="7F6B49CA">
            <w:pPr>
              <w:numPr>
                <w:ilvl w:val="0"/>
                <w:numId w:val="0"/>
              </w:numPr>
              <w:bidi w:val="0"/>
              <w:spacing w:line="360" w:lineRule="auto"/>
              <w:rPr>
                <w:rFonts w:hint="eastAsia" w:ascii="Times New Roman" w:hAnsi="Times New Roman" w:cs="Times New Roman"/>
                <w:sz w:val="24"/>
                <w:szCs w:val="24"/>
                <w:lang w:val="en-US" w:eastAsia="zh-CN"/>
              </w:rPr>
            </w:pPr>
          </w:p>
          <w:p w14:paraId="59E76914">
            <w:pPr>
              <w:numPr>
                <w:ilvl w:val="0"/>
                <w:numId w:val="0"/>
              </w:numPr>
              <w:bidi w:val="0"/>
              <w:spacing w:line="360" w:lineRule="auto"/>
              <w:rPr>
                <w:rFonts w:hint="default" w:ascii="Times New Roman" w:hAnsi="Times New Roman" w:cs="Times New Roman"/>
                <w:sz w:val="24"/>
                <w:szCs w:val="24"/>
                <w:lang w:val="en-US" w:eastAsia="zh-CN"/>
              </w:rPr>
            </w:pPr>
          </w:p>
          <w:p w14:paraId="78AECFC0">
            <w:pPr>
              <w:numPr>
                <w:ilvl w:val="0"/>
                <w:numId w:val="0"/>
              </w:numPr>
              <w:bidi w:val="0"/>
              <w:spacing w:line="360" w:lineRule="auto"/>
              <w:rPr>
                <w:rFonts w:hint="default"/>
                <w:lang w:val="en-US" w:eastAsia="zh-CN"/>
              </w:rPr>
            </w:pPr>
          </w:p>
        </w:tc>
      </w:tr>
      <w:tr w14:paraId="0AD98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8" w:hRule="atLeast"/>
        </w:trPr>
        <w:tc>
          <w:tcPr>
            <w:tcW w:w="488" w:type="pct"/>
            <w:vAlign w:val="center"/>
          </w:tcPr>
          <w:p w14:paraId="274FB4D9">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污染物排</w:t>
            </w:r>
          </w:p>
          <w:p w14:paraId="405FE03F">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放控制标</w:t>
            </w:r>
          </w:p>
          <w:p w14:paraId="5D50F81B">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准</w:t>
            </w:r>
          </w:p>
        </w:tc>
        <w:tc>
          <w:tcPr>
            <w:tcW w:w="4511" w:type="pct"/>
            <w:vAlign w:val="center"/>
          </w:tcPr>
          <w:p w14:paraId="19BC8ED9">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rPr>
            </w:pPr>
            <w:r>
              <w:rPr>
                <w:rFonts w:hint="default" w:ascii="Times New Roman" w:hAnsi="Times New Roman" w:cs="Times New Roman"/>
                <w:b/>
                <w:bCs/>
                <w:sz w:val="24"/>
              </w:rPr>
              <w:t>1、废气</w:t>
            </w:r>
          </w:p>
          <w:p w14:paraId="7DF30C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本项目废气非甲烷总烃有组织排放执行安徽省《固定源挥发性有机物综合排放标准第5部分：电子工业》（DB34/4812.5-2024）表1中挥发性有机物基本污染物排放限值；颗粒物、锡及其化合物、无组织非甲烷总烃执行《大气污染物综合排放标准》（GB16297-1996）中表2大气污染物项目排放限值的要求。项目厂区内无组织有机废气的控制执行安徽省《固定源挥发性有机物综合排放标准第5部分：电子工业》（DB34/4812.5-2024）表3中厂区内VOC</w:t>
            </w:r>
            <w:r>
              <w:rPr>
                <w:rFonts w:hint="eastAsia" w:ascii="Times New Roman" w:hAnsi="Times New Roman" w:cs="Times New Roman"/>
                <w:sz w:val="24"/>
                <w:vertAlign w:val="subscript"/>
                <w:lang w:val="en-US" w:eastAsia="zh-CN"/>
              </w:rPr>
              <w:t>S</w:t>
            </w:r>
            <w:r>
              <w:rPr>
                <w:rFonts w:hint="eastAsia" w:ascii="Times New Roman" w:hAnsi="Times New Roman" w:cs="Times New Roman"/>
                <w:sz w:val="24"/>
                <w:lang w:val="en-US" w:eastAsia="zh-CN"/>
              </w:rPr>
              <w:t>无组织排放限值。具体标准值见下表。</w:t>
            </w:r>
          </w:p>
          <w:p w14:paraId="331987C9">
            <w:pPr>
              <w:spacing w:line="360" w:lineRule="auto"/>
              <w:jc w:val="center"/>
              <w:rPr>
                <w:rFonts w:hint="default" w:ascii="Times New Roman" w:hAnsi="Times New Roman" w:eastAsia="黑体" w:cs="Times New Roman"/>
                <w:sz w:val="21"/>
                <w:szCs w:val="21"/>
              </w:rPr>
            </w:pPr>
            <w:r>
              <w:rPr>
                <w:rFonts w:hint="default" w:ascii="Times New Roman" w:hAnsi="Times New Roman" w:eastAsia="黑体" w:cs="Times New Roman"/>
                <w:sz w:val="21"/>
                <w:szCs w:val="21"/>
              </w:rPr>
              <w:t>表</w:t>
            </w:r>
            <w:r>
              <w:rPr>
                <w:rFonts w:hint="eastAsia" w:ascii="Times New Roman" w:hAnsi="Times New Roman" w:eastAsia="黑体" w:cs="Times New Roman"/>
                <w:sz w:val="21"/>
                <w:szCs w:val="21"/>
                <w:lang w:val="en-US" w:eastAsia="zh-CN"/>
              </w:rPr>
              <w:t>3-6</w:t>
            </w:r>
            <w:r>
              <w:rPr>
                <w:rFonts w:hint="default" w:ascii="Times New Roman" w:hAnsi="Times New Roman" w:eastAsia="黑体" w:cs="Times New Roman"/>
                <w:sz w:val="21"/>
                <w:szCs w:val="21"/>
              </w:rPr>
              <w:t xml:space="preserve"> </w:t>
            </w:r>
            <w:r>
              <w:rPr>
                <w:rFonts w:hint="eastAsia" w:ascii="Times New Roman" w:hAnsi="Times New Roman" w:eastAsia="黑体" w:cs="Times New Roman"/>
                <w:sz w:val="21"/>
                <w:szCs w:val="21"/>
                <w:lang w:val="en-US" w:eastAsia="zh-CN"/>
              </w:rPr>
              <w:t>《大气污染物综合排放标准》（GB16297-1996）排放限值</w:t>
            </w: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8"/>
              <w:gridCol w:w="1937"/>
              <w:gridCol w:w="1746"/>
              <w:gridCol w:w="1515"/>
              <w:gridCol w:w="1326"/>
            </w:tblGrid>
            <w:tr w14:paraId="5A6AE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 w:type="pct"/>
                  <w:vMerge w:val="restart"/>
                  <w:vAlign w:val="center"/>
                </w:tcPr>
                <w:p w14:paraId="11E3DF87">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污染物</w:t>
                  </w:r>
                </w:p>
              </w:tc>
              <w:tc>
                <w:tcPr>
                  <w:tcW w:w="2259" w:type="pct"/>
                  <w:gridSpan w:val="2"/>
                  <w:vAlign w:val="center"/>
                </w:tcPr>
                <w:p w14:paraId="0D6890D0">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Cs/>
                      <w:sz w:val="21"/>
                      <w:szCs w:val="21"/>
                      <w:lang w:val="en-US" w:eastAsia="zh-CN"/>
                    </w:rPr>
                  </w:pPr>
                  <w:r>
                    <w:rPr>
                      <w:rFonts w:hint="eastAsia" w:ascii="Times New Roman" w:hAnsi="Times New Roman" w:cs="Times New Roman"/>
                      <w:bCs/>
                      <w:sz w:val="21"/>
                      <w:szCs w:val="21"/>
                      <w:lang w:val="en-US" w:eastAsia="zh-CN"/>
                    </w:rPr>
                    <w:t>有组织排放监控浓度限值</w:t>
                  </w:r>
                </w:p>
              </w:tc>
              <w:tc>
                <w:tcPr>
                  <w:tcW w:w="1741" w:type="pct"/>
                  <w:gridSpan w:val="2"/>
                  <w:vAlign w:val="center"/>
                </w:tcPr>
                <w:p w14:paraId="34256148">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Cs/>
                      <w:sz w:val="21"/>
                      <w:szCs w:val="21"/>
                      <w:lang w:val="en-US" w:eastAsia="zh-CN"/>
                    </w:rPr>
                  </w:pPr>
                  <w:r>
                    <w:rPr>
                      <w:rFonts w:hint="eastAsia" w:ascii="Times New Roman" w:hAnsi="Times New Roman" w:cs="Times New Roman"/>
                      <w:bCs/>
                      <w:sz w:val="21"/>
                      <w:szCs w:val="21"/>
                      <w:lang w:val="en-US" w:eastAsia="zh-CN"/>
                    </w:rPr>
                    <w:t>无组织排放监控浓度限值</w:t>
                  </w:r>
                </w:p>
              </w:tc>
            </w:tr>
            <w:tr w14:paraId="3B17E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 w:type="pct"/>
                  <w:vMerge w:val="continue"/>
                  <w:vAlign w:val="center"/>
                </w:tcPr>
                <w:p w14:paraId="2169F79C">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kern w:val="2"/>
                      <w:sz w:val="21"/>
                      <w:szCs w:val="21"/>
                      <w:lang w:val="en-US" w:eastAsia="zh-CN" w:bidi="ar-SA"/>
                    </w:rPr>
                  </w:pPr>
                </w:p>
              </w:tc>
              <w:tc>
                <w:tcPr>
                  <w:tcW w:w="1188" w:type="pct"/>
                  <w:vAlign w:val="center"/>
                </w:tcPr>
                <w:p w14:paraId="123BC675">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Cs/>
                      <w:sz w:val="21"/>
                      <w:szCs w:val="21"/>
                      <w:lang w:val="en-US" w:eastAsia="zh-CN"/>
                    </w:rPr>
                  </w:pPr>
                  <w:r>
                    <w:rPr>
                      <w:rFonts w:hint="eastAsia" w:ascii="Times New Roman" w:hAnsi="Times New Roman" w:cs="Times New Roman"/>
                      <w:bCs/>
                      <w:sz w:val="21"/>
                      <w:szCs w:val="21"/>
                      <w:lang w:val="en-US" w:eastAsia="zh-CN"/>
                    </w:rPr>
                    <w:t>最高允许排放浓度（mg/m</w:t>
                  </w:r>
                  <w:r>
                    <w:rPr>
                      <w:rFonts w:hint="eastAsia" w:ascii="Times New Roman" w:hAnsi="Times New Roman" w:cs="Times New Roman"/>
                      <w:bCs/>
                      <w:sz w:val="21"/>
                      <w:szCs w:val="21"/>
                      <w:vertAlign w:val="superscript"/>
                      <w:lang w:val="en-US" w:eastAsia="zh-CN"/>
                    </w:rPr>
                    <w:t>3</w:t>
                  </w:r>
                  <w:r>
                    <w:rPr>
                      <w:rFonts w:hint="eastAsia" w:ascii="Times New Roman" w:hAnsi="Times New Roman" w:cs="Times New Roman"/>
                      <w:bCs/>
                      <w:sz w:val="21"/>
                      <w:szCs w:val="21"/>
                      <w:lang w:val="en-US" w:eastAsia="zh-CN"/>
                    </w:rPr>
                    <w:t>）</w:t>
                  </w:r>
                </w:p>
              </w:tc>
              <w:tc>
                <w:tcPr>
                  <w:tcW w:w="1070" w:type="pct"/>
                  <w:vAlign w:val="center"/>
                </w:tcPr>
                <w:p w14:paraId="54B2C4E1">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Cs/>
                      <w:sz w:val="21"/>
                      <w:szCs w:val="21"/>
                      <w:lang w:val="en-US" w:eastAsia="zh-CN"/>
                    </w:rPr>
                  </w:pPr>
                  <w:r>
                    <w:rPr>
                      <w:rFonts w:hint="eastAsia" w:ascii="Times New Roman" w:hAnsi="Times New Roman" w:cs="Times New Roman"/>
                      <w:bCs/>
                      <w:sz w:val="21"/>
                      <w:szCs w:val="21"/>
                      <w:lang w:val="en-US" w:eastAsia="zh-CN"/>
                    </w:rPr>
                    <w:t>最高允许排放速率（kg/h）</w:t>
                  </w:r>
                </w:p>
              </w:tc>
              <w:tc>
                <w:tcPr>
                  <w:tcW w:w="929" w:type="pct"/>
                  <w:vAlign w:val="center"/>
                </w:tcPr>
                <w:p w14:paraId="4E2488C3">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Cs/>
                      <w:sz w:val="21"/>
                      <w:szCs w:val="21"/>
                      <w:lang w:val="en-US" w:eastAsia="zh-CN"/>
                    </w:rPr>
                  </w:pPr>
                  <w:r>
                    <w:rPr>
                      <w:rFonts w:hint="eastAsia" w:ascii="Times New Roman" w:hAnsi="Times New Roman" w:cs="Times New Roman"/>
                      <w:bCs/>
                      <w:sz w:val="21"/>
                      <w:szCs w:val="21"/>
                      <w:lang w:val="en-US" w:eastAsia="zh-CN"/>
                    </w:rPr>
                    <w:t>监测点位</w:t>
                  </w:r>
                </w:p>
              </w:tc>
              <w:tc>
                <w:tcPr>
                  <w:tcW w:w="811" w:type="pct"/>
                  <w:vAlign w:val="center"/>
                </w:tcPr>
                <w:p w14:paraId="1F2BF06F">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Cs/>
                      <w:sz w:val="21"/>
                      <w:szCs w:val="21"/>
                      <w:lang w:val="en-US" w:eastAsia="zh-CN"/>
                    </w:rPr>
                  </w:pPr>
                  <w:r>
                    <w:rPr>
                      <w:rFonts w:hint="eastAsia" w:ascii="Times New Roman" w:hAnsi="Times New Roman" w:cs="Times New Roman"/>
                      <w:bCs/>
                      <w:sz w:val="21"/>
                      <w:szCs w:val="21"/>
                      <w:lang w:val="en-US" w:eastAsia="zh-CN"/>
                    </w:rPr>
                    <w:t>浓度（mg/m</w:t>
                  </w:r>
                  <w:r>
                    <w:rPr>
                      <w:rFonts w:hint="eastAsia" w:ascii="Times New Roman" w:hAnsi="Times New Roman" w:cs="Times New Roman"/>
                      <w:bCs/>
                      <w:sz w:val="21"/>
                      <w:szCs w:val="21"/>
                      <w:vertAlign w:val="superscript"/>
                      <w:lang w:val="en-US" w:eastAsia="zh-CN"/>
                    </w:rPr>
                    <w:t>3</w:t>
                  </w:r>
                  <w:r>
                    <w:rPr>
                      <w:rFonts w:hint="eastAsia" w:ascii="Times New Roman" w:hAnsi="Times New Roman" w:cs="Times New Roman"/>
                      <w:bCs/>
                      <w:sz w:val="21"/>
                      <w:szCs w:val="21"/>
                      <w:lang w:val="en-US" w:eastAsia="zh-CN"/>
                    </w:rPr>
                    <w:t>）</w:t>
                  </w:r>
                </w:p>
              </w:tc>
            </w:tr>
            <w:tr w14:paraId="1659F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 w:type="pct"/>
                  <w:shd w:val="clear" w:color="auto" w:fill="auto"/>
                  <w:vAlign w:val="center"/>
                </w:tcPr>
                <w:p w14:paraId="4B381E85">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sz w:val="21"/>
                      <w:szCs w:val="21"/>
                      <w:lang w:val="en-US" w:eastAsia="zh-CN"/>
                    </w:rPr>
                    <w:t>颗粒物</w:t>
                  </w:r>
                </w:p>
              </w:tc>
              <w:tc>
                <w:tcPr>
                  <w:tcW w:w="1188" w:type="pct"/>
                  <w:vAlign w:val="center"/>
                </w:tcPr>
                <w:p w14:paraId="4F269B66">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120</w:t>
                  </w:r>
                </w:p>
              </w:tc>
              <w:tc>
                <w:tcPr>
                  <w:tcW w:w="1070" w:type="pct"/>
                  <w:vAlign w:val="center"/>
                </w:tcPr>
                <w:p w14:paraId="03475C81">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Cs/>
                      <w:sz w:val="21"/>
                      <w:szCs w:val="21"/>
                      <w:lang w:val="en-US" w:eastAsia="zh-CN"/>
                    </w:rPr>
                  </w:pPr>
                  <w:r>
                    <w:rPr>
                      <w:rFonts w:hint="eastAsia" w:ascii="Times New Roman" w:hAnsi="Times New Roman" w:cs="Times New Roman"/>
                      <w:bCs/>
                      <w:sz w:val="21"/>
                      <w:szCs w:val="21"/>
                      <w:lang w:val="en-US" w:eastAsia="zh-CN"/>
                    </w:rPr>
                    <w:t>2.86</w:t>
                  </w:r>
                </w:p>
              </w:tc>
              <w:tc>
                <w:tcPr>
                  <w:tcW w:w="929" w:type="pct"/>
                  <w:vMerge w:val="restart"/>
                  <w:vAlign w:val="center"/>
                </w:tcPr>
                <w:p w14:paraId="33295E4E">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Cs/>
                      <w:sz w:val="21"/>
                      <w:szCs w:val="21"/>
                      <w:lang w:val="en-US" w:eastAsia="zh-CN"/>
                    </w:rPr>
                  </w:pPr>
                  <w:r>
                    <w:rPr>
                      <w:rFonts w:hint="eastAsia" w:ascii="Times New Roman" w:hAnsi="Times New Roman" w:cs="Times New Roman"/>
                      <w:bCs/>
                      <w:sz w:val="21"/>
                      <w:szCs w:val="21"/>
                      <w:lang w:val="en-US" w:eastAsia="zh-CN"/>
                    </w:rPr>
                    <w:t>周界外浓度最高点</w:t>
                  </w:r>
                </w:p>
              </w:tc>
              <w:tc>
                <w:tcPr>
                  <w:tcW w:w="811" w:type="pct"/>
                  <w:vAlign w:val="center"/>
                </w:tcPr>
                <w:p w14:paraId="17CF615A">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Cs/>
                      <w:sz w:val="21"/>
                      <w:szCs w:val="21"/>
                      <w:lang w:val="en-US" w:eastAsia="zh-CN"/>
                    </w:rPr>
                  </w:pPr>
                  <w:r>
                    <w:rPr>
                      <w:rFonts w:hint="eastAsia" w:ascii="Times New Roman" w:hAnsi="Times New Roman" w:cs="Times New Roman"/>
                      <w:bCs/>
                      <w:sz w:val="21"/>
                      <w:szCs w:val="21"/>
                      <w:lang w:val="en-US" w:eastAsia="zh-CN"/>
                    </w:rPr>
                    <w:t>1.0</w:t>
                  </w:r>
                </w:p>
              </w:tc>
            </w:tr>
            <w:tr w14:paraId="2D9A1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 w:type="pct"/>
                  <w:shd w:val="clear" w:color="auto" w:fill="auto"/>
                  <w:vAlign w:val="center"/>
                </w:tcPr>
                <w:p w14:paraId="3732862B">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sz w:val="21"/>
                      <w:szCs w:val="21"/>
                      <w:lang w:val="en-US" w:eastAsia="zh-CN"/>
                    </w:rPr>
                    <w:t>锡及其化合物</w:t>
                  </w:r>
                </w:p>
              </w:tc>
              <w:tc>
                <w:tcPr>
                  <w:tcW w:w="1188" w:type="pct"/>
                  <w:vAlign w:val="center"/>
                </w:tcPr>
                <w:p w14:paraId="1547D821">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8.5</w:t>
                  </w:r>
                </w:p>
              </w:tc>
              <w:tc>
                <w:tcPr>
                  <w:tcW w:w="1070" w:type="pct"/>
                  <w:vAlign w:val="center"/>
                </w:tcPr>
                <w:p w14:paraId="55B62B50">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Cs/>
                      <w:sz w:val="21"/>
                      <w:szCs w:val="21"/>
                      <w:lang w:val="en-US" w:eastAsia="zh-CN"/>
                    </w:rPr>
                  </w:pPr>
                  <w:r>
                    <w:rPr>
                      <w:rFonts w:hint="eastAsia" w:ascii="Times New Roman" w:hAnsi="Times New Roman" w:cs="Times New Roman"/>
                      <w:bCs/>
                      <w:sz w:val="21"/>
                      <w:szCs w:val="21"/>
                      <w:lang w:val="en-US" w:eastAsia="zh-CN"/>
                    </w:rPr>
                    <w:t>0.218</w:t>
                  </w:r>
                </w:p>
              </w:tc>
              <w:tc>
                <w:tcPr>
                  <w:tcW w:w="929" w:type="pct"/>
                  <w:vMerge w:val="continue"/>
                  <w:vAlign w:val="center"/>
                </w:tcPr>
                <w:p w14:paraId="32225D21">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Cs/>
                      <w:sz w:val="21"/>
                      <w:szCs w:val="21"/>
                      <w:lang w:val="en-US" w:eastAsia="zh-CN"/>
                    </w:rPr>
                  </w:pPr>
                </w:p>
              </w:tc>
              <w:tc>
                <w:tcPr>
                  <w:tcW w:w="811" w:type="pct"/>
                  <w:vAlign w:val="center"/>
                </w:tcPr>
                <w:p w14:paraId="50F25124">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Cs/>
                      <w:sz w:val="21"/>
                      <w:szCs w:val="21"/>
                      <w:lang w:val="en-US" w:eastAsia="zh-CN"/>
                    </w:rPr>
                  </w:pPr>
                  <w:r>
                    <w:rPr>
                      <w:rFonts w:hint="eastAsia" w:ascii="Times New Roman" w:hAnsi="Times New Roman" w:cs="Times New Roman"/>
                      <w:bCs/>
                      <w:sz w:val="21"/>
                      <w:szCs w:val="21"/>
                      <w:lang w:val="en-US" w:eastAsia="zh-CN"/>
                    </w:rPr>
                    <w:t>0.24</w:t>
                  </w:r>
                </w:p>
              </w:tc>
            </w:tr>
            <w:tr w14:paraId="6F003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99" w:type="pct"/>
                  <w:vAlign w:val="center"/>
                </w:tcPr>
                <w:p w14:paraId="01F2A546">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sz w:val="21"/>
                      <w:szCs w:val="21"/>
                      <w:lang w:val="en-US" w:eastAsia="zh-CN"/>
                    </w:rPr>
                    <w:t>非甲烷总烃</w:t>
                  </w:r>
                </w:p>
              </w:tc>
              <w:tc>
                <w:tcPr>
                  <w:tcW w:w="1188" w:type="pct"/>
                  <w:vAlign w:val="center"/>
                </w:tcPr>
                <w:p w14:paraId="5E2220C9">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w:t>
                  </w:r>
                </w:p>
              </w:tc>
              <w:tc>
                <w:tcPr>
                  <w:tcW w:w="1070" w:type="pct"/>
                  <w:vAlign w:val="center"/>
                </w:tcPr>
                <w:p w14:paraId="40ED372F">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Cs/>
                      <w:sz w:val="21"/>
                      <w:szCs w:val="21"/>
                      <w:lang w:val="en-US" w:eastAsia="zh-CN"/>
                    </w:rPr>
                  </w:pPr>
                  <w:r>
                    <w:rPr>
                      <w:rFonts w:hint="eastAsia" w:ascii="Times New Roman" w:hAnsi="Times New Roman" w:cs="Times New Roman"/>
                      <w:bCs/>
                      <w:sz w:val="21"/>
                      <w:szCs w:val="21"/>
                      <w:lang w:val="en-US" w:eastAsia="zh-CN"/>
                    </w:rPr>
                    <w:t>/</w:t>
                  </w:r>
                </w:p>
              </w:tc>
              <w:tc>
                <w:tcPr>
                  <w:tcW w:w="929" w:type="pct"/>
                  <w:vMerge w:val="continue"/>
                  <w:vAlign w:val="center"/>
                </w:tcPr>
                <w:p w14:paraId="23D11F87">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Cs/>
                      <w:sz w:val="21"/>
                      <w:szCs w:val="21"/>
                      <w:lang w:val="en-US" w:eastAsia="zh-CN"/>
                    </w:rPr>
                  </w:pPr>
                </w:p>
              </w:tc>
              <w:tc>
                <w:tcPr>
                  <w:tcW w:w="811" w:type="pct"/>
                  <w:vAlign w:val="center"/>
                </w:tcPr>
                <w:p w14:paraId="24DFB8EB">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Cs/>
                      <w:sz w:val="21"/>
                      <w:szCs w:val="21"/>
                      <w:lang w:val="en-US" w:eastAsia="zh-CN"/>
                    </w:rPr>
                  </w:pPr>
                  <w:r>
                    <w:rPr>
                      <w:rFonts w:hint="eastAsia" w:ascii="Times New Roman" w:hAnsi="Times New Roman" w:cs="Times New Roman"/>
                      <w:bCs/>
                      <w:sz w:val="21"/>
                      <w:szCs w:val="21"/>
                      <w:lang w:val="en-US" w:eastAsia="zh-CN"/>
                    </w:rPr>
                    <w:t>4.0</w:t>
                  </w:r>
                </w:p>
              </w:tc>
            </w:tr>
            <w:tr w14:paraId="1926D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gridSpan w:val="5"/>
                  <w:vAlign w:val="center"/>
                </w:tcPr>
                <w:p w14:paraId="4A6B01F0">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both"/>
                    <w:textAlignment w:val="auto"/>
                    <w:rPr>
                      <w:rFonts w:hint="default" w:ascii="Times New Roman" w:hAnsi="Times New Roman" w:cs="Times New Roman"/>
                      <w:bCs/>
                      <w:sz w:val="21"/>
                      <w:szCs w:val="21"/>
                      <w:lang w:val="en-US" w:eastAsia="zh-CN"/>
                    </w:rPr>
                  </w:pPr>
                  <w:r>
                    <w:rPr>
                      <w:rFonts w:hint="eastAsia" w:ascii="Times New Roman" w:hAnsi="Times New Roman" w:cs="Times New Roman"/>
                      <w:bCs/>
                      <w:sz w:val="18"/>
                      <w:szCs w:val="18"/>
                      <w:lang w:val="en-US" w:eastAsia="zh-CN"/>
                    </w:rPr>
                    <w:t>注：根据《大气污染物综合排放标准》（GB16297-1996）“7.1 排气筒高度除须遵守表列排放速率标准值外，还应高出周围200 m半径范围的建筑5m以上，不能达到该要求的排气筒，应按其高度对应的表列排放速率标准值严格50%执行”，本项目建筑高度约为22m，排气筒高度设为23m，因此本项目排气筒排放速率须按标准值严格50%执行。本项目排气筒高度23m，根据《大气污染物综合排放标准》（GB16297-1996）附录B中B1内插法计算得到颗粒物排放速率5.72kg/h，锡及其化合物排放速率0.436kg/h，最终排放速率严格50%执行，即颗粒物排放速率2.86kg/h，锡及其化合物排放速率0.218kg/h。</w:t>
                  </w:r>
                </w:p>
              </w:tc>
            </w:tr>
          </w:tbl>
          <w:p w14:paraId="329307B2">
            <w:pPr>
              <w:spacing w:line="360" w:lineRule="auto"/>
              <w:jc w:val="center"/>
              <w:rPr>
                <w:rFonts w:hint="default" w:ascii="Times New Roman" w:hAnsi="Times New Roman" w:eastAsia="黑体" w:cs="Times New Roman"/>
                <w:sz w:val="21"/>
                <w:szCs w:val="21"/>
                <w:lang w:val="en-US"/>
              </w:rPr>
            </w:pPr>
            <w:r>
              <w:rPr>
                <w:rFonts w:hint="default" w:ascii="Times New Roman" w:hAnsi="Times New Roman" w:eastAsia="黑体" w:cs="Times New Roman"/>
                <w:sz w:val="21"/>
                <w:szCs w:val="21"/>
              </w:rPr>
              <w:t>表</w:t>
            </w:r>
            <w:r>
              <w:rPr>
                <w:rFonts w:hint="eastAsia" w:ascii="Times New Roman" w:hAnsi="Times New Roman" w:eastAsia="黑体" w:cs="Times New Roman"/>
                <w:sz w:val="21"/>
                <w:szCs w:val="21"/>
                <w:lang w:val="en-US" w:eastAsia="zh-CN"/>
              </w:rPr>
              <w:t>3-7</w:t>
            </w:r>
            <w:r>
              <w:rPr>
                <w:rFonts w:hint="default" w:ascii="Times New Roman" w:hAnsi="Times New Roman" w:eastAsia="黑体" w:cs="Times New Roman"/>
                <w:sz w:val="21"/>
                <w:szCs w:val="21"/>
              </w:rPr>
              <w:t xml:space="preserve"> </w:t>
            </w:r>
            <w:r>
              <w:rPr>
                <w:rFonts w:hint="eastAsia" w:ascii="Times New Roman" w:hAnsi="Times New Roman" w:eastAsia="黑体" w:cs="Times New Roman"/>
                <w:sz w:val="21"/>
                <w:szCs w:val="21"/>
                <w:lang w:val="en-US" w:eastAsia="zh-CN"/>
              </w:rPr>
              <w:t>《固定源挥发性有机物综合排放标准 第5部分：电子工业》</w:t>
            </w: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3"/>
              <w:gridCol w:w="1303"/>
              <w:gridCol w:w="1197"/>
              <w:gridCol w:w="993"/>
              <w:gridCol w:w="1303"/>
              <w:gridCol w:w="1513"/>
              <w:gridCol w:w="920"/>
            </w:tblGrid>
            <w:tr w14:paraId="67D27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6" w:type="pct"/>
                  <w:vMerge w:val="restart"/>
                  <w:vAlign w:val="center"/>
                </w:tcPr>
                <w:p w14:paraId="090904FF">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污染物</w:t>
                  </w:r>
                </w:p>
              </w:tc>
              <w:tc>
                <w:tcPr>
                  <w:tcW w:w="2142" w:type="pct"/>
                  <w:gridSpan w:val="3"/>
                  <w:vAlign w:val="center"/>
                </w:tcPr>
                <w:p w14:paraId="24A11B40">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Cs/>
                      <w:sz w:val="21"/>
                      <w:szCs w:val="21"/>
                      <w:lang w:val="en-US" w:eastAsia="zh-CN"/>
                    </w:rPr>
                  </w:pPr>
                  <w:r>
                    <w:rPr>
                      <w:rFonts w:hint="eastAsia" w:ascii="Times New Roman" w:hAnsi="Times New Roman" w:cs="Times New Roman"/>
                      <w:bCs/>
                      <w:sz w:val="21"/>
                      <w:szCs w:val="21"/>
                      <w:lang w:val="en-US" w:eastAsia="zh-CN"/>
                    </w:rPr>
                    <w:t>电子元件、电子专用材料、电子</w:t>
                  </w:r>
                </w:p>
                <w:p w14:paraId="1DA12609">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Cs/>
                      <w:sz w:val="21"/>
                      <w:szCs w:val="21"/>
                      <w:lang w:val="en-US" w:eastAsia="zh-CN"/>
                    </w:rPr>
                  </w:pPr>
                  <w:r>
                    <w:rPr>
                      <w:rFonts w:hint="eastAsia" w:ascii="Times New Roman" w:hAnsi="Times New Roman" w:cs="Times New Roman"/>
                      <w:bCs/>
                      <w:sz w:val="21"/>
                      <w:szCs w:val="21"/>
                      <w:lang w:val="en-US" w:eastAsia="zh-CN"/>
                    </w:rPr>
                    <w:t>终端产品、印制电路板、其他电</w:t>
                  </w:r>
                </w:p>
                <w:p w14:paraId="79CAA57F">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Cs/>
                      <w:sz w:val="21"/>
                      <w:szCs w:val="21"/>
                      <w:lang w:val="en-US" w:eastAsia="zh-CN"/>
                    </w:rPr>
                  </w:pPr>
                  <w:r>
                    <w:rPr>
                      <w:rFonts w:hint="eastAsia" w:ascii="Times New Roman" w:hAnsi="Times New Roman" w:cs="Times New Roman"/>
                      <w:bCs/>
                      <w:sz w:val="21"/>
                      <w:szCs w:val="21"/>
                      <w:lang w:val="en-US" w:eastAsia="zh-CN"/>
                    </w:rPr>
                    <w:t>子工业</w:t>
                  </w:r>
                  <w:r>
                    <w:rPr>
                      <w:rFonts w:hint="eastAsia" w:ascii="Times New Roman" w:hAnsi="Times New Roman" w:cs="Times New Roman"/>
                      <w:bCs/>
                      <w:sz w:val="21"/>
                      <w:szCs w:val="21"/>
                      <w:vertAlign w:val="superscript"/>
                      <w:lang w:val="en-US" w:eastAsia="zh-CN"/>
                    </w:rPr>
                    <w:t>a</w:t>
                  </w:r>
                </w:p>
              </w:tc>
              <w:tc>
                <w:tcPr>
                  <w:tcW w:w="2291" w:type="pct"/>
                  <w:gridSpan w:val="3"/>
                  <w:vAlign w:val="center"/>
                </w:tcPr>
                <w:p w14:paraId="13DC951B">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Cs/>
                      <w:sz w:val="21"/>
                      <w:szCs w:val="21"/>
                      <w:lang w:val="en-US" w:eastAsia="zh-CN"/>
                    </w:rPr>
                  </w:pPr>
                  <w:r>
                    <w:rPr>
                      <w:rFonts w:hint="eastAsia" w:ascii="Times New Roman" w:hAnsi="Times New Roman" w:cs="Times New Roman"/>
                      <w:bCs/>
                      <w:sz w:val="21"/>
                      <w:szCs w:val="21"/>
                      <w:lang w:val="en-US" w:eastAsia="zh-CN"/>
                    </w:rPr>
                    <w:t>厂区内VOC</w:t>
                  </w:r>
                  <w:r>
                    <w:rPr>
                      <w:rFonts w:hint="eastAsia" w:ascii="Times New Roman" w:hAnsi="Times New Roman" w:cs="Times New Roman"/>
                      <w:bCs/>
                      <w:sz w:val="21"/>
                      <w:szCs w:val="21"/>
                      <w:vertAlign w:val="subscript"/>
                      <w:lang w:val="en-US" w:eastAsia="zh-CN"/>
                    </w:rPr>
                    <w:t>S</w:t>
                  </w:r>
                  <w:r>
                    <w:rPr>
                      <w:rFonts w:hint="eastAsia" w:ascii="Times New Roman" w:hAnsi="Times New Roman" w:cs="Times New Roman"/>
                      <w:bCs/>
                      <w:sz w:val="21"/>
                      <w:szCs w:val="21"/>
                      <w:lang w:val="en-US" w:eastAsia="zh-CN"/>
                    </w:rPr>
                    <w:t>无组织排放限值</w:t>
                  </w:r>
                </w:p>
              </w:tc>
            </w:tr>
            <w:tr w14:paraId="2D02E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6" w:type="pct"/>
                  <w:vMerge w:val="continue"/>
                  <w:vAlign w:val="center"/>
                </w:tcPr>
                <w:p w14:paraId="683585D0">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2"/>
                      <w:sz w:val="21"/>
                      <w:szCs w:val="21"/>
                      <w:lang w:val="en-US" w:eastAsia="zh-CN" w:bidi="ar-SA"/>
                    </w:rPr>
                  </w:pPr>
                </w:p>
              </w:tc>
              <w:tc>
                <w:tcPr>
                  <w:tcW w:w="799" w:type="pct"/>
                  <w:vAlign w:val="center"/>
                </w:tcPr>
                <w:p w14:paraId="5D32A73A">
                  <w:pPr>
                    <w:pStyle w:val="28"/>
                    <w:keepNext w:val="0"/>
                    <w:keepLines w:val="0"/>
                    <w:pageBreakBefore w:val="0"/>
                    <w:widowControl w:val="0"/>
                    <w:numPr>
                      <w:ilvl w:val="0"/>
                      <w:numId w:val="0"/>
                    </w:numPr>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最高允许排放浓度</w:t>
                  </w:r>
                  <w:r>
                    <w:rPr>
                      <w:rFonts w:hint="eastAsia" w:ascii="Times New Roman" w:hAnsi="Times New Roman" w:eastAsia="宋体" w:cs="Times New Roman"/>
                      <w:b w:val="0"/>
                      <w:bCs w:val="0"/>
                      <w:color w:val="auto"/>
                      <w:sz w:val="21"/>
                      <w:szCs w:val="21"/>
                      <w:highlight w:val="none"/>
                      <w:vertAlign w:val="baseline"/>
                      <w:lang w:val="en-US" w:eastAsia="zh-CN"/>
                    </w:rPr>
                    <w:t>（</w:t>
                  </w:r>
                  <w:r>
                    <w:rPr>
                      <w:rFonts w:hint="default" w:ascii="Times New Roman" w:hAnsi="Times New Roman" w:eastAsia="宋体" w:cs="Times New Roman"/>
                      <w:b w:val="0"/>
                      <w:bCs w:val="0"/>
                      <w:color w:val="auto"/>
                      <w:sz w:val="21"/>
                      <w:szCs w:val="21"/>
                      <w:highlight w:val="none"/>
                      <w:vertAlign w:val="baseline"/>
                      <w:lang w:val="en-US" w:eastAsia="zh-CN"/>
                    </w:rPr>
                    <w:t>mg/m</w:t>
                  </w:r>
                  <w:r>
                    <w:rPr>
                      <w:rFonts w:hint="default" w:ascii="Times New Roman" w:hAnsi="Times New Roman" w:eastAsia="宋体" w:cs="Times New Roman"/>
                      <w:b w:val="0"/>
                      <w:bCs w:val="0"/>
                      <w:color w:val="auto"/>
                      <w:sz w:val="21"/>
                      <w:szCs w:val="21"/>
                      <w:highlight w:val="none"/>
                      <w:vertAlign w:val="superscript"/>
                      <w:lang w:val="en-US" w:eastAsia="zh-CN"/>
                    </w:rPr>
                    <w:t>3</w:t>
                  </w:r>
                  <w:r>
                    <w:rPr>
                      <w:rFonts w:hint="eastAsia" w:ascii="Times New Roman" w:hAnsi="Times New Roman" w:eastAsia="宋体" w:cs="Times New Roman"/>
                      <w:b w:val="0"/>
                      <w:bCs w:val="0"/>
                      <w:color w:val="auto"/>
                      <w:sz w:val="21"/>
                      <w:szCs w:val="21"/>
                      <w:highlight w:val="none"/>
                      <w:vertAlign w:val="baseline"/>
                      <w:lang w:val="en-US" w:eastAsia="zh-CN"/>
                    </w:rPr>
                    <w:t>）</w:t>
                  </w:r>
                </w:p>
              </w:tc>
              <w:tc>
                <w:tcPr>
                  <w:tcW w:w="734" w:type="pct"/>
                  <w:vAlign w:val="center"/>
                </w:tcPr>
                <w:p w14:paraId="0F12A6D2">
                  <w:pPr>
                    <w:pStyle w:val="28"/>
                    <w:keepNext w:val="0"/>
                    <w:keepLines w:val="0"/>
                    <w:pageBreakBefore w:val="0"/>
                    <w:widowControl w:val="0"/>
                    <w:numPr>
                      <w:ilvl w:val="0"/>
                      <w:numId w:val="0"/>
                    </w:numPr>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default" w:ascii="Times New Roman" w:hAnsi="Times New Roman" w:cs="Times New Roman"/>
                      <w:b w:val="0"/>
                      <w:bCs w:val="0"/>
                      <w:kern w:val="2"/>
                      <w:sz w:val="21"/>
                      <w:szCs w:val="21"/>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最大允许排放速率（kg/h）</w:t>
                  </w:r>
                </w:p>
              </w:tc>
              <w:tc>
                <w:tcPr>
                  <w:tcW w:w="608" w:type="pct"/>
                  <w:vAlign w:val="center"/>
                </w:tcPr>
                <w:p w14:paraId="5FD4BFB4">
                  <w:pPr>
                    <w:pStyle w:val="28"/>
                    <w:keepNext w:val="0"/>
                    <w:keepLines w:val="0"/>
                    <w:pageBreakBefore w:val="0"/>
                    <w:widowControl w:val="0"/>
                    <w:numPr>
                      <w:ilvl w:val="0"/>
                      <w:numId w:val="0"/>
                    </w:numPr>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污染物排放监控位置</w:t>
                  </w:r>
                </w:p>
              </w:tc>
              <w:tc>
                <w:tcPr>
                  <w:tcW w:w="799" w:type="pct"/>
                  <w:vAlign w:val="center"/>
                </w:tcPr>
                <w:p w14:paraId="18B421B6">
                  <w:pPr>
                    <w:pStyle w:val="28"/>
                    <w:keepNext w:val="0"/>
                    <w:keepLines w:val="0"/>
                    <w:pageBreakBefore w:val="0"/>
                    <w:widowControl w:val="0"/>
                    <w:numPr>
                      <w:ilvl w:val="0"/>
                      <w:numId w:val="0"/>
                    </w:numPr>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eastAsia" w:ascii="Times New Roman" w:hAnsi="Times New Roman" w:cs="Times New Roman"/>
                      <w:b w:val="0"/>
                      <w:bCs w:val="0"/>
                      <w:sz w:val="21"/>
                      <w:szCs w:val="21"/>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最高允许排放浓度</w:t>
                  </w:r>
                  <w:r>
                    <w:rPr>
                      <w:rFonts w:hint="eastAsia" w:ascii="Times New Roman" w:hAnsi="Times New Roman" w:eastAsia="宋体" w:cs="Times New Roman"/>
                      <w:b w:val="0"/>
                      <w:bCs w:val="0"/>
                      <w:color w:val="auto"/>
                      <w:sz w:val="21"/>
                      <w:szCs w:val="21"/>
                      <w:highlight w:val="none"/>
                      <w:vertAlign w:val="baseline"/>
                      <w:lang w:val="en-US" w:eastAsia="zh-CN"/>
                    </w:rPr>
                    <w:t>（</w:t>
                  </w:r>
                  <w:r>
                    <w:rPr>
                      <w:rFonts w:hint="default" w:ascii="Times New Roman" w:hAnsi="Times New Roman" w:eastAsia="宋体" w:cs="Times New Roman"/>
                      <w:b w:val="0"/>
                      <w:bCs w:val="0"/>
                      <w:color w:val="auto"/>
                      <w:sz w:val="21"/>
                      <w:szCs w:val="21"/>
                      <w:highlight w:val="none"/>
                      <w:vertAlign w:val="baseline"/>
                      <w:lang w:val="en-US" w:eastAsia="zh-CN"/>
                    </w:rPr>
                    <w:t>mg/m</w:t>
                  </w:r>
                  <w:r>
                    <w:rPr>
                      <w:rFonts w:hint="default" w:ascii="Times New Roman" w:hAnsi="Times New Roman" w:eastAsia="宋体" w:cs="Times New Roman"/>
                      <w:b w:val="0"/>
                      <w:bCs w:val="0"/>
                      <w:color w:val="auto"/>
                      <w:sz w:val="21"/>
                      <w:szCs w:val="21"/>
                      <w:highlight w:val="none"/>
                      <w:vertAlign w:val="superscript"/>
                      <w:lang w:val="en-US" w:eastAsia="zh-CN"/>
                    </w:rPr>
                    <w:t>3</w:t>
                  </w:r>
                  <w:r>
                    <w:rPr>
                      <w:rFonts w:hint="eastAsia" w:ascii="Times New Roman" w:hAnsi="Times New Roman" w:eastAsia="宋体" w:cs="Times New Roman"/>
                      <w:b w:val="0"/>
                      <w:bCs w:val="0"/>
                      <w:color w:val="auto"/>
                      <w:sz w:val="21"/>
                      <w:szCs w:val="21"/>
                      <w:highlight w:val="none"/>
                      <w:vertAlign w:val="baseline"/>
                      <w:lang w:val="en-US" w:eastAsia="zh-CN"/>
                    </w:rPr>
                    <w:t>）</w:t>
                  </w:r>
                </w:p>
              </w:tc>
              <w:tc>
                <w:tcPr>
                  <w:tcW w:w="928" w:type="pct"/>
                  <w:vAlign w:val="center"/>
                </w:tcPr>
                <w:p w14:paraId="2C7F7705">
                  <w:pPr>
                    <w:pStyle w:val="28"/>
                    <w:keepNext w:val="0"/>
                    <w:keepLines w:val="0"/>
                    <w:pageBreakBefore w:val="0"/>
                    <w:widowControl w:val="0"/>
                    <w:numPr>
                      <w:ilvl w:val="0"/>
                      <w:numId w:val="0"/>
                    </w:numPr>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eastAsia" w:ascii="Times New Roman" w:hAnsi="Times New Roman" w:cs="Times New Roman"/>
                      <w:b w:val="0"/>
                      <w:bCs w:val="0"/>
                      <w:sz w:val="21"/>
                      <w:szCs w:val="21"/>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排放限值含义</w:t>
                  </w:r>
                </w:p>
              </w:tc>
              <w:tc>
                <w:tcPr>
                  <w:tcW w:w="562" w:type="pct"/>
                  <w:vAlign w:val="center"/>
                </w:tcPr>
                <w:p w14:paraId="69E3DA68">
                  <w:pPr>
                    <w:pStyle w:val="28"/>
                    <w:keepNext w:val="0"/>
                    <w:keepLines w:val="0"/>
                    <w:pageBreakBefore w:val="0"/>
                    <w:widowControl w:val="0"/>
                    <w:numPr>
                      <w:ilvl w:val="0"/>
                      <w:numId w:val="0"/>
                    </w:numPr>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eastAsia" w:ascii="Times New Roman" w:hAnsi="Times New Roman" w:cs="Times New Roman"/>
                      <w:b w:val="0"/>
                      <w:bCs w:val="0"/>
                      <w:sz w:val="21"/>
                      <w:szCs w:val="21"/>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监控位置</w:t>
                  </w:r>
                </w:p>
              </w:tc>
            </w:tr>
            <w:tr w14:paraId="4BAC4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66" w:type="pct"/>
                  <w:vMerge w:val="restart"/>
                  <w:vAlign w:val="center"/>
                </w:tcPr>
                <w:p w14:paraId="253E2AF5">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NMHC</w:t>
                  </w:r>
                </w:p>
              </w:tc>
              <w:tc>
                <w:tcPr>
                  <w:tcW w:w="799" w:type="pct"/>
                  <w:vMerge w:val="restart"/>
                  <w:vAlign w:val="center"/>
                </w:tcPr>
                <w:p w14:paraId="42A6F2A6">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60</w:t>
                  </w:r>
                </w:p>
              </w:tc>
              <w:tc>
                <w:tcPr>
                  <w:tcW w:w="734" w:type="pct"/>
                  <w:vMerge w:val="restart"/>
                  <w:vAlign w:val="center"/>
                </w:tcPr>
                <w:p w14:paraId="7E16BCE0">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3.0</w:t>
                  </w:r>
                </w:p>
              </w:tc>
              <w:tc>
                <w:tcPr>
                  <w:tcW w:w="608" w:type="pct"/>
                  <w:vMerge w:val="restart"/>
                  <w:vAlign w:val="center"/>
                </w:tcPr>
                <w:p w14:paraId="564D1CCD">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Cs/>
                      <w:sz w:val="21"/>
                      <w:szCs w:val="21"/>
                      <w:lang w:val="en-US" w:eastAsia="zh-CN"/>
                    </w:rPr>
                  </w:pPr>
                  <w:r>
                    <w:rPr>
                      <w:rFonts w:hint="eastAsia" w:ascii="Times New Roman" w:hAnsi="Times New Roman" w:cs="Times New Roman"/>
                      <w:bCs/>
                      <w:sz w:val="21"/>
                      <w:szCs w:val="21"/>
                      <w:lang w:val="en-US" w:eastAsia="zh-CN"/>
                    </w:rPr>
                    <w:t>车间或生产设施的排气筒</w:t>
                  </w:r>
                </w:p>
              </w:tc>
              <w:tc>
                <w:tcPr>
                  <w:tcW w:w="799" w:type="pct"/>
                  <w:vAlign w:val="center"/>
                </w:tcPr>
                <w:p w14:paraId="4F67C456">
                  <w:pPr>
                    <w:pStyle w:val="28"/>
                    <w:keepNext w:val="0"/>
                    <w:keepLines w:val="0"/>
                    <w:pageBreakBefore w:val="0"/>
                    <w:widowControl w:val="0"/>
                    <w:numPr>
                      <w:ilvl w:val="0"/>
                      <w:numId w:val="0"/>
                    </w:numPr>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eastAsia" w:ascii="Times New Roman" w:hAnsi="Times New Roman" w:cs="Times New Roman"/>
                      <w:bCs/>
                      <w:sz w:val="21"/>
                      <w:szCs w:val="21"/>
                      <w:lang w:val="en-US" w:eastAsia="zh-CN"/>
                    </w:rPr>
                  </w:pPr>
                  <w:r>
                    <w:rPr>
                      <w:rFonts w:hint="eastAsia" w:ascii="Times New Roman" w:hAnsi="Times New Roman" w:cs="Times New Roman"/>
                      <w:b w:val="0"/>
                      <w:bCs w:val="0"/>
                      <w:color w:val="auto"/>
                      <w:sz w:val="21"/>
                      <w:szCs w:val="21"/>
                      <w:highlight w:val="none"/>
                      <w:vertAlign w:val="baseline"/>
                      <w:lang w:val="en-US" w:eastAsia="zh-CN"/>
                    </w:rPr>
                    <w:t>6</w:t>
                  </w:r>
                </w:p>
              </w:tc>
              <w:tc>
                <w:tcPr>
                  <w:tcW w:w="928" w:type="pct"/>
                  <w:vAlign w:val="center"/>
                </w:tcPr>
                <w:p w14:paraId="3F46629A">
                  <w:pPr>
                    <w:pStyle w:val="28"/>
                    <w:keepNext w:val="0"/>
                    <w:keepLines w:val="0"/>
                    <w:pageBreakBefore w:val="0"/>
                    <w:widowControl w:val="0"/>
                    <w:numPr>
                      <w:ilvl w:val="0"/>
                      <w:numId w:val="0"/>
                    </w:numPr>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eastAsia" w:ascii="Times New Roman" w:hAnsi="Times New Roman" w:cs="Times New Roman"/>
                      <w:bCs/>
                      <w:sz w:val="21"/>
                      <w:szCs w:val="21"/>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监控点处1h平均浓度值</w:t>
                  </w:r>
                </w:p>
              </w:tc>
              <w:tc>
                <w:tcPr>
                  <w:tcW w:w="562" w:type="pct"/>
                  <w:vMerge w:val="restart"/>
                  <w:vAlign w:val="center"/>
                </w:tcPr>
                <w:p w14:paraId="59068D0A">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Cs/>
                      <w:sz w:val="21"/>
                      <w:szCs w:val="21"/>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在厂房外设置监控点</w:t>
                  </w:r>
                </w:p>
              </w:tc>
            </w:tr>
            <w:tr w14:paraId="18071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66" w:type="pct"/>
                  <w:vMerge w:val="continue"/>
                  <w:vAlign w:val="center"/>
                </w:tcPr>
                <w:p w14:paraId="674CB45D">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pPr>
                </w:p>
              </w:tc>
              <w:tc>
                <w:tcPr>
                  <w:tcW w:w="799" w:type="pct"/>
                  <w:vMerge w:val="continue"/>
                  <w:vAlign w:val="center"/>
                </w:tcPr>
                <w:p w14:paraId="31741D87">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pPr>
                </w:p>
              </w:tc>
              <w:tc>
                <w:tcPr>
                  <w:tcW w:w="734" w:type="pct"/>
                  <w:vMerge w:val="continue"/>
                  <w:vAlign w:val="center"/>
                </w:tcPr>
                <w:p w14:paraId="2EC85185">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pPr>
                </w:p>
              </w:tc>
              <w:tc>
                <w:tcPr>
                  <w:tcW w:w="608" w:type="pct"/>
                  <w:vMerge w:val="continue"/>
                  <w:vAlign w:val="center"/>
                </w:tcPr>
                <w:p w14:paraId="1DE928F8">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pPr>
                </w:p>
              </w:tc>
              <w:tc>
                <w:tcPr>
                  <w:tcW w:w="799" w:type="pct"/>
                  <w:vAlign w:val="center"/>
                </w:tcPr>
                <w:p w14:paraId="04C1297A">
                  <w:pPr>
                    <w:pStyle w:val="28"/>
                    <w:keepNext w:val="0"/>
                    <w:keepLines w:val="0"/>
                    <w:pageBreakBefore w:val="0"/>
                    <w:widowControl w:val="0"/>
                    <w:numPr>
                      <w:ilvl w:val="0"/>
                      <w:numId w:val="0"/>
                    </w:numPr>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eastAsia" w:ascii="Times New Roman" w:hAnsi="Times New Roman" w:cs="Times New Roman"/>
                      <w:bCs/>
                      <w:sz w:val="21"/>
                      <w:szCs w:val="21"/>
                      <w:lang w:val="en-US" w:eastAsia="zh-CN"/>
                    </w:rPr>
                  </w:pPr>
                  <w:r>
                    <w:rPr>
                      <w:rFonts w:hint="eastAsia" w:ascii="Times New Roman" w:hAnsi="Times New Roman" w:cs="Times New Roman"/>
                      <w:b w:val="0"/>
                      <w:bCs w:val="0"/>
                      <w:color w:val="auto"/>
                      <w:sz w:val="21"/>
                      <w:szCs w:val="21"/>
                      <w:highlight w:val="none"/>
                      <w:vertAlign w:val="baseline"/>
                      <w:lang w:val="en-US" w:eastAsia="zh-CN"/>
                    </w:rPr>
                    <w:t>20</w:t>
                  </w:r>
                </w:p>
              </w:tc>
              <w:tc>
                <w:tcPr>
                  <w:tcW w:w="928" w:type="pct"/>
                  <w:vAlign w:val="center"/>
                </w:tcPr>
                <w:p w14:paraId="7F3792B5">
                  <w:pPr>
                    <w:pStyle w:val="28"/>
                    <w:keepNext w:val="0"/>
                    <w:keepLines w:val="0"/>
                    <w:pageBreakBefore w:val="0"/>
                    <w:widowControl w:val="0"/>
                    <w:numPr>
                      <w:ilvl w:val="0"/>
                      <w:numId w:val="0"/>
                    </w:numPr>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eastAsia" w:ascii="Times New Roman" w:hAnsi="Times New Roman" w:cs="Times New Roman"/>
                      <w:bCs/>
                      <w:sz w:val="21"/>
                      <w:szCs w:val="21"/>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监控点处任意一次浓度值</w:t>
                  </w:r>
                </w:p>
              </w:tc>
              <w:tc>
                <w:tcPr>
                  <w:tcW w:w="562" w:type="pct"/>
                  <w:vMerge w:val="continue"/>
                  <w:vAlign w:val="center"/>
                </w:tcPr>
                <w:p w14:paraId="7E645F77">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Cs/>
                      <w:sz w:val="21"/>
                      <w:szCs w:val="21"/>
                      <w:lang w:val="en-US" w:eastAsia="zh-CN"/>
                    </w:rPr>
                  </w:pPr>
                </w:p>
              </w:tc>
            </w:tr>
          </w:tbl>
          <w:p w14:paraId="1FF12A85">
            <w:pPr>
              <w:spacing w:line="360" w:lineRule="auto"/>
              <w:rPr>
                <w:rFonts w:hint="default" w:ascii="Times New Roman" w:hAnsi="Times New Roman" w:cs="Times New Roman"/>
                <w:b/>
                <w:bCs/>
                <w:sz w:val="24"/>
              </w:rPr>
            </w:pPr>
          </w:p>
          <w:p w14:paraId="11804BAD">
            <w:pPr>
              <w:spacing w:line="360" w:lineRule="auto"/>
              <w:rPr>
                <w:rFonts w:hint="default" w:ascii="Times New Roman" w:hAnsi="Times New Roman" w:cs="Times New Roman"/>
                <w:b/>
                <w:bCs/>
                <w:sz w:val="24"/>
              </w:rPr>
            </w:pPr>
            <w:r>
              <w:rPr>
                <w:rFonts w:hint="default" w:ascii="Times New Roman" w:hAnsi="Times New Roman" w:cs="Times New Roman"/>
                <w:b/>
                <w:bCs/>
                <w:sz w:val="24"/>
              </w:rPr>
              <w:t>2、废水</w:t>
            </w:r>
          </w:p>
          <w:p w14:paraId="7D9CE247">
            <w:pPr>
              <w:shd w:val="clear"/>
              <w:spacing w:line="360" w:lineRule="auto"/>
              <w:ind w:firstLine="480" w:firstLineChars="200"/>
              <w:rPr>
                <w:rFonts w:hint="default" w:ascii="Times New Roman" w:hAnsi="Times New Roman" w:cs="Times New Roman" w:eastAsiaTheme="minorEastAsia"/>
                <w:sz w:val="24"/>
                <w:highlight w:val="none"/>
                <w:lang w:val="en-US" w:eastAsia="zh-CN"/>
              </w:rPr>
            </w:pPr>
            <w:r>
              <w:rPr>
                <w:rFonts w:hint="default" w:ascii="Times New Roman" w:hAnsi="Times New Roman" w:cs="Times New Roman"/>
                <w:sz w:val="24"/>
                <w:highlight w:val="none"/>
              </w:rPr>
              <w:t>本项目采用雨污分流制。</w:t>
            </w:r>
            <w:r>
              <w:rPr>
                <w:rFonts w:hint="eastAsia" w:ascii="Times New Roman" w:hAnsi="Times New Roman" w:cs="Times New Roman"/>
                <w:sz w:val="24"/>
                <w:highlight w:val="none"/>
                <w:lang w:val="en-US" w:eastAsia="zh-CN"/>
              </w:rPr>
              <w:t>项目运营期无生产废水产生，生活污水依托园区</w:t>
            </w:r>
            <w:r>
              <w:rPr>
                <w:rFonts w:hint="default" w:ascii="Times New Roman" w:hAnsi="Times New Roman" w:cs="Times New Roman"/>
                <w:sz w:val="24"/>
                <w:szCs w:val="24"/>
                <w:highlight w:val="none"/>
              </w:rPr>
              <w:t>化粪池处理</w:t>
            </w:r>
            <w:r>
              <w:rPr>
                <w:rFonts w:hint="eastAsia" w:ascii="Times New Roman" w:hAnsi="Times New Roman" w:cs="Times New Roman"/>
                <w:sz w:val="24"/>
                <w:szCs w:val="24"/>
                <w:highlight w:val="none"/>
                <w:lang w:val="en-US" w:eastAsia="zh-CN"/>
              </w:rPr>
              <w:t>后通过</w:t>
            </w:r>
            <w:r>
              <w:rPr>
                <w:rFonts w:hint="default" w:ascii="Times New Roman" w:hAnsi="Times New Roman" w:cs="Times New Roman"/>
                <w:sz w:val="24"/>
                <w:szCs w:val="24"/>
                <w:highlight w:val="none"/>
              </w:rPr>
              <w:t>市政管网</w:t>
            </w:r>
            <w:r>
              <w:rPr>
                <w:rFonts w:hint="eastAsia" w:ascii="Times New Roman" w:hAnsi="Times New Roman" w:cs="Times New Roman"/>
                <w:sz w:val="24"/>
                <w:szCs w:val="24"/>
                <w:highlight w:val="none"/>
                <w:lang w:val="en-US" w:eastAsia="zh-CN"/>
              </w:rPr>
              <w:t>进</w:t>
            </w:r>
            <w:r>
              <w:rPr>
                <w:rFonts w:hint="default" w:ascii="Times New Roman" w:hAnsi="Times New Roman" w:cs="Times New Roman"/>
                <w:sz w:val="24"/>
                <w:szCs w:val="24"/>
                <w:highlight w:val="none"/>
              </w:rPr>
              <w:t>入</w:t>
            </w:r>
            <w:r>
              <w:rPr>
                <w:rFonts w:hint="eastAsia" w:ascii="Times New Roman" w:hAnsi="Times New Roman" w:eastAsia="宋体" w:cs="Times New Roman"/>
                <w:b w:val="0"/>
                <w:bCs w:val="0"/>
                <w:sz w:val="24"/>
                <w:lang w:val="en-US" w:eastAsia="zh-CN"/>
              </w:rPr>
              <w:t>江南产业集中区第一污水处理厂</w:t>
            </w:r>
            <w:r>
              <w:rPr>
                <w:rFonts w:hint="eastAsia" w:ascii="Times New Roman" w:hAnsi="Times New Roman" w:cs="Times New Roman"/>
                <w:sz w:val="24"/>
                <w:szCs w:val="24"/>
                <w:highlight w:val="none"/>
                <w:lang w:val="en-US" w:eastAsia="zh-CN"/>
              </w:rPr>
              <w:t>处理</w:t>
            </w:r>
            <w:r>
              <w:rPr>
                <w:rFonts w:hint="default" w:ascii="Times New Roman" w:hAnsi="Times New Roman" w:cs="Times New Roman"/>
                <w:sz w:val="24"/>
                <w:highlight w:val="none"/>
              </w:rPr>
              <w:t>，废水排放执行《电子工业水污染物排放标准》（GB39731-2020）表1</w:t>
            </w:r>
            <w:r>
              <w:rPr>
                <w:rFonts w:hint="eastAsia" w:ascii="Times New Roman" w:hAnsi="Times New Roman" w:cs="Times New Roman"/>
                <w:sz w:val="24"/>
                <w:highlight w:val="none"/>
                <w:lang w:val="en-US" w:eastAsia="zh-CN"/>
              </w:rPr>
              <w:t>相关限值及</w:t>
            </w:r>
            <w:r>
              <w:rPr>
                <w:rFonts w:hint="eastAsia" w:ascii="Times New Roman" w:hAnsi="Times New Roman" w:eastAsia="宋体" w:cs="Times New Roman"/>
                <w:b w:val="0"/>
                <w:bCs w:val="0"/>
                <w:sz w:val="24"/>
                <w:lang w:val="en-US" w:eastAsia="zh-CN"/>
              </w:rPr>
              <w:t>江南产业集中区第一污水处理厂</w:t>
            </w:r>
            <w:r>
              <w:rPr>
                <w:rFonts w:hint="default" w:ascii="Times New Roman" w:hAnsi="Times New Roman" w:cs="Times New Roman"/>
                <w:sz w:val="24"/>
                <w:highlight w:val="none"/>
              </w:rPr>
              <w:t>接管</w:t>
            </w:r>
            <w:r>
              <w:rPr>
                <w:rFonts w:hint="eastAsia" w:ascii="Times New Roman" w:hAnsi="Times New Roman" w:cs="Times New Roman"/>
                <w:sz w:val="24"/>
                <w:highlight w:val="none"/>
                <w:lang w:val="en-US" w:eastAsia="zh-CN"/>
              </w:rPr>
              <w:t>限值</w:t>
            </w:r>
            <w:r>
              <w:rPr>
                <w:rFonts w:hint="default" w:ascii="Times New Roman" w:hAnsi="Times New Roman" w:cs="Times New Roman"/>
                <w:sz w:val="24"/>
                <w:highlight w:val="none"/>
              </w:rPr>
              <w:t>。</w:t>
            </w:r>
            <w:r>
              <w:rPr>
                <w:rFonts w:hint="eastAsia" w:ascii="Times New Roman" w:hAnsi="Times New Roman" w:eastAsia="宋体" w:cs="Times New Roman"/>
                <w:b w:val="0"/>
                <w:bCs w:val="0"/>
                <w:sz w:val="24"/>
                <w:lang w:val="en-US" w:eastAsia="zh-CN"/>
              </w:rPr>
              <w:t>江南产业集中区第一污水处理厂</w:t>
            </w:r>
            <w:r>
              <w:rPr>
                <w:rFonts w:hint="default" w:ascii="Times New Roman" w:hAnsi="Times New Roman" w:cs="Times New Roman"/>
                <w:sz w:val="24"/>
                <w:highlight w:val="none"/>
              </w:rPr>
              <w:t>尾水排放执行《城镇污水处理厂污染物排放标准》</w:t>
            </w:r>
            <w:r>
              <w:rPr>
                <w:rFonts w:hint="eastAsia" w:ascii="Times New Roman" w:hAnsi="Times New Roman" w:cs="Times New Roman"/>
                <w:sz w:val="24"/>
                <w:highlight w:val="none"/>
                <w:lang w:eastAsia="zh-CN"/>
              </w:rPr>
              <w:t>（</w:t>
            </w:r>
            <w:r>
              <w:rPr>
                <w:rFonts w:hint="default" w:ascii="Times New Roman" w:hAnsi="Times New Roman" w:cs="Times New Roman"/>
                <w:sz w:val="24"/>
                <w:highlight w:val="none"/>
              </w:rPr>
              <w:t>GB18918-2002</w:t>
            </w:r>
            <w:r>
              <w:rPr>
                <w:rFonts w:hint="eastAsia" w:ascii="Times New Roman" w:hAnsi="Times New Roman" w:cs="Times New Roman"/>
                <w:sz w:val="24"/>
                <w:highlight w:val="none"/>
                <w:lang w:eastAsia="zh-CN"/>
              </w:rPr>
              <w:t>）</w:t>
            </w:r>
            <w:r>
              <w:rPr>
                <w:rFonts w:hint="default" w:ascii="Times New Roman" w:hAnsi="Times New Roman" w:cs="Times New Roman"/>
                <w:sz w:val="24"/>
                <w:highlight w:val="none"/>
              </w:rPr>
              <w:t>一级A标准。</w:t>
            </w:r>
          </w:p>
          <w:p w14:paraId="74C11B8B">
            <w:pPr>
              <w:shd w:val="clear"/>
              <w:spacing w:line="360" w:lineRule="auto"/>
              <w:jc w:val="center"/>
              <w:rPr>
                <w:rFonts w:hint="default" w:ascii="Times New Roman" w:hAnsi="Times New Roman" w:eastAsia="黑体" w:cs="Times New Roman"/>
                <w:sz w:val="21"/>
                <w:szCs w:val="21"/>
                <w:highlight w:val="none"/>
                <w:lang w:val="en-US" w:eastAsia="zh-CN"/>
              </w:rPr>
            </w:pPr>
            <w:r>
              <w:rPr>
                <w:rFonts w:hint="default" w:ascii="Times New Roman" w:hAnsi="Times New Roman" w:eastAsia="黑体" w:cs="Times New Roman"/>
                <w:sz w:val="21"/>
                <w:szCs w:val="21"/>
                <w:highlight w:val="none"/>
              </w:rPr>
              <w:t>表</w:t>
            </w:r>
            <w:r>
              <w:rPr>
                <w:rFonts w:hint="eastAsia" w:ascii="Times New Roman" w:hAnsi="Times New Roman" w:eastAsia="黑体" w:cs="Times New Roman"/>
                <w:sz w:val="21"/>
                <w:szCs w:val="21"/>
                <w:highlight w:val="none"/>
                <w:lang w:val="en-US" w:eastAsia="zh-CN"/>
              </w:rPr>
              <w:t>3-8</w:t>
            </w:r>
            <w:r>
              <w:rPr>
                <w:rFonts w:hint="default" w:ascii="Times New Roman" w:hAnsi="Times New Roman" w:eastAsia="黑体" w:cs="Times New Roman"/>
                <w:sz w:val="21"/>
                <w:szCs w:val="21"/>
                <w:highlight w:val="none"/>
              </w:rPr>
              <w:t xml:space="preserve"> 水污染物排放标准</w:t>
            </w:r>
            <w:r>
              <w:rPr>
                <w:rFonts w:hint="eastAsia" w:ascii="Times New Roman" w:hAnsi="Times New Roman" w:eastAsia="黑体" w:cs="Times New Roman"/>
                <w:sz w:val="21"/>
                <w:szCs w:val="21"/>
                <w:highlight w:val="none"/>
                <w:lang w:val="en-US" w:eastAsia="zh-CN"/>
              </w:rPr>
              <w:t xml:space="preserve">    单位：mg/L</w:t>
            </w:r>
          </w:p>
          <w:tbl>
            <w:tblPr>
              <w:tblStyle w:val="2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857"/>
              <w:gridCol w:w="755"/>
              <w:gridCol w:w="755"/>
              <w:gridCol w:w="755"/>
              <w:gridCol w:w="690"/>
              <w:gridCol w:w="823"/>
              <w:gridCol w:w="756"/>
              <w:gridCol w:w="756"/>
            </w:tblGrid>
            <w:tr w14:paraId="2AF3C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751" w:type="pct"/>
                  <w:shd w:val="clear" w:color="auto" w:fill="auto"/>
                  <w:vAlign w:val="center"/>
                </w:tcPr>
                <w:p w14:paraId="5C7C6643">
                  <w:pPr>
                    <w:shd w:val="clear"/>
                    <w:spacing w:line="360" w:lineRule="exact"/>
                    <w:jc w:val="center"/>
                    <w:rPr>
                      <w:rFonts w:hint="default" w:ascii="Times New Roman" w:hAnsi="Times New Roman" w:eastAsia="宋体" w:cs="Times New Roman"/>
                      <w:b w:val="0"/>
                      <w:bCs/>
                      <w:szCs w:val="21"/>
                      <w:lang w:val="en-US" w:eastAsia="zh-CN"/>
                    </w:rPr>
                  </w:pPr>
                  <w:r>
                    <w:rPr>
                      <w:rFonts w:hint="default" w:ascii="Times New Roman" w:hAnsi="Times New Roman" w:eastAsia="宋体" w:cs="Times New Roman"/>
                      <w:b w:val="0"/>
                      <w:bCs/>
                      <w:szCs w:val="21"/>
                    </w:rPr>
                    <w:t>标准</w:t>
                  </w:r>
                  <w:r>
                    <w:rPr>
                      <w:rFonts w:hint="default" w:ascii="Times New Roman" w:hAnsi="Times New Roman" w:eastAsia="宋体" w:cs="Times New Roman"/>
                      <w:b w:val="0"/>
                      <w:bCs/>
                      <w:szCs w:val="21"/>
                      <w:lang w:val="en-US" w:eastAsia="zh-CN"/>
                    </w:rPr>
                    <w:t>名称</w:t>
                  </w:r>
                </w:p>
              </w:tc>
              <w:tc>
                <w:tcPr>
                  <w:tcW w:w="463" w:type="pct"/>
                  <w:shd w:val="clear" w:color="auto" w:fill="auto"/>
                  <w:vAlign w:val="center"/>
                </w:tcPr>
                <w:p w14:paraId="33E44277">
                  <w:pPr>
                    <w:shd w:val="clear"/>
                    <w:spacing w:line="360" w:lineRule="exact"/>
                    <w:jc w:val="center"/>
                    <w:rPr>
                      <w:rFonts w:hint="default" w:ascii="Times New Roman" w:hAnsi="Times New Roman" w:eastAsia="宋体" w:cs="Times New Roman"/>
                      <w:bCs/>
                      <w:szCs w:val="21"/>
                    </w:rPr>
                  </w:pPr>
                  <w:r>
                    <w:rPr>
                      <w:rFonts w:hint="default" w:ascii="Times New Roman" w:hAnsi="Times New Roman" w:eastAsia="宋体" w:cs="Times New Roman"/>
                      <w:bCs/>
                      <w:szCs w:val="21"/>
                    </w:rPr>
                    <w:t>PH</w:t>
                  </w:r>
                </w:p>
              </w:tc>
              <w:tc>
                <w:tcPr>
                  <w:tcW w:w="463" w:type="pct"/>
                  <w:shd w:val="clear" w:color="auto" w:fill="auto"/>
                  <w:vAlign w:val="center"/>
                </w:tcPr>
                <w:p w14:paraId="3B544239">
                  <w:pPr>
                    <w:shd w:val="clear"/>
                    <w:spacing w:line="360" w:lineRule="exact"/>
                    <w:jc w:val="center"/>
                    <w:rPr>
                      <w:rFonts w:hint="default" w:ascii="Times New Roman" w:hAnsi="Times New Roman" w:eastAsia="宋体" w:cs="Times New Roman"/>
                      <w:bCs/>
                      <w:szCs w:val="21"/>
                    </w:rPr>
                  </w:pPr>
                  <w:r>
                    <w:rPr>
                      <w:rFonts w:hint="default" w:ascii="Times New Roman" w:hAnsi="Times New Roman" w:eastAsia="宋体" w:cs="Times New Roman"/>
                      <w:bCs/>
                      <w:szCs w:val="21"/>
                    </w:rPr>
                    <w:t>COD</w:t>
                  </w:r>
                </w:p>
              </w:tc>
              <w:tc>
                <w:tcPr>
                  <w:tcW w:w="463" w:type="pct"/>
                  <w:shd w:val="clear" w:color="auto" w:fill="auto"/>
                  <w:vAlign w:val="center"/>
                </w:tcPr>
                <w:p w14:paraId="0CFE1328">
                  <w:pPr>
                    <w:shd w:val="clear"/>
                    <w:spacing w:line="360" w:lineRule="exact"/>
                    <w:jc w:val="center"/>
                    <w:rPr>
                      <w:rFonts w:hint="default" w:ascii="Times New Roman" w:hAnsi="Times New Roman" w:eastAsia="宋体" w:cs="Times New Roman"/>
                      <w:bCs/>
                      <w:szCs w:val="21"/>
                    </w:rPr>
                  </w:pPr>
                  <w:r>
                    <w:rPr>
                      <w:rFonts w:hint="default" w:ascii="Times New Roman" w:hAnsi="Times New Roman" w:eastAsia="宋体" w:cs="Times New Roman"/>
                      <w:bCs/>
                      <w:szCs w:val="21"/>
                    </w:rPr>
                    <w:t>BOD</w:t>
                  </w:r>
                  <w:r>
                    <w:rPr>
                      <w:rFonts w:hint="default" w:ascii="Times New Roman" w:hAnsi="Times New Roman" w:eastAsia="宋体" w:cs="Times New Roman"/>
                      <w:bCs/>
                      <w:szCs w:val="21"/>
                      <w:vertAlign w:val="subscript"/>
                    </w:rPr>
                    <w:t>5</w:t>
                  </w:r>
                </w:p>
              </w:tc>
              <w:tc>
                <w:tcPr>
                  <w:tcW w:w="423" w:type="pct"/>
                  <w:shd w:val="clear" w:color="auto" w:fill="auto"/>
                  <w:vAlign w:val="center"/>
                </w:tcPr>
                <w:p w14:paraId="06E56C72">
                  <w:pPr>
                    <w:shd w:val="clear"/>
                    <w:spacing w:line="360" w:lineRule="exact"/>
                    <w:jc w:val="center"/>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SS</w:t>
                  </w:r>
                </w:p>
              </w:tc>
              <w:tc>
                <w:tcPr>
                  <w:tcW w:w="504" w:type="pct"/>
                  <w:shd w:val="clear" w:color="auto" w:fill="auto"/>
                  <w:vAlign w:val="center"/>
                </w:tcPr>
                <w:p w14:paraId="2D0CA795">
                  <w:pPr>
                    <w:shd w:val="clear"/>
                    <w:spacing w:line="360" w:lineRule="exact"/>
                    <w:jc w:val="center"/>
                    <w:rPr>
                      <w:rFonts w:hint="default" w:ascii="Times New Roman" w:hAnsi="Times New Roman" w:eastAsia="宋体" w:cs="Times New Roman"/>
                      <w:bCs/>
                      <w:szCs w:val="21"/>
                    </w:rPr>
                  </w:pPr>
                  <w:r>
                    <w:rPr>
                      <w:rFonts w:hint="default" w:ascii="Times New Roman" w:hAnsi="Times New Roman" w:eastAsia="宋体" w:cs="Times New Roman"/>
                      <w:bCs/>
                      <w:szCs w:val="21"/>
                    </w:rPr>
                    <w:t>NH</w:t>
                  </w:r>
                  <w:r>
                    <w:rPr>
                      <w:rFonts w:hint="default" w:ascii="Times New Roman" w:hAnsi="Times New Roman" w:eastAsia="宋体" w:cs="Times New Roman"/>
                      <w:bCs/>
                      <w:szCs w:val="21"/>
                      <w:vertAlign w:val="subscript"/>
                    </w:rPr>
                    <w:t>3</w:t>
                  </w:r>
                  <w:r>
                    <w:rPr>
                      <w:rFonts w:hint="default" w:ascii="Times New Roman" w:hAnsi="Times New Roman" w:eastAsia="宋体" w:cs="Times New Roman"/>
                      <w:bCs/>
                      <w:szCs w:val="21"/>
                    </w:rPr>
                    <w:t>-N</w:t>
                  </w:r>
                </w:p>
              </w:tc>
              <w:tc>
                <w:tcPr>
                  <w:tcW w:w="463" w:type="pct"/>
                  <w:shd w:val="clear" w:color="auto" w:fill="auto"/>
                  <w:vAlign w:val="center"/>
                </w:tcPr>
                <w:p w14:paraId="09B58216">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TP</w:t>
                  </w:r>
                </w:p>
              </w:tc>
              <w:tc>
                <w:tcPr>
                  <w:tcW w:w="463" w:type="pct"/>
                  <w:shd w:val="clear" w:color="auto" w:fill="auto"/>
                  <w:vAlign w:val="center"/>
                </w:tcPr>
                <w:p w14:paraId="39BF86AE">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TN</w:t>
                  </w:r>
                </w:p>
              </w:tc>
            </w:tr>
            <w:tr w14:paraId="54119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1" w:type="pct"/>
                  <w:shd w:val="clear" w:color="auto" w:fill="auto"/>
                  <w:vAlign w:val="center"/>
                </w:tcPr>
                <w:p w14:paraId="6E389F80">
                  <w:pPr>
                    <w:shd w:val="clear"/>
                    <w:spacing w:line="360" w:lineRule="exact"/>
                    <w:jc w:val="center"/>
                    <w:rPr>
                      <w:rFonts w:hint="default" w:ascii="Times New Roman" w:hAnsi="Times New Roman" w:eastAsia="宋体" w:cs="Times New Roman"/>
                      <w:b w:val="0"/>
                      <w:bCs/>
                      <w:szCs w:val="21"/>
                      <w:lang w:val="en-US" w:eastAsia="zh-CN"/>
                    </w:rPr>
                  </w:pPr>
                  <w:r>
                    <w:rPr>
                      <w:rFonts w:hint="default" w:ascii="Times New Roman" w:hAnsi="Times New Roman" w:eastAsia="宋体" w:cs="Times New Roman"/>
                      <w:b w:val="0"/>
                      <w:bCs/>
                      <w:szCs w:val="21"/>
                      <w:lang w:val="en-US" w:eastAsia="zh-CN"/>
                    </w:rPr>
                    <w:t>GB39731-2020表1限值</w:t>
                  </w:r>
                </w:p>
              </w:tc>
              <w:tc>
                <w:tcPr>
                  <w:tcW w:w="463" w:type="pct"/>
                  <w:shd w:val="clear" w:color="auto" w:fill="auto"/>
                  <w:vAlign w:val="center"/>
                </w:tcPr>
                <w:p w14:paraId="15537B23">
                  <w:pPr>
                    <w:shd w:val="clear"/>
                    <w:spacing w:line="360" w:lineRule="exact"/>
                    <w:jc w:val="center"/>
                    <w:rPr>
                      <w:rFonts w:hint="default" w:ascii="Times New Roman" w:hAnsi="Times New Roman" w:eastAsia="宋体" w:cs="Times New Roman"/>
                      <w:bCs/>
                      <w:szCs w:val="21"/>
                    </w:rPr>
                  </w:pPr>
                  <w:r>
                    <w:rPr>
                      <w:rFonts w:hint="default" w:ascii="Times New Roman" w:hAnsi="Times New Roman" w:eastAsia="宋体" w:cs="Times New Roman"/>
                      <w:bCs/>
                      <w:szCs w:val="21"/>
                    </w:rPr>
                    <w:t>6-9</w:t>
                  </w:r>
                </w:p>
              </w:tc>
              <w:tc>
                <w:tcPr>
                  <w:tcW w:w="463" w:type="pct"/>
                  <w:shd w:val="clear" w:color="auto" w:fill="auto"/>
                  <w:vAlign w:val="center"/>
                </w:tcPr>
                <w:p w14:paraId="269AFB4B">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500</w:t>
                  </w:r>
                </w:p>
              </w:tc>
              <w:tc>
                <w:tcPr>
                  <w:tcW w:w="463" w:type="pct"/>
                  <w:shd w:val="clear" w:color="auto" w:fill="auto"/>
                  <w:vAlign w:val="center"/>
                </w:tcPr>
                <w:p w14:paraId="419195DD">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w:t>
                  </w:r>
                </w:p>
              </w:tc>
              <w:tc>
                <w:tcPr>
                  <w:tcW w:w="423" w:type="pct"/>
                  <w:shd w:val="clear" w:color="auto" w:fill="auto"/>
                  <w:vAlign w:val="center"/>
                </w:tcPr>
                <w:p w14:paraId="13FCEC41">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400</w:t>
                  </w:r>
                </w:p>
              </w:tc>
              <w:tc>
                <w:tcPr>
                  <w:tcW w:w="504" w:type="pct"/>
                  <w:shd w:val="clear" w:color="auto" w:fill="auto"/>
                  <w:vAlign w:val="center"/>
                </w:tcPr>
                <w:p w14:paraId="009EB647">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45</w:t>
                  </w:r>
                </w:p>
              </w:tc>
              <w:tc>
                <w:tcPr>
                  <w:tcW w:w="463" w:type="pct"/>
                  <w:shd w:val="clear" w:color="auto" w:fill="auto"/>
                  <w:vAlign w:val="center"/>
                </w:tcPr>
                <w:p w14:paraId="45350835">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8.0</w:t>
                  </w:r>
                </w:p>
              </w:tc>
              <w:tc>
                <w:tcPr>
                  <w:tcW w:w="463" w:type="pct"/>
                  <w:shd w:val="clear" w:color="auto" w:fill="auto"/>
                  <w:vAlign w:val="center"/>
                </w:tcPr>
                <w:p w14:paraId="4ACCB045">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70</w:t>
                  </w:r>
                </w:p>
              </w:tc>
            </w:tr>
            <w:tr w14:paraId="280F8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1" w:type="pct"/>
                  <w:shd w:val="clear" w:color="auto" w:fill="auto"/>
                  <w:vAlign w:val="center"/>
                </w:tcPr>
                <w:p w14:paraId="73C9DC76">
                  <w:pPr>
                    <w:shd w:val="clear"/>
                    <w:spacing w:line="360" w:lineRule="exact"/>
                    <w:jc w:val="center"/>
                    <w:rPr>
                      <w:rFonts w:hint="eastAsia" w:ascii="Times New Roman" w:hAnsi="Times New Roman" w:eastAsia="宋体" w:cs="Times New Roman"/>
                      <w:b w:val="0"/>
                      <w:bCs/>
                      <w:szCs w:val="21"/>
                      <w:lang w:val="en-US" w:eastAsia="zh-CN"/>
                    </w:rPr>
                  </w:pPr>
                  <w:r>
                    <w:rPr>
                      <w:rFonts w:hint="default" w:ascii="Times New Roman" w:hAnsi="Times New Roman" w:eastAsia="宋体" w:cs="Times New Roman"/>
                      <w:b w:val="0"/>
                      <w:bCs/>
                      <w:szCs w:val="21"/>
                      <w:lang w:val="en-US" w:eastAsia="zh-CN"/>
                    </w:rPr>
                    <w:t>江南产业集中区第一污水处理厂</w:t>
                  </w:r>
                  <w:r>
                    <w:rPr>
                      <w:rFonts w:hint="default" w:ascii="Times New Roman" w:hAnsi="Times New Roman" w:eastAsia="宋体" w:cs="Times New Roman"/>
                      <w:b w:val="0"/>
                      <w:bCs/>
                      <w:szCs w:val="21"/>
                    </w:rPr>
                    <w:t>接管</w:t>
                  </w:r>
                  <w:r>
                    <w:rPr>
                      <w:rFonts w:hint="eastAsia" w:ascii="Times New Roman" w:hAnsi="Times New Roman" w:eastAsia="宋体" w:cs="Times New Roman"/>
                      <w:b w:val="0"/>
                      <w:bCs/>
                      <w:szCs w:val="21"/>
                      <w:lang w:val="en-US" w:eastAsia="zh-CN"/>
                    </w:rPr>
                    <w:t>限值</w:t>
                  </w:r>
                </w:p>
              </w:tc>
              <w:tc>
                <w:tcPr>
                  <w:tcW w:w="463" w:type="pct"/>
                  <w:shd w:val="clear" w:color="auto" w:fill="auto"/>
                  <w:vAlign w:val="center"/>
                </w:tcPr>
                <w:p w14:paraId="425AFB96">
                  <w:pPr>
                    <w:shd w:val="clear"/>
                    <w:spacing w:line="360" w:lineRule="exact"/>
                    <w:jc w:val="center"/>
                    <w:rPr>
                      <w:rFonts w:hint="default" w:ascii="Times New Roman" w:hAnsi="Times New Roman" w:eastAsia="宋体" w:cs="Times New Roman"/>
                      <w:bCs/>
                      <w:szCs w:val="21"/>
                    </w:rPr>
                  </w:pPr>
                  <w:r>
                    <w:rPr>
                      <w:rFonts w:hint="default" w:ascii="Times New Roman" w:hAnsi="Times New Roman" w:eastAsia="宋体" w:cs="Times New Roman"/>
                      <w:bCs/>
                      <w:szCs w:val="21"/>
                    </w:rPr>
                    <w:t>6-9</w:t>
                  </w:r>
                </w:p>
              </w:tc>
              <w:tc>
                <w:tcPr>
                  <w:tcW w:w="463" w:type="pct"/>
                  <w:shd w:val="clear" w:color="auto" w:fill="auto"/>
                  <w:vAlign w:val="center"/>
                </w:tcPr>
                <w:p w14:paraId="40EFD862">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500</w:t>
                  </w:r>
                </w:p>
              </w:tc>
              <w:tc>
                <w:tcPr>
                  <w:tcW w:w="463" w:type="pct"/>
                  <w:shd w:val="clear" w:color="auto" w:fill="auto"/>
                  <w:vAlign w:val="center"/>
                </w:tcPr>
                <w:p w14:paraId="178931A2">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150</w:t>
                  </w:r>
                </w:p>
              </w:tc>
              <w:tc>
                <w:tcPr>
                  <w:tcW w:w="423" w:type="pct"/>
                  <w:shd w:val="clear" w:color="auto" w:fill="auto"/>
                  <w:vAlign w:val="center"/>
                </w:tcPr>
                <w:p w14:paraId="341A3537">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240</w:t>
                  </w:r>
                </w:p>
              </w:tc>
              <w:tc>
                <w:tcPr>
                  <w:tcW w:w="504" w:type="pct"/>
                  <w:shd w:val="clear" w:color="auto" w:fill="auto"/>
                  <w:vAlign w:val="center"/>
                </w:tcPr>
                <w:p w14:paraId="7D8F1B84">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25</w:t>
                  </w:r>
                </w:p>
              </w:tc>
              <w:tc>
                <w:tcPr>
                  <w:tcW w:w="463" w:type="pct"/>
                  <w:shd w:val="clear" w:color="auto" w:fill="auto"/>
                  <w:vAlign w:val="center"/>
                </w:tcPr>
                <w:p w14:paraId="1DB02A18">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3</w:t>
                  </w:r>
                </w:p>
              </w:tc>
              <w:tc>
                <w:tcPr>
                  <w:tcW w:w="463" w:type="pct"/>
                  <w:shd w:val="clear" w:color="auto" w:fill="auto"/>
                  <w:vAlign w:val="center"/>
                </w:tcPr>
                <w:p w14:paraId="04BAC2A6">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35</w:t>
                  </w:r>
                </w:p>
              </w:tc>
            </w:tr>
            <w:tr w14:paraId="799EC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1" w:type="pct"/>
                  <w:shd w:val="clear" w:color="auto" w:fill="auto"/>
                  <w:vAlign w:val="center"/>
                </w:tcPr>
                <w:p w14:paraId="7B4FBA09">
                  <w:pPr>
                    <w:shd w:val="clear"/>
                    <w:spacing w:line="360" w:lineRule="exact"/>
                    <w:jc w:val="center"/>
                    <w:rPr>
                      <w:rFonts w:hint="default" w:ascii="Times New Roman" w:hAnsi="Times New Roman" w:eastAsia="宋体" w:cs="Times New Roman"/>
                      <w:b w:val="0"/>
                      <w:bCs/>
                      <w:szCs w:val="21"/>
                      <w:lang w:val="en-US" w:eastAsia="zh-CN"/>
                    </w:rPr>
                  </w:pPr>
                  <w:r>
                    <w:rPr>
                      <w:rFonts w:hint="default" w:ascii="Times New Roman" w:hAnsi="Times New Roman" w:eastAsia="宋体" w:cs="Times New Roman"/>
                      <w:b w:val="0"/>
                      <w:bCs/>
                      <w:szCs w:val="21"/>
                      <w:lang w:val="en-US" w:eastAsia="zh-CN"/>
                    </w:rPr>
                    <w:t>本项目废水排放执行</w:t>
                  </w:r>
                  <w:r>
                    <w:rPr>
                      <w:rFonts w:hint="eastAsia" w:ascii="Times New Roman" w:hAnsi="Times New Roman" w:eastAsia="宋体" w:cs="Times New Roman"/>
                      <w:b w:val="0"/>
                      <w:bCs/>
                      <w:szCs w:val="21"/>
                      <w:lang w:val="en-US" w:eastAsia="zh-CN"/>
                    </w:rPr>
                    <w:t>限值</w:t>
                  </w:r>
                </w:p>
              </w:tc>
              <w:tc>
                <w:tcPr>
                  <w:tcW w:w="463" w:type="pct"/>
                  <w:shd w:val="clear" w:color="auto" w:fill="auto"/>
                  <w:vAlign w:val="center"/>
                </w:tcPr>
                <w:p w14:paraId="04B60F17">
                  <w:pPr>
                    <w:shd w:val="clear"/>
                    <w:spacing w:line="360" w:lineRule="exact"/>
                    <w:jc w:val="center"/>
                    <w:rPr>
                      <w:rFonts w:hint="default" w:ascii="Times New Roman" w:hAnsi="Times New Roman" w:eastAsia="宋体" w:cs="Times New Roman"/>
                      <w:bCs/>
                      <w:szCs w:val="21"/>
                    </w:rPr>
                  </w:pPr>
                  <w:r>
                    <w:rPr>
                      <w:rFonts w:hint="default" w:ascii="Times New Roman" w:hAnsi="Times New Roman" w:eastAsia="宋体" w:cs="Times New Roman"/>
                      <w:bCs/>
                      <w:szCs w:val="21"/>
                    </w:rPr>
                    <w:t>6-9</w:t>
                  </w:r>
                </w:p>
              </w:tc>
              <w:tc>
                <w:tcPr>
                  <w:tcW w:w="463" w:type="pct"/>
                  <w:shd w:val="clear" w:color="auto" w:fill="auto"/>
                  <w:vAlign w:val="center"/>
                </w:tcPr>
                <w:p w14:paraId="4CD70E4A">
                  <w:pPr>
                    <w:shd w:val="clear"/>
                    <w:spacing w:line="360" w:lineRule="exact"/>
                    <w:jc w:val="center"/>
                    <w:rPr>
                      <w:rFonts w:hint="eastAsia" w:ascii="Times New Roman" w:hAnsi="Times New Roman" w:eastAsia="宋体" w:cs="Times New Roman"/>
                      <w:bCs/>
                      <w:kern w:val="2"/>
                      <w:sz w:val="21"/>
                      <w:szCs w:val="21"/>
                      <w:lang w:val="en-US" w:eastAsia="zh-CN" w:bidi="ar-SA"/>
                    </w:rPr>
                  </w:pPr>
                  <w:r>
                    <w:rPr>
                      <w:rFonts w:hint="eastAsia" w:ascii="Times New Roman" w:hAnsi="Times New Roman" w:eastAsia="宋体" w:cs="Times New Roman"/>
                      <w:bCs/>
                      <w:szCs w:val="21"/>
                      <w:lang w:val="en-US" w:eastAsia="zh-CN"/>
                    </w:rPr>
                    <w:t>500</w:t>
                  </w:r>
                </w:p>
              </w:tc>
              <w:tc>
                <w:tcPr>
                  <w:tcW w:w="463" w:type="pct"/>
                  <w:shd w:val="clear" w:color="auto" w:fill="auto"/>
                  <w:vAlign w:val="center"/>
                </w:tcPr>
                <w:p w14:paraId="26426CEE">
                  <w:pPr>
                    <w:shd w:val="clear"/>
                    <w:spacing w:line="360" w:lineRule="exact"/>
                    <w:jc w:val="center"/>
                    <w:rPr>
                      <w:rFonts w:hint="eastAsia" w:ascii="Times New Roman" w:hAnsi="Times New Roman" w:eastAsia="宋体" w:cs="Times New Roman"/>
                      <w:bCs/>
                      <w:kern w:val="2"/>
                      <w:sz w:val="21"/>
                      <w:szCs w:val="21"/>
                      <w:lang w:val="en-US" w:eastAsia="zh-CN" w:bidi="ar-SA"/>
                    </w:rPr>
                  </w:pPr>
                  <w:r>
                    <w:rPr>
                      <w:rFonts w:hint="eastAsia" w:ascii="Times New Roman" w:hAnsi="Times New Roman" w:eastAsia="宋体" w:cs="Times New Roman"/>
                      <w:bCs/>
                      <w:szCs w:val="21"/>
                      <w:lang w:val="en-US" w:eastAsia="zh-CN"/>
                    </w:rPr>
                    <w:t>150</w:t>
                  </w:r>
                </w:p>
              </w:tc>
              <w:tc>
                <w:tcPr>
                  <w:tcW w:w="423" w:type="pct"/>
                  <w:shd w:val="clear" w:color="auto" w:fill="auto"/>
                  <w:vAlign w:val="center"/>
                </w:tcPr>
                <w:p w14:paraId="73DA8252">
                  <w:pPr>
                    <w:shd w:val="clear"/>
                    <w:spacing w:line="360" w:lineRule="exact"/>
                    <w:jc w:val="center"/>
                    <w:rPr>
                      <w:rFonts w:hint="eastAsia" w:ascii="Times New Roman" w:hAnsi="Times New Roman" w:eastAsia="宋体" w:cs="Times New Roman"/>
                      <w:bCs/>
                      <w:kern w:val="2"/>
                      <w:sz w:val="21"/>
                      <w:szCs w:val="21"/>
                      <w:lang w:val="en-US" w:eastAsia="zh-CN" w:bidi="ar-SA"/>
                    </w:rPr>
                  </w:pPr>
                  <w:r>
                    <w:rPr>
                      <w:rFonts w:hint="eastAsia" w:ascii="Times New Roman" w:hAnsi="Times New Roman" w:eastAsia="宋体" w:cs="Times New Roman"/>
                      <w:bCs/>
                      <w:szCs w:val="21"/>
                      <w:lang w:val="en-US" w:eastAsia="zh-CN"/>
                    </w:rPr>
                    <w:t>240</w:t>
                  </w:r>
                </w:p>
              </w:tc>
              <w:tc>
                <w:tcPr>
                  <w:tcW w:w="504" w:type="pct"/>
                  <w:shd w:val="clear" w:color="auto" w:fill="auto"/>
                  <w:vAlign w:val="center"/>
                </w:tcPr>
                <w:p w14:paraId="31B3AD18">
                  <w:pPr>
                    <w:shd w:val="clear"/>
                    <w:spacing w:line="360" w:lineRule="exact"/>
                    <w:jc w:val="center"/>
                    <w:rPr>
                      <w:rFonts w:hint="eastAsia" w:ascii="Times New Roman" w:hAnsi="Times New Roman" w:eastAsia="宋体" w:cs="Times New Roman"/>
                      <w:bCs/>
                      <w:kern w:val="2"/>
                      <w:sz w:val="21"/>
                      <w:szCs w:val="21"/>
                      <w:lang w:val="en-US" w:eastAsia="zh-CN" w:bidi="ar-SA"/>
                    </w:rPr>
                  </w:pPr>
                  <w:r>
                    <w:rPr>
                      <w:rFonts w:hint="eastAsia" w:ascii="Times New Roman" w:hAnsi="Times New Roman" w:eastAsia="宋体" w:cs="Times New Roman"/>
                      <w:bCs/>
                      <w:szCs w:val="21"/>
                      <w:lang w:val="en-US" w:eastAsia="zh-CN"/>
                    </w:rPr>
                    <w:t>25</w:t>
                  </w:r>
                </w:p>
              </w:tc>
              <w:tc>
                <w:tcPr>
                  <w:tcW w:w="463" w:type="pct"/>
                  <w:shd w:val="clear" w:color="auto" w:fill="auto"/>
                  <w:vAlign w:val="center"/>
                </w:tcPr>
                <w:p w14:paraId="68F98C32">
                  <w:pPr>
                    <w:shd w:val="clear"/>
                    <w:spacing w:line="360" w:lineRule="exact"/>
                    <w:jc w:val="center"/>
                    <w:rPr>
                      <w:rFonts w:hint="eastAsia" w:ascii="Times New Roman" w:hAnsi="Times New Roman" w:eastAsia="宋体" w:cs="Times New Roman"/>
                      <w:bCs/>
                      <w:kern w:val="2"/>
                      <w:sz w:val="21"/>
                      <w:szCs w:val="21"/>
                      <w:lang w:val="en-US" w:eastAsia="zh-CN" w:bidi="ar-SA"/>
                    </w:rPr>
                  </w:pPr>
                  <w:r>
                    <w:rPr>
                      <w:rFonts w:hint="eastAsia" w:ascii="Times New Roman" w:hAnsi="Times New Roman" w:eastAsia="宋体" w:cs="Times New Roman"/>
                      <w:bCs/>
                      <w:szCs w:val="21"/>
                      <w:lang w:val="en-US" w:eastAsia="zh-CN"/>
                    </w:rPr>
                    <w:t>3</w:t>
                  </w:r>
                </w:p>
              </w:tc>
              <w:tc>
                <w:tcPr>
                  <w:tcW w:w="463" w:type="pct"/>
                  <w:shd w:val="clear" w:color="auto" w:fill="auto"/>
                  <w:vAlign w:val="center"/>
                </w:tcPr>
                <w:p w14:paraId="349F3FEA">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35</w:t>
                  </w:r>
                </w:p>
              </w:tc>
            </w:tr>
            <w:tr w14:paraId="618EA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1" w:type="pct"/>
                  <w:shd w:val="clear" w:color="auto" w:fill="auto"/>
                  <w:vAlign w:val="center"/>
                </w:tcPr>
                <w:p w14:paraId="3EEF99EB">
                  <w:pPr>
                    <w:shd w:val="clear"/>
                    <w:spacing w:line="360" w:lineRule="exact"/>
                    <w:jc w:val="center"/>
                    <w:rPr>
                      <w:rFonts w:hint="default" w:ascii="Times New Roman" w:hAnsi="Times New Roman" w:eastAsia="宋体" w:cs="Times New Roman"/>
                      <w:b w:val="0"/>
                      <w:bCs/>
                      <w:szCs w:val="21"/>
                    </w:rPr>
                  </w:pPr>
                  <w:r>
                    <w:rPr>
                      <w:rFonts w:hint="default" w:ascii="Times New Roman" w:hAnsi="Times New Roman" w:eastAsia="宋体" w:cs="Times New Roman"/>
                      <w:b w:val="0"/>
                      <w:bCs/>
                      <w:szCs w:val="21"/>
                    </w:rPr>
                    <w:t>GB18918-2002一级A标准</w:t>
                  </w:r>
                </w:p>
              </w:tc>
              <w:tc>
                <w:tcPr>
                  <w:tcW w:w="463" w:type="pct"/>
                  <w:shd w:val="clear" w:color="auto" w:fill="auto"/>
                  <w:vAlign w:val="center"/>
                </w:tcPr>
                <w:p w14:paraId="340E7A4E">
                  <w:pPr>
                    <w:shd w:val="clear"/>
                    <w:spacing w:line="360" w:lineRule="exact"/>
                    <w:jc w:val="center"/>
                    <w:rPr>
                      <w:rFonts w:hint="default" w:ascii="Times New Roman" w:hAnsi="Times New Roman" w:eastAsia="宋体" w:cs="Times New Roman"/>
                      <w:bCs/>
                      <w:szCs w:val="21"/>
                    </w:rPr>
                  </w:pPr>
                  <w:r>
                    <w:rPr>
                      <w:rFonts w:hint="default" w:ascii="Times New Roman" w:hAnsi="Times New Roman" w:eastAsia="宋体" w:cs="Times New Roman"/>
                      <w:bCs/>
                      <w:szCs w:val="21"/>
                    </w:rPr>
                    <w:t>6-9</w:t>
                  </w:r>
                </w:p>
              </w:tc>
              <w:tc>
                <w:tcPr>
                  <w:tcW w:w="463" w:type="pct"/>
                  <w:shd w:val="clear" w:color="auto" w:fill="auto"/>
                  <w:vAlign w:val="center"/>
                </w:tcPr>
                <w:p w14:paraId="5C46241A">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50</w:t>
                  </w:r>
                </w:p>
              </w:tc>
              <w:tc>
                <w:tcPr>
                  <w:tcW w:w="463" w:type="pct"/>
                  <w:shd w:val="clear" w:color="auto" w:fill="auto"/>
                  <w:vAlign w:val="center"/>
                </w:tcPr>
                <w:p w14:paraId="776189E4">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10</w:t>
                  </w:r>
                </w:p>
              </w:tc>
              <w:tc>
                <w:tcPr>
                  <w:tcW w:w="423" w:type="pct"/>
                  <w:shd w:val="clear" w:color="auto" w:fill="auto"/>
                  <w:vAlign w:val="center"/>
                </w:tcPr>
                <w:p w14:paraId="1FDD77C5">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10</w:t>
                  </w:r>
                </w:p>
              </w:tc>
              <w:tc>
                <w:tcPr>
                  <w:tcW w:w="504" w:type="pct"/>
                  <w:shd w:val="clear" w:color="auto" w:fill="auto"/>
                  <w:vAlign w:val="center"/>
                </w:tcPr>
                <w:p w14:paraId="1992DEA4">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5</w:t>
                  </w:r>
                </w:p>
              </w:tc>
              <w:tc>
                <w:tcPr>
                  <w:tcW w:w="463" w:type="pct"/>
                  <w:shd w:val="clear" w:color="auto" w:fill="auto"/>
                  <w:vAlign w:val="center"/>
                </w:tcPr>
                <w:p w14:paraId="4D0D08D2">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0.5</w:t>
                  </w:r>
                </w:p>
              </w:tc>
              <w:tc>
                <w:tcPr>
                  <w:tcW w:w="463" w:type="pct"/>
                  <w:shd w:val="clear" w:color="auto" w:fill="auto"/>
                  <w:vAlign w:val="center"/>
                </w:tcPr>
                <w:p w14:paraId="21317503">
                  <w:pPr>
                    <w:shd w:val="clear"/>
                    <w:spacing w:line="360" w:lineRule="exact"/>
                    <w:jc w:val="center"/>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15</w:t>
                  </w:r>
                </w:p>
              </w:tc>
            </w:tr>
          </w:tbl>
          <w:p w14:paraId="1F6B3BF0">
            <w:pPr>
              <w:spacing w:line="360" w:lineRule="auto"/>
              <w:rPr>
                <w:rFonts w:hint="default" w:ascii="Times New Roman" w:hAnsi="Times New Roman" w:cs="Times New Roman"/>
                <w:sz w:val="24"/>
                <w:szCs w:val="22"/>
              </w:rPr>
            </w:pPr>
            <w:r>
              <w:rPr>
                <w:rFonts w:hint="default" w:ascii="Times New Roman" w:hAnsi="Times New Roman" w:cs="Times New Roman"/>
                <w:b/>
                <w:bCs/>
                <w:sz w:val="24"/>
              </w:rPr>
              <w:t>3、噪声</w:t>
            </w:r>
          </w:p>
          <w:p w14:paraId="166E7FEE">
            <w:pPr>
              <w:spacing w:line="360" w:lineRule="auto"/>
              <w:ind w:firstLine="480" w:firstLineChars="200"/>
              <w:rPr>
                <w:rFonts w:hint="default" w:ascii="Times New Roman" w:hAnsi="Times New Roman" w:eastAsia="黑体" w:cs="Times New Roman"/>
                <w:bCs/>
                <w:sz w:val="21"/>
                <w:szCs w:val="21"/>
              </w:rPr>
            </w:pPr>
            <w:r>
              <w:rPr>
                <w:rFonts w:hint="default" w:ascii="Times New Roman" w:hAnsi="Times New Roman" w:cs="Times New Roman"/>
                <w:sz w:val="24"/>
                <w:lang w:val="en-US" w:eastAsia="zh-CN"/>
              </w:rPr>
              <w:t>本</w:t>
            </w:r>
            <w:r>
              <w:rPr>
                <w:rFonts w:hint="default" w:ascii="Times New Roman" w:hAnsi="Times New Roman" w:cs="Times New Roman"/>
                <w:sz w:val="24"/>
              </w:rPr>
              <w:t>项目建筑施工噪声执行《建筑施工场界环境噪声排放标准》（GB12523</w:t>
            </w:r>
            <w:r>
              <w:rPr>
                <w:rFonts w:hint="default" w:ascii="Times New Roman" w:hAnsi="Times New Roman" w:cs="Times New Roman"/>
                <w:sz w:val="24"/>
                <w:lang w:val="en-US" w:eastAsia="zh-CN"/>
              </w:rPr>
              <w:t>-</w:t>
            </w:r>
            <w:r>
              <w:rPr>
                <w:rFonts w:hint="default" w:ascii="Times New Roman" w:hAnsi="Times New Roman" w:cs="Times New Roman"/>
                <w:sz w:val="24"/>
              </w:rPr>
              <w:t>2011）中的标准限值</w:t>
            </w:r>
            <w:r>
              <w:rPr>
                <w:rFonts w:hint="default" w:ascii="Times New Roman" w:hAnsi="Times New Roman" w:cs="Times New Roman"/>
                <w:sz w:val="24"/>
                <w:lang w:eastAsia="zh-CN"/>
              </w:rPr>
              <w:t>。</w:t>
            </w:r>
            <w:r>
              <w:rPr>
                <w:rFonts w:hint="default" w:ascii="Times New Roman" w:hAnsi="Times New Roman" w:cs="Times New Roman"/>
                <w:sz w:val="24"/>
              </w:rPr>
              <w:t>营运期</w:t>
            </w:r>
            <w:r>
              <w:rPr>
                <w:rFonts w:hint="eastAsia" w:ascii="Times New Roman" w:hAnsi="Times New Roman" w:cs="Times New Roman"/>
                <w:sz w:val="24"/>
                <w:lang w:val="en-US" w:eastAsia="zh-CN"/>
              </w:rPr>
              <w:t>厂</w:t>
            </w:r>
            <w:r>
              <w:rPr>
                <w:rFonts w:hint="default" w:ascii="Times New Roman" w:hAnsi="Times New Roman" w:eastAsia="宋体" w:cs="Times New Roman"/>
                <w:bCs/>
                <w:sz w:val="24"/>
                <w:lang w:val="en-US" w:eastAsia="zh-CN"/>
              </w:rPr>
              <w:t>界</w:t>
            </w:r>
            <w:r>
              <w:rPr>
                <w:rFonts w:hint="default" w:ascii="Times New Roman" w:hAnsi="Times New Roman" w:cs="Times New Roman"/>
                <w:sz w:val="24"/>
              </w:rPr>
              <w:t>噪声排放执行</w:t>
            </w:r>
            <w:r>
              <w:rPr>
                <w:rFonts w:ascii="Times New Roman" w:hAnsi="Times New Roman" w:cs="Times New Roman"/>
                <w:sz w:val="24"/>
              </w:rPr>
              <w:t>《工业企业厂界环境噪声排放标准》（GB12348-2008）中3类标准</w:t>
            </w:r>
            <w:r>
              <w:rPr>
                <w:rFonts w:hint="default" w:ascii="Times New Roman" w:hAnsi="Times New Roman" w:cs="Times New Roman"/>
                <w:sz w:val="24"/>
              </w:rPr>
              <w:t>。具体标准见</w:t>
            </w:r>
            <w:r>
              <w:rPr>
                <w:rFonts w:hint="eastAsia" w:ascii="Times New Roman" w:hAnsi="Times New Roman" w:cs="Times New Roman"/>
                <w:sz w:val="24"/>
                <w:lang w:val="en-US" w:eastAsia="zh-CN"/>
              </w:rPr>
              <w:t>下</w:t>
            </w:r>
            <w:r>
              <w:rPr>
                <w:rFonts w:hint="default" w:ascii="Times New Roman" w:hAnsi="Times New Roman" w:cs="Times New Roman"/>
                <w:sz w:val="24"/>
              </w:rPr>
              <w:t>表。</w:t>
            </w:r>
          </w:p>
          <w:p w14:paraId="4DAB825D">
            <w:pPr>
              <w:spacing w:line="360" w:lineRule="auto"/>
              <w:jc w:val="center"/>
              <w:rPr>
                <w:rFonts w:hint="default" w:ascii="Times New Roman" w:hAnsi="Times New Roman" w:eastAsia="黑体" w:cs="Times New Roman"/>
                <w:bCs/>
                <w:sz w:val="21"/>
                <w:szCs w:val="21"/>
              </w:rPr>
            </w:pPr>
            <w:r>
              <w:rPr>
                <w:rFonts w:hint="default" w:ascii="Times New Roman" w:hAnsi="Times New Roman" w:eastAsia="黑体" w:cs="Times New Roman"/>
                <w:bCs/>
                <w:sz w:val="21"/>
                <w:szCs w:val="21"/>
              </w:rPr>
              <w:t>表</w:t>
            </w:r>
            <w:r>
              <w:rPr>
                <w:rFonts w:hint="eastAsia" w:ascii="Times New Roman" w:hAnsi="Times New Roman" w:eastAsia="黑体" w:cs="Times New Roman"/>
                <w:bCs/>
                <w:sz w:val="21"/>
                <w:szCs w:val="21"/>
                <w:lang w:val="en-US" w:eastAsia="zh-CN"/>
              </w:rPr>
              <w:t>3-9</w:t>
            </w:r>
            <w:r>
              <w:rPr>
                <w:rFonts w:hint="default" w:ascii="Times New Roman" w:hAnsi="Times New Roman" w:eastAsia="黑体" w:cs="Times New Roman"/>
                <w:bCs/>
                <w:sz w:val="21"/>
                <w:szCs w:val="21"/>
              </w:rPr>
              <w:t xml:space="preserve"> 建筑施工场界环境噪声排放标准  单位：dB（A）</w:t>
            </w: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7"/>
              <w:gridCol w:w="2717"/>
              <w:gridCol w:w="2718"/>
            </w:tblGrid>
            <w:tr w14:paraId="13E7C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tcPr>
                <w:p w14:paraId="3F07B6F8">
                  <w:pPr>
                    <w:spacing w:line="360" w:lineRule="exact"/>
                    <w:jc w:val="center"/>
                    <w:rPr>
                      <w:rFonts w:hint="default" w:ascii="Times New Roman" w:hAnsi="Times New Roman" w:eastAsia="宋体" w:cs="Times New Roman"/>
                      <w:b w:val="0"/>
                      <w:bCs/>
                      <w:sz w:val="21"/>
                      <w:szCs w:val="21"/>
                      <w:lang w:eastAsia="zh-CN"/>
                    </w:rPr>
                  </w:pPr>
                  <w:r>
                    <w:rPr>
                      <w:rFonts w:hint="default" w:ascii="Times New Roman" w:hAnsi="Times New Roman" w:eastAsia="宋体" w:cs="Times New Roman"/>
                      <w:b w:val="0"/>
                      <w:bCs/>
                      <w:sz w:val="21"/>
                      <w:szCs w:val="21"/>
                      <w:lang w:val="en-US" w:eastAsia="zh-CN"/>
                    </w:rPr>
                    <w:t>时段</w:t>
                  </w:r>
                </w:p>
              </w:tc>
              <w:tc>
                <w:tcPr>
                  <w:tcW w:w="1666" w:type="pct"/>
                </w:tcPr>
                <w:p w14:paraId="1025E8E0">
                  <w:pPr>
                    <w:spacing w:line="360" w:lineRule="exact"/>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昼间</w:t>
                  </w:r>
                </w:p>
              </w:tc>
              <w:tc>
                <w:tcPr>
                  <w:tcW w:w="1666" w:type="pct"/>
                </w:tcPr>
                <w:p w14:paraId="42B957A2">
                  <w:pPr>
                    <w:spacing w:line="360" w:lineRule="exact"/>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夜间</w:t>
                  </w:r>
                </w:p>
              </w:tc>
            </w:tr>
            <w:tr w14:paraId="37DA4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tcPr>
                <w:p w14:paraId="0403A11A">
                  <w:pPr>
                    <w:spacing w:line="360" w:lineRule="exact"/>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施工期</w:t>
                  </w:r>
                </w:p>
              </w:tc>
              <w:tc>
                <w:tcPr>
                  <w:tcW w:w="1666" w:type="pct"/>
                </w:tcPr>
                <w:p w14:paraId="0E656CAB">
                  <w:pPr>
                    <w:spacing w:line="360" w:lineRule="exact"/>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70</w:t>
                  </w:r>
                </w:p>
              </w:tc>
              <w:tc>
                <w:tcPr>
                  <w:tcW w:w="1666" w:type="pct"/>
                </w:tcPr>
                <w:p w14:paraId="1CF2DCBD">
                  <w:pPr>
                    <w:spacing w:line="360" w:lineRule="exact"/>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55</w:t>
                  </w:r>
                </w:p>
              </w:tc>
            </w:tr>
          </w:tbl>
          <w:p w14:paraId="01E376A8">
            <w:pPr>
              <w:spacing w:line="360" w:lineRule="auto"/>
              <w:jc w:val="center"/>
              <w:rPr>
                <w:rFonts w:hint="default" w:ascii="Times New Roman" w:hAnsi="Times New Roman" w:eastAsia="黑体" w:cs="Times New Roman"/>
                <w:bCs/>
                <w:sz w:val="21"/>
                <w:szCs w:val="21"/>
              </w:rPr>
            </w:pPr>
            <w:r>
              <w:rPr>
                <w:rFonts w:hint="default" w:ascii="Times New Roman" w:hAnsi="Times New Roman" w:eastAsia="黑体" w:cs="Times New Roman"/>
                <w:bCs/>
                <w:sz w:val="21"/>
                <w:szCs w:val="21"/>
              </w:rPr>
              <w:t>表</w:t>
            </w:r>
            <w:r>
              <w:rPr>
                <w:rFonts w:hint="eastAsia" w:ascii="Times New Roman" w:hAnsi="Times New Roman" w:eastAsia="黑体" w:cs="Times New Roman"/>
                <w:bCs/>
                <w:sz w:val="21"/>
                <w:szCs w:val="21"/>
                <w:lang w:val="en-US" w:eastAsia="zh-CN"/>
              </w:rPr>
              <w:t>3-10</w:t>
            </w:r>
            <w:r>
              <w:rPr>
                <w:rFonts w:hint="default" w:ascii="Times New Roman" w:hAnsi="Times New Roman" w:eastAsia="黑体" w:cs="Times New Roman"/>
                <w:bCs/>
                <w:sz w:val="21"/>
                <w:szCs w:val="21"/>
              </w:rPr>
              <w:t xml:space="preserve"> 工业企业厂界环境噪声排放标准  单位：dB（A）</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6"/>
              <w:gridCol w:w="2717"/>
              <w:gridCol w:w="2718"/>
            </w:tblGrid>
            <w:tr w14:paraId="10CC9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tcPr>
                <w:p w14:paraId="6D3ABCFD">
                  <w:pPr>
                    <w:spacing w:line="360" w:lineRule="exact"/>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类别</w:t>
                  </w:r>
                </w:p>
              </w:tc>
              <w:tc>
                <w:tcPr>
                  <w:tcW w:w="1666" w:type="pct"/>
                </w:tcPr>
                <w:p w14:paraId="09FA30B8">
                  <w:pPr>
                    <w:spacing w:line="360" w:lineRule="exact"/>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昼间</w:t>
                  </w:r>
                </w:p>
              </w:tc>
              <w:tc>
                <w:tcPr>
                  <w:tcW w:w="1667" w:type="pct"/>
                </w:tcPr>
                <w:p w14:paraId="46027690">
                  <w:pPr>
                    <w:spacing w:line="360" w:lineRule="exact"/>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夜间</w:t>
                  </w:r>
                </w:p>
              </w:tc>
            </w:tr>
            <w:tr w14:paraId="739F9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tcPr>
                <w:p w14:paraId="02B32701">
                  <w:pPr>
                    <w:spacing w:line="360" w:lineRule="exact"/>
                    <w:jc w:val="center"/>
                    <w:rPr>
                      <w:rFonts w:hint="default" w:ascii="Times New Roman" w:hAnsi="Times New Roman" w:eastAsia="宋体" w:cs="Times New Roman"/>
                      <w:bCs/>
                      <w:sz w:val="21"/>
                      <w:szCs w:val="21"/>
                    </w:rPr>
                  </w:pPr>
                  <w:r>
                    <w:rPr>
                      <w:rFonts w:hint="eastAsia" w:ascii="Times New Roman" w:hAnsi="Times New Roman" w:eastAsia="宋体" w:cs="Times New Roman"/>
                      <w:bCs/>
                      <w:sz w:val="21"/>
                      <w:szCs w:val="21"/>
                      <w:lang w:val="en-US" w:eastAsia="zh-CN"/>
                    </w:rPr>
                    <w:t>3</w:t>
                  </w:r>
                  <w:r>
                    <w:rPr>
                      <w:rFonts w:hint="default" w:ascii="Times New Roman" w:hAnsi="Times New Roman" w:eastAsia="宋体" w:cs="Times New Roman"/>
                      <w:bCs/>
                      <w:sz w:val="21"/>
                      <w:szCs w:val="21"/>
                    </w:rPr>
                    <w:t>类</w:t>
                  </w:r>
                </w:p>
              </w:tc>
              <w:tc>
                <w:tcPr>
                  <w:tcW w:w="1666" w:type="pct"/>
                </w:tcPr>
                <w:p w14:paraId="1CEBA49E">
                  <w:pPr>
                    <w:spacing w:line="360" w:lineRule="exact"/>
                    <w:jc w:val="center"/>
                    <w:rPr>
                      <w:rFonts w:hint="eastAsia"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rPr>
                    <w:t>6</w:t>
                  </w:r>
                  <w:r>
                    <w:rPr>
                      <w:rFonts w:hint="eastAsia" w:ascii="Times New Roman" w:hAnsi="Times New Roman" w:eastAsia="宋体" w:cs="Times New Roman"/>
                      <w:bCs/>
                      <w:sz w:val="21"/>
                      <w:szCs w:val="21"/>
                      <w:lang w:val="en-US" w:eastAsia="zh-CN"/>
                    </w:rPr>
                    <w:t>5</w:t>
                  </w:r>
                </w:p>
              </w:tc>
              <w:tc>
                <w:tcPr>
                  <w:tcW w:w="1667" w:type="pct"/>
                </w:tcPr>
                <w:p w14:paraId="405943AD">
                  <w:pPr>
                    <w:spacing w:line="360" w:lineRule="exact"/>
                    <w:jc w:val="cente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55</w:t>
                  </w:r>
                </w:p>
              </w:tc>
            </w:tr>
          </w:tbl>
          <w:p w14:paraId="398C229D">
            <w:pPr>
              <w:spacing w:line="360" w:lineRule="auto"/>
              <w:rPr>
                <w:rFonts w:hint="default" w:ascii="Times New Roman" w:hAnsi="Times New Roman" w:cs="Times New Roman"/>
                <w:b/>
                <w:bCs/>
                <w:sz w:val="24"/>
              </w:rPr>
            </w:pPr>
            <w:r>
              <w:rPr>
                <w:rFonts w:hint="default" w:ascii="Times New Roman" w:hAnsi="Times New Roman" w:cs="Times New Roman"/>
                <w:b/>
                <w:bCs/>
                <w:sz w:val="24"/>
              </w:rPr>
              <w:t>4、固</w:t>
            </w:r>
            <w:r>
              <w:rPr>
                <w:rFonts w:hint="eastAsia" w:ascii="Times New Roman" w:hAnsi="Times New Roman" w:cs="Times New Roman"/>
                <w:b/>
                <w:bCs/>
                <w:sz w:val="24"/>
                <w:lang w:val="en-US" w:eastAsia="zh-CN"/>
              </w:rPr>
              <w:t>体</w:t>
            </w:r>
            <w:r>
              <w:rPr>
                <w:rFonts w:hint="default" w:ascii="Times New Roman" w:hAnsi="Times New Roman" w:cs="Times New Roman"/>
                <w:b/>
                <w:bCs/>
                <w:sz w:val="24"/>
              </w:rPr>
              <w:t>废弃物</w:t>
            </w:r>
          </w:p>
          <w:p w14:paraId="1055EA8A">
            <w:pPr>
              <w:spacing w:line="360" w:lineRule="auto"/>
              <w:ind w:firstLine="480" w:firstLineChars="200"/>
              <w:jc w:val="left"/>
              <w:rPr>
                <w:rFonts w:hint="default" w:ascii="Times New Roman" w:hAnsi="Times New Roman" w:cs="Times New Roman" w:eastAsiaTheme="minorEastAsia"/>
                <w:sz w:val="24"/>
                <w:lang w:eastAsia="zh-CN"/>
              </w:rPr>
            </w:pPr>
            <w:r>
              <w:rPr>
                <w:rFonts w:hint="default" w:ascii="Times New Roman" w:hAnsi="Times New Roman" w:cs="Times New Roman"/>
                <w:sz w:val="24"/>
              </w:rPr>
              <w:t>一般固体废弃物暂存按照</w:t>
            </w:r>
            <w:r>
              <w:rPr>
                <w:rFonts w:hint="eastAsia" w:ascii="Times New Roman" w:hAnsi="Times New Roman" w:cs="Times New Roman"/>
                <w:sz w:val="24"/>
                <w:lang w:eastAsia="zh-CN"/>
              </w:rPr>
              <w:t>《</w:t>
            </w:r>
            <w:r>
              <w:rPr>
                <w:rFonts w:hint="default" w:ascii="Times New Roman" w:hAnsi="Times New Roman" w:cs="Times New Roman"/>
                <w:sz w:val="24"/>
              </w:rPr>
              <w:t>中华人民共和国固体废物污染环境防治法</w:t>
            </w:r>
            <w:r>
              <w:rPr>
                <w:rFonts w:hint="eastAsia" w:ascii="Times New Roman" w:hAnsi="Times New Roman" w:cs="Times New Roman"/>
                <w:sz w:val="24"/>
                <w:lang w:eastAsia="zh-CN"/>
              </w:rPr>
              <w:t>》</w:t>
            </w:r>
            <w:r>
              <w:rPr>
                <w:rFonts w:hint="default" w:ascii="Times New Roman" w:hAnsi="Times New Roman" w:cs="Times New Roman"/>
                <w:sz w:val="24"/>
              </w:rPr>
              <w:t>中相关要求</w:t>
            </w:r>
            <w:r>
              <w:rPr>
                <w:rFonts w:hint="eastAsia" w:ascii="Times New Roman" w:hAnsi="Times New Roman" w:cs="Times New Roman"/>
                <w:sz w:val="24"/>
                <w:lang w:eastAsia="zh-CN"/>
              </w:rPr>
              <w:t>“</w:t>
            </w:r>
            <w:r>
              <w:rPr>
                <w:rFonts w:hint="default" w:ascii="Times New Roman" w:hAnsi="Times New Roman" w:cs="Times New Roman"/>
                <w:sz w:val="24"/>
              </w:rPr>
              <w:t>应当采取防扬散、防流失、防渗漏或者其他防止污染环境的措施，不得擅自倾倒、堆放、丢弃、遗撒固体废物</w:t>
            </w:r>
            <w:r>
              <w:rPr>
                <w:rFonts w:hint="eastAsia" w:ascii="Times New Roman" w:hAnsi="Times New Roman" w:cs="Times New Roman"/>
                <w:sz w:val="24"/>
                <w:lang w:eastAsia="zh-CN"/>
              </w:rPr>
              <w:t>”。</w:t>
            </w:r>
            <w:r>
              <w:rPr>
                <w:rFonts w:hint="default" w:ascii="Times New Roman" w:hAnsi="Times New Roman" w:cs="Times New Roman"/>
                <w:sz w:val="24"/>
              </w:rPr>
              <w:t>危险废物执行《危险废物贮存污染控制标准》</w:t>
            </w:r>
            <w:r>
              <w:rPr>
                <w:rFonts w:hint="eastAsia" w:ascii="Times New Roman" w:hAnsi="Times New Roman" w:cs="Times New Roman"/>
                <w:sz w:val="24"/>
                <w:lang w:eastAsia="zh-CN"/>
              </w:rPr>
              <w:t>（</w:t>
            </w:r>
            <w:r>
              <w:rPr>
                <w:rFonts w:hint="default" w:ascii="Times New Roman" w:hAnsi="Times New Roman" w:cs="Times New Roman"/>
                <w:sz w:val="24"/>
              </w:rPr>
              <w:t>GB18597-2023</w:t>
            </w:r>
            <w:r>
              <w:rPr>
                <w:rFonts w:hint="eastAsia" w:ascii="Times New Roman" w:hAnsi="Times New Roman" w:cs="Times New Roman"/>
                <w:sz w:val="24"/>
                <w:lang w:eastAsia="zh-CN"/>
              </w:rPr>
              <w:t>）</w:t>
            </w:r>
            <w:r>
              <w:rPr>
                <w:rFonts w:hint="default" w:ascii="Times New Roman" w:hAnsi="Times New Roman" w:cs="Times New Roman"/>
                <w:sz w:val="24"/>
              </w:rPr>
              <w:t>相关要求。</w:t>
            </w:r>
          </w:p>
        </w:tc>
      </w:tr>
      <w:tr w14:paraId="392CD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pct"/>
            <w:vAlign w:val="center"/>
          </w:tcPr>
          <w:p w14:paraId="366288F4">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总量控制</w:t>
            </w:r>
          </w:p>
          <w:p w14:paraId="1A57B35E">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指标</w:t>
            </w:r>
          </w:p>
        </w:tc>
        <w:tc>
          <w:tcPr>
            <w:tcW w:w="4511" w:type="pct"/>
            <w:vAlign w:val="center"/>
          </w:tcPr>
          <w:p w14:paraId="16B6653D">
            <w:pPr>
              <w:shd w:val="clear"/>
              <w:bidi w:val="0"/>
              <w:spacing w:line="360" w:lineRule="auto"/>
              <w:rPr>
                <w:rFonts w:hint="default" w:ascii="Times New Roman" w:hAnsi="Times New Roman" w:cs="Times New Roman"/>
                <w:sz w:val="24"/>
                <w:szCs w:val="24"/>
                <w:highlight w:val="none"/>
              </w:rPr>
            </w:pPr>
          </w:p>
          <w:p w14:paraId="7A7D530E">
            <w:pPr>
              <w:shd w:val="clear"/>
              <w:bidi w:val="0"/>
              <w:spacing w:line="360" w:lineRule="auto"/>
              <w:ind w:firstLine="480" w:firstLineChars="200"/>
              <w:rPr>
                <w:rFonts w:hint="default" w:ascii="Times New Roman" w:hAnsi="Times New Roman" w:cs="Times New Roman"/>
                <w:sz w:val="24"/>
                <w:szCs w:val="24"/>
                <w:highlight w:val="none"/>
              </w:rPr>
            </w:pPr>
          </w:p>
          <w:p w14:paraId="1D324C49">
            <w:pPr>
              <w:shd w:val="clear"/>
              <w:bidi w:val="0"/>
              <w:spacing w:line="360" w:lineRule="auto"/>
              <w:ind w:firstLine="480" w:firstLineChars="200"/>
              <w:rPr>
                <w:rFonts w:hint="default" w:ascii="Times New Roman" w:hAnsi="Times New Roman" w:cs="Times New Roman"/>
                <w:sz w:val="24"/>
                <w:szCs w:val="24"/>
                <w:highlight w:val="none"/>
              </w:rPr>
            </w:pPr>
          </w:p>
          <w:p w14:paraId="5B08F606">
            <w:pPr>
              <w:shd w:val="clear"/>
              <w:bidi w:val="0"/>
              <w:spacing w:line="360" w:lineRule="auto"/>
              <w:ind w:firstLine="480" w:firstLineChars="200"/>
              <w:rPr>
                <w:rFonts w:hint="default" w:ascii="Times New Roman" w:hAnsi="Times New Roman" w:cs="Times New Roman"/>
                <w:sz w:val="24"/>
                <w:szCs w:val="24"/>
                <w:highlight w:val="none"/>
              </w:rPr>
            </w:pPr>
          </w:p>
          <w:p w14:paraId="069C94BF">
            <w:pPr>
              <w:shd w:val="clear"/>
              <w:bidi w:val="0"/>
              <w:spacing w:line="360" w:lineRule="auto"/>
              <w:ind w:firstLine="480" w:firstLineChars="200"/>
              <w:rPr>
                <w:rFonts w:hint="default" w:ascii="Times New Roman" w:hAnsi="Times New Roman" w:cs="Times New Roman"/>
                <w:sz w:val="24"/>
                <w:szCs w:val="24"/>
                <w:highlight w:val="none"/>
              </w:rPr>
            </w:pPr>
          </w:p>
          <w:p w14:paraId="6A94A3C2">
            <w:pPr>
              <w:shd w:val="clear"/>
              <w:bidi w:val="0"/>
              <w:spacing w:line="360" w:lineRule="auto"/>
              <w:ind w:firstLine="480" w:firstLineChars="200"/>
              <w:rPr>
                <w:rFonts w:hint="default" w:ascii="Times New Roman" w:hAnsi="Times New Roman" w:cs="Times New Roman"/>
                <w:sz w:val="24"/>
                <w:szCs w:val="24"/>
                <w:highlight w:val="none"/>
              </w:rPr>
            </w:pPr>
          </w:p>
          <w:p w14:paraId="04A962ED">
            <w:pPr>
              <w:shd w:val="clear"/>
              <w:bidi w:val="0"/>
              <w:spacing w:line="360" w:lineRule="auto"/>
              <w:ind w:firstLine="480" w:firstLineChars="200"/>
              <w:rPr>
                <w:rFonts w:hint="default" w:ascii="Times New Roman" w:hAnsi="Times New Roman" w:cs="Times New Roman"/>
                <w:sz w:val="24"/>
                <w:szCs w:val="24"/>
                <w:highlight w:val="none"/>
              </w:rPr>
            </w:pPr>
          </w:p>
          <w:p w14:paraId="074481C8">
            <w:pPr>
              <w:shd w:val="clear"/>
              <w:bidi w:val="0"/>
              <w:spacing w:line="360" w:lineRule="auto"/>
              <w:ind w:firstLine="480" w:firstLineChars="200"/>
              <w:rPr>
                <w:rFonts w:hint="default" w:ascii="Times New Roman" w:hAnsi="Times New Roman" w:cs="Times New Roman"/>
                <w:sz w:val="24"/>
                <w:szCs w:val="24"/>
                <w:highlight w:val="none"/>
              </w:rPr>
            </w:pPr>
          </w:p>
          <w:p w14:paraId="14EFBEE3">
            <w:pPr>
              <w:shd w:val="clear"/>
              <w:bidi w:val="0"/>
              <w:spacing w:line="360" w:lineRule="auto"/>
              <w:ind w:firstLine="480" w:firstLineChars="200"/>
              <w:rPr>
                <w:rFonts w:hint="default" w:ascii="Times New Roman" w:hAnsi="Times New Roman" w:cs="Times New Roman"/>
                <w:sz w:val="24"/>
                <w:szCs w:val="24"/>
                <w:highlight w:val="none"/>
              </w:rPr>
            </w:pPr>
          </w:p>
          <w:p w14:paraId="2760859F">
            <w:pPr>
              <w:shd w:val="clear"/>
              <w:bidi w:val="0"/>
              <w:spacing w:line="360" w:lineRule="auto"/>
              <w:ind w:firstLine="480" w:firstLineChars="200"/>
              <w:rPr>
                <w:rFonts w:hint="default" w:ascii="Times New Roman" w:hAnsi="Times New Roman" w:cs="Times New Roman"/>
                <w:sz w:val="24"/>
                <w:szCs w:val="24"/>
                <w:highlight w:val="none"/>
              </w:rPr>
            </w:pPr>
          </w:p>
          <w:p w14:paraId="66C686A0">
            <w:pPr>
              <w:shd w:val="clear"/>
              <w:bidi w:val="0"/>
              <w:spacing w:line="360" w:lineRule="auto"/>
              <w:ind w:firstLine="480" w:firstLineChars="20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根据《安徽省环保厅关于进一步加强建设项目新增大气污染物总量指标管理工作的通知》</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皖环发〔2017〕19号</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，新增大气主要污染物排放的建设项目环境影响评价文件审批前取得的总量指标从两项增加为四项。在二氧化硫、氮氧化物的基础上增加烟</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粉</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尘、挥发性有机物</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VOC</w:t>
            </w:r>
            <w:r>
              <w:rPr>
                <w:rFonts w:hint="eastAsia" w:ascii="Times New Roman" w:hAnsi="Times New Roman" w:cs="Times New Roman"/>
                <w:sz w:val="24"/>
                <w:szCs w:val="24"/>
                <w:highlight w:val="none"/>
                <w:vertAlign w:val="subscript"/>
                <w:lang w:val="en-US" w:eastAsia="zh-CN"/>
              </w:rPr>
              <w:t>S</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w:t>
            </w:r>
          </w:p>
          <w:p w14:paraId="212672E1">
            <w:pPr>
              <w:shd w:val="clear"/>
              <w:bidi w:val="0"/>
              <w:spacing w:line="360" w:lineRule="auto"/>
              <w:ind w:firstLine="480" w:firstLineChars="200"/>
              <w:rPr>
                <w:rFonts w:hint="eastAsia"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rPr>
              <w:t>根据工程分析，本项目颗粒物</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非甲烷总烃废气需要申请总量，建议总量控制指标定为烟</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粉</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尘</w:t>
            </w:r>
            <w:r>
              <w:rPr>
                <w:rFonts w:hint="eastAsia" w:ascii="Times New Roman" w:hAnsi="Times New Roman" w:cs="Times New Roman"/>
                <w:sz w:val="24"/>
                <w:szCs w:val="24"/>
                <w:highlight w:val="none"/>
                <w:lang w:eastAsia="zh-CN"/>
              </w:rPr>
              <w:t>：0.000021</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rPr>
              <w:t>/a</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VOC</w:t>
            </w:r>
            <w:r>
              <w:rPr>
                <w:rFonts w:hint="eastAsia" w:ascii="Times New Roman" w:hAnsi="Times New Roman" w:cs="Times New Roman"/>
                <w:sz w:val="24"/>
                <w:szCs w:val="24"/>
                <w:highlight w:val="none"/>
                <w:vertAlign w:val="subscript"/>
                <w:lang w:val="en-US" w:eastAsia="zh-CN"/>
              </w:rPr>
              <w:t>S</w:t>
            </w:r>
            <w:r>
              <w:rPr>
                <w:rFonts w:hint="eastAsia" w:ascii="Times New Roman" w:hAnsi="Times New Roman" w:cs="Times New Roman"/>
                <w:sz w:val="24"/>
                <w:szCs w:val="24"/>
                <w:highlight w:val="none"/>
                <w:lang w:eastAsia="zh-CN"/>
              </w:rPr>
              <w:t>：0.006458</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rPr>
              <w:t>/a。本项目无生产废水产生，生活污水经化粪池预处理后接管入江南产业集中区第一污水处理厂深度处理，COD、NH</w:t>
            </w:r>
            <w:r>
              <w:rPr>
                <w:rFonts w:hint="default" w:ascii="Times New Roman" w:hAnsi="Times New Roman" w:cs="Times New Roman"/>
                <w:sz w:val="24"/>
                <w:szCs w:val="24"/>
                <w:highlight w:val="none"/>
                <w:vertAlign w:val="subscript"/>
              </w:rPr>
              <w:t>3</w:t>
            </w:r>
            <w:r>
              <w:rPr>
                <w:rFonts w:hint="default" w:ascii="Times New Roman" w:hAnsi="Times New Roman" w:cs="Times New Roman"/>
                <w:sz w:val="24"/>
                <w:szCs w:val="24"/>
                <w:highlight w:val="none"/>
              </w:rPr>
              <w:t>-N排放总量计入江南产业集中区第一污水处理厂，不单独申请</w:t>
            </w:r>
            <w:r>
              <w:rPr>
                <w:rFonts w:hint="eastAsia" w:ascii="Times New Roman" w:hAnsi="Times New Roman" w:cs="Times New Roman"/>
                <w:sz w:val="24"/>
                <w:szCs w:val="24"/>
                <w:highlight w:val="none"/>
                <w:lang w:val="en-US" w:eastAsia="zh-CN"/>
              </w:rPr>
              <w:t>。</w:t>
            </w:r>
          </w:p>
          <w:p w14:paraId="13AA6E62">
            <w:pPr>
              <w:shd w:val="clear"/>
              <w:bidi w:val="0"/>
              <w:spacing w:line="360" w:lineRule="auto"/>
              <w:ind w:firstLine="480" w:firstLineChars="200"/>
              <w:rPr>
                <w:rFonts w:hint="eastAsia" w:ascii="Times New Roman" w:hAnsi="Times New Roman" w:cs="Times New Roman"/>
                <w:sz w:val="24"/>
                <w:szCs w:val="24"/>
                <w:highlight w:val="none"/>
                <w:lang w:val="en-US" w:eastAsia="zh-CN"/>
              </w:rPr>
            </w:pPr>
          </w:p>
          <w:p w14:paraId="05CDE5E5">
            <w:pPr>
              <w:shd w:val="clear"/>
              <w:bidi w:val="0"/>
              <w:spacing w:line="360" w:lineRule="auto"/>
              <w:ind w:firstLine="480" w:firstLineChars="200"/>
              <w:rPr>
                <w:rFonts w:hint="eastAsia" w:ascii="Times New Roman" w:hAnsi="Times New Roman" w:cs="Times New Roman"/>
                <w:sz w:val="24"/>
                <w:szCs w:val="24"/>
                <w:highlight w:val="none"/>
                <w:lang w:val="en-US" w:eastAsia="zh-CN"/>
              </w:rPr>
            </w:pPr>
          </w:p>
          <w:p w14:paraId="77138DBC">
            <w:pPr>
              <w:shd w:val="clear"/>
              <w:bidi w:val="0"/>
              <w:spacing w:line="360" w:lineRule="auto"/>
              <w:ind w:firstLine="480" w:firstLineChars="200"/>
              <w:rPr>
                <w:rFonts w:hint="eastAsia" w:ascii="Times New Roman" w:hAnsi="Times New Roman" w:cs="Times New Roman"/>
                <w:sz w:val="24"/>
                <w:szCs w:val="24"/>
                <w:highlight w:val="none"/>
                <w:lang w:val="en-US" w:eastAsia="zh-CN"/>
              </w:rPr>
            </w:pPr>
          </w:p>
          <w:p w14:paraId="5B606784">
            <w:pPr>
              <w:shd w:val="clear"/>
              <w:bidi w:val="0"/>
              <w:spacing w:line="360" w:lineRule="auto"/>
              <w:rPr>
                <w:rFonts w:hint="eastAsia" w:ascii="Times New Roman" w:hAnsi="Times New Roman" w:cs="Times New Roman"/>
                <w:sz w:val="24"/>
                <w:szCs w:val="24"/>
                <w:highlight w:val="none"/>
                <w:lang w:val="en-US" w:eastAsia="zh-CN"/>
              </w:rPr>
            </w:pPr>
          </w:p>
          <w:p w14:paraId="3D9BC3AF">
            <w:pPr>
              <w:shd w:val="clear"/>
              <w:bidi w:val="0"/>
              <w:spacing w:line="360" w:lineRule="auto"/>
              <w:rPr>
                <w:rFonts w:hint="eastAsia" w:ascii="Times New Roman" w:hAnsi="Times New Roman" w:cs="Times New Roman"/>
                <w:sz w:val="24"/>
                <w:szCs w:val="24"/>
                <w:highlight w:val="none"/>
                <w:lang w:val="en-US" w:eastAsia="zh-CN"/>
              </w:rPr>
            </w:pPr>
          </w:p>
          <w:p w14:paraId="540B6DFA">
            <w:pPr>
              <w:shd w:val="clear"/>
              <w:bidi w:val="0"/>
              <w:spacing w:line="360" w:lineRule="auto"/>
              <w:rPr>
                <w:rFonts w:hint="eastAsia" w:ascii="Times New Roman" w:hAnsi="Times New Roman" w:cs="Times New Roman"/>
                <w:sz w:val="24"/>
                <w:szCs w:val="24"/>
                <w:highlight w:val="none"/>
                <w:lang w:val="en-US" w:eastAsia="zh-CN"/>
              </w:rPr>
            </w:pPr>
          </w:p>
          <w:p w14:paraId="19A924CA">
            <w:pPr>
              <w:shd w:val="clear"/>
              <w:bidi w:val="0"/>
              <w:spacing w:line="360" w:lineRule="auto"/>
              <w:rPr>
                <w:rFonts w:hint="eastAsia" w:ascii="Times New Roman" w:hAnsi="Times New Roman" w:cs="Times New Roman"/>
                <w:sz w:val="24"/>
                <w:szCs w:val="24"/>
                <w:highlight w:val="none"/>
                <w:lang w:val="en-US" w:eastAsia="zh-CN"/>
              </w:rPr>
            </w:pPr>
          </w:p>
          <w:p w14:paraId="0355B778">
            <w:pPr>
              <w:shd w:val="clear"/>
              <w:bidi w:val="0"/>
              <w:spacing w:line="360" w:lineRule="auto"/>
              <w:rPr>
                <w:rFonts w:hint="eastAsia" w:ascii="Times New Roman" w:hAnsi="Times New Roman" w:cs="Times New Roman"/>
                <w:sz w:val="24"/>
                <w:szCs w:val="24"/>
                <w:highlight w:val="none"/>
                <w:lang w:val="en-US" w:eastAsia="zh-CN"/>
              </w:rPr>
            </w:pPr>
          </w:p>
          <w:p w14:paraId="1367F608">
            <w:pPr>
              <w:shd w:val="clear"/>
              <w:bidi w:val="0"/>
              <w:spacing w:line="360" w:lineRule="auto"/>
              <w:rPr>
                <w:rFonts w:hint="eastAsia" w:ascii="Times New Roman" w:hAnsi="Times New Roman" w:cs="Times New Roman"/>
                <w:sz w:val="24"/>
                <w:szCs w:val="24"/>
                <w:highlight w:val="none"/>
                <w:lang w:val="en-US" w:eastAsia="zh-CN"/>
              </w:rPr>
            </w:pPr>
          </w:p>
          <w:p w14:paraId="0393A938">
            <w:pPr>
              <w:spacing w:line="360" w:lineRule="auto"/>
              <w:rPr>
                <w:rFonts w:hint="default" w:ascii="Times New Roman" w:hAnsi="Times New Roman" w:eastAsia="宋体" w:cs="Times New Roman"/>
                <w:sz w:val="24"/>
                <w:lang w:val="en-US" w:eastAsia="zh-CN"/>
              </w:rPr>
            </w:pPr>
          </w:p>
        </w:tc>
      </w:tr>
    </w:tbl>
    <w:p w14:paraId="20B05DC8">
      <w:pPr>
        <w:numPr>
          <w:ilvl w:val="0"/>
          <w:numId w:val="0"/>
        </w:numPr>
        <w:spacing w:line="360" w:lineRule="auto"/>
        <w:ind w:left="0" w:leftChars="0" w:firstLine="0" w:firstLineChars="0"/>
        <w:jc w:val="left"/>
        <w:outlineLvl w:val="0"/>
        <w:rPr>
          <w:rFonts w:hint="default" w:ascii="Times New Roman" w:hAnsi="Times New Roman" w:eastAsia="黑体" w:cs="Times New Roman"/>
          <w:b w:val="0"/>
          <w:bCs w:val="0"/>
          <w:sz w:val="30"/>
          <w:szCs w:val="30"/>
        </w:rPr>
      </w:pPr>
      <w:r>
        <w:rPr>
          <w:rFonts w:hint="default" w:ascii="Times New Roman" w:hAnsi="Times New Roman" w:eastAsia="黑体" w:cs="Times New Roman"/>
          <w:b w:val="0"/>
          <w:bCs w:val="0"/>
          <w:sz w:val="30"/>
          <w:szCs w:val="30"/>
          <w:lang w:val="en-US" w:eastAsia="zh-CN"/>
        </w:rPr>
        <w:t>四、</w:t>
      </w:r>
      <w:r>
        <w:rPr>
          <w:rFonts w:hint="default" w:ascii="Times New Roman" w:hAnsi="Times New Roman" w:eastAsia="黑体" w:cs="Times New Roman"/>
          <w:b w:val="0"/>
          <w:bCs w:val="0"/>
          <w:sz w:val="30"/>
          <w:szCs w:val="30"/>
        </w:rPr>
        <w:t>主要环境影响和保护措施</w:t>
      </w: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
        <w:gridCol w:w="8380"/>
      </w:tblGrid>
      <w:tr w14:paraId="360D3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8" w:type="pct"/>
            <w:vAlign w:val="center"/>
          </w:tcPr>
          <w:p w14:paraId="4D967DE9">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施工期环</w:t>
            </w:r>
          </w:p>
          <w:p w14:paraId="2C2BBDB3">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境保护措</w:t>
            </w:r>
          </w:p>
          <w:p w14:paraId="037AEA6F">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施</w:t>
            </w:r>
          </w:p>
        </w:tc>
        <w:tc>
          <w:tcPr>
            <w:tcW w:w="4511" w:type="pct"/>
            <w:vAlign w:val="center"/>
          </w:tcPr>
          <w:p w14:paraId="3C8E3C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lang w:eastAsia="zh-CN"/>
              </w:rPr>
            </w:pPr>
            <w:r>
              <w:rPr>
                <w:rFonts w:hint="eastAsia" w:ascii="Times New Roman" w:hAnsi="Times New Roman" w:cs="Times New Roman"/>
                <w:sz w:val="24"/>
                <w:szCs w:val="25"/>
              </w:rPr>
              <w:t>本项目施工期建设内容主要是设备的安装。施工过程中会产生噪声、粉尘及固体废物，污染物产生量较小。只要施工单位在施工过程中加强管理、做好防护工作，缩短施工时间，可大大减少施工期的污染；随着施工结束，对周边环境影响也随之消失</w:t>
            </w:r>
            <w:r>
              <w:rPr>
                <w:rFonts w:hint="default" w:ascii="Times New Roman" w:hAnsi="Times New Roman" w:cs="Times New Roman"/>
                <w:sz w:val="24"/>
                <w:szCs w:val="25"/>
                <w:lang w:val="en-US" w:eastAsia="zh-CN"/>
              </w:rPr>
              <w:t>。</w:t>
            </w:r>
          </w:p>
        </w:tc>
      </w:tr>
      <w:tr w14:paraId="1F6EF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6" w:hRule="atLeast"/>
        </w:trPr>
        <w:tc>
          <w:tcPr>
            <w:tcW w:w="488" w:type="pct"/>
            <w:vAlign w:val="center"/>
          </w:tcPr>
          <w:p w14:paraId="7B71D297">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运营期环</w:t>
            </w:r>
          </w:p>
          <w:p w14:paraId="7339A2E7">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境影响和</w:t>
            </w:r>
          </w:p>
          <w:p w14:paraId="7E1F95BE">
            <w:pPr>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保护措施</w:t>
            </w:r>
          </w:p>
        </w:tc>
        <w:tc>
          <w:tcPr>
            <w:tcW w:w="4511" w:type="pct"/>
            <w:vAlign w:val="center"/>
          </w:tcPr>
          <w:p w14:paraId="31B0765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lang w:val="en-US" w:eastAsia="zh-CN"/>
              </w:rPr>
              <w:t>一</w:t>
            </w:r>
            <w:r>
              <w:rPr>
                <w:rFonts w:hint="default" w:ascii="Times New Roman" w:hAnsi="Times New Roman" w:eastAsia="宋体" w:cs="Times New Roman"/>
                <w:b/>
                <w:bCs/>
                <w:sz w:val="28"/>
                <w:szCs w:val="28"/>
              </w:rPr>
              <w:t>、大气环境影响</w:t>
            </w:r>
            <w:r>
              <w:rPr>
                <w:rFonts w:hint="eastAsia" w:ascii="Times New Roman" w:hAnsi="Times New Roman" w:eastAsia="宋体" w:cs="Times New Roman"/>
                <w:b/>
                <w:bCs/>
                <w:sz w:val="28"/>
                <w:szCs w:val="28"/>
                <w:lang w:val="en-US" w:eastAsia="zh-CN"/>
              </w:rPr>
              <w:t>及防治措施</w:t>
            </w:r>
            <w:r>
              <w:rPr>
                <w:rFonts w:hint="default" w:ascii="Times New Roman" w:hAnsi="Times New Roman" w:eastAsia="宋体" w:cs="Times New Roman"/>
                <w:b/>
                <w:bCs/>
                <w:sz w:val="28"/>
                <w:szCs w:val="28"/>
              </w:rPr>
              <w:t>分析</w:t>
            </w:r>
          </w:p>
          <w:p w14:paraId="1286F40A">
            <w:pPr>
              <w:spacing w:line="360" w:lineRule="auto"/>
              <w:ind w:firstLine="480" w:firstLineChars="200"/>
              <w:rPr>
                <w:rFonts w:hint="default" w:ascii="Times New Roman" w:hAnsi="Times New Roman" w:eastAsia="宋体" w:cs="Times New Roman"/>
                <w:b w:val="0"/>
                <w:bCs w:val="0"/>
                <w:kern w:val="0"/>
                <w:sz w:val="24"/>
                <w:lang w:val="en-US" w:eastAsia="zh-CN"/>
              </w:rPr>
            </w:pPr>
            <w:r>
              <w:rPr>
                <w:rFonts w:hint="default" w:ascii="Times New Roman" w:hAnsi="Times New Roman" w:eastAsia="宋体" w:cs="Times New Roman"/>
                <w:b w:val="0"/>
                <w:bCs w:val="0"/>
                <w:kern w:val="0"/>
                <w:sz w:val="24"/>
              </w:rPr>
              <w:t>1、源强及</w:t>
            </w:r>
            <w:r>
              <w:rPr>
                <w:rFonts w:hint="eastAsia" w:ascii="Times New Roman" w:hAnsi="Times New Roman" w:eastAsia="宋体" w:cs="Times New Roman"/>
                <w:b w:val="0"/>
                <w:bCs w:val="0"/>
                <w:kern w:val="0"/>
                <w:sz w:val="24"/>
                <w:lang w:val="en-US" w:eastAsia="zh-CN"/>
              </w:rPr>
              <w:t>污染防治措施</w:t>
            </w:r>
          </w:p>
          <w:p w14:paraId="0C1F17EB">
            <w:pPr>
              <w:shd w:val="clear"/>
              <w:spacing w:line="360" w:lineRule="auto"/>
              <w:ind w:firstLine="480" w:firstLineChars="200"/>
              <w:rPr>
                <w:rFonts w:hint="default" w:ascii="Times New Roman" w:hAnsi="Times New Roman" w:cs="Times New Roman"/>
                <w:bCs/>
                <w:color w:val="000000"/>
                <w:sz w:val="24"/>
                <w:szCs w:val="24"/>
              </w:rPr>
            </w:pPr>
            <w:r>
              <w:rPr>
                <w:rFonts w:hint="default" w:ascii="Times New Roman" w:hAnsi="Times New Roman" w:cs="Times New Roman"/>
                <w:color w:val="000000"/>
                <w:sz w:val="24"/>
                <w:szCs w:val="24"/>
              </w:rPr>
              <w:t>本项目生产过程中</w:t>
            </w:r>
            <w:r>
              <w:rPr>
                <w:rFonts w:hint="default" w:ascii="Times New Roman" w:hAnsi="Times New Roman" w:cs="Times New Roman"/>
                <w:bCs/>
                <w:color w:val="000000"/>
                <w:sz w:val="24"/>
                <w:szCs w:val="24"/>
              </w:rPr>
              <w:t>废气主要为</w:t>
            </w:r>
            <w:r>
              <w:rPr>
                <w:rFonts w:hint="eastAsia" w:ascii="Times New Roman" w:hAnsi="Times New Roman" w:cs="Times New Roman"/>
                <w:bCs/>
                <w:color w:val="000000"/>
                <w:sz w:val="24"/>
                <w:szCs w:val="24"/>
                <w:lang w:val="en-US" w:eastAsia="zh-CN"/>
              </w:rPr>
              <w:t>回流焊废气、手工焊接废气、擦拭废气</w:t>
            </w:r>
            <w:r>
              <w:rPr>
                <w:rFonts w:hint="default" w:ascii="Times New Roman" w:hAnsi="Times New Roman" w:cs="Times New Roman"/>
                <w:bCs/>
                <w:color w:val="000000"/>
                <w:sz w:val="24"/>
                <w:szCs w:val="24"/>
              </w:rPr>
              <w:t>。</w:t>
            </w:r>
          </w:p>
          <w:p w14:paraId="395899A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kern w:val="0"/>
                <w:sz w:val="24"/>
                <w:lang w:val="en-US" w:eastAsia="zh-CN"/>
              </w:rPr>
            </w:pPr>
            <w:r>
              <w:rPr>
                <w:rFonts w:hint="eastAsia" w:ascii="Times New Roman" w:hAnsi="Times New Roman" w:eastAsia="宋体" w:cs="Times New Roman"/>
                <w:b w:val="0"/>
                <w:bCs w:val="0"/>
                <w:kern w:val="0"/>
                <w:sz w:val="24"/>
                <w:lang w:val="en-US" w:eastAsia="zh-CN"/>
              </w:rPr>
              <w:t>（1）回流焊废气</w:t>
            </w:r>
          </w:p>
          <w:p w14:paraId="68589925">
            <w:pPr>
              <w:spacing w:line="360" w:lineRule="auto"/>
              <w:ind w:firstLine="480" w:firstLineChars="200"/>
              <w:rPr>
                <w:rFonts w:hint="default" w:ascii="Times New Roman" w:hAnsi="Times New Roman" w:eastAsia="宋体" w:cs="Times New Roman"/>
                <w:b w:val="0"/>
                <w:bCs w:val="0"/>
                <w:kern w:val="0"/>
                <w:sz w:val="24"/>
                <w:lang w:val="en-US" w:eastAsia="zh-CN"/>
              </w:rPr>
            </w:pPr>
            <w:r>
              <w:rPr>
                <w:rFonts w:hint="eastAsia" w:ascii="Times New Roman" w:hAnsi="Times New Roman" w:eastAsia="宋体" w:cs="Times New Roman"/>
                <w:b w:val="0"/>
                <w:bCs w:val="0"/>
                <w:kern w:val="0"/>
                <w:sz w:val="24"/>
                <w:lang w:val="en-US" w:eastAsia="zh-CN"/>
              </w:rPr>
              <w:t>本项目</w:t>
            </w:r>
            <w:r>
              <w:rPr>
                <w:rFonts w:hint="default" w:ascii="Times New Roman" w:hAnsi="Times New Roman" w:eastAsia="宋体" w:cs="Times New Roman"/>
                <w:b w:val="0"/>
                <w:bCs w:val="0"/>
                <w:kern w:val="0"/>
                <w:sz w:val="24"/>
                <w:lang w:val="en-US" w:eastAsia="zh-CN"/>
              </w:rPr>
              <w:t>回流焊过程中将会产生一定量的</w:t>
            </w:r>
            <w:r>
              <w:rPr>
                <w:rFonts w:hint="eastAsia" w:ascii="Times New Roman" w:hAnsi="Times New Roman" w:eastAsia="宋体" w:cs="Times New Roman"/>
                <w:b w:val="0"/>
                <w:bCs w:val="0"/>
                <w:kern w:val="0"/>
                <w:sz w:val="24"/>
                <w:lang w:val="en-US" w:eastAsia="zh-CN"/>
              </w:rPr>
              <w:t>颗粒物（主要成分为</w:t>
            </w:r>
            <w:r>
              <w:rPr>
                <w:rFonts w:hint="default" w:ascii="Times New Roman" w:hAnsi="Times New Roman" w:eastAsia="宋体" w:cs="Times New Roman"/>
                <w:b w:val="0"/>
                <w:bCs w:val="0"/>
                <w:kern w:val="0"/>
                <w:sz w:val="24"/>
                <w:lang w:val="en-US" w:eastAsia="zh-CN"/>
              </w:rPr>
              <w:t>锡及其化合物</w:t>
            </w:r>
            <w:r>
              <w:rPr>
                <w:rFonts w:hint="eastAsia" w:ascii="Times New Roman" w:hAnsi="Times New Roman" w:eastAsia="宋体" w:cs="Times New Roman"/>
                <w:b w:val="0"/>
                <w:bCs w:val="0"/>
                <w:kern w:val="0"/>
                <w:sz w:val="24"/>
                <w:lang w:val="en-US" w:eastAsia="zh-CN"/>
              </w:rPr>
              <w:t>）及有机废气</w:t>
            </w:r>
            <w:r>
              <w:rPr>
                <w:rFonts w:hint="default" w:ascii="Times New Roman" w:hAnsi="Times New Roman" w:eastAsia="宋体" w:cs="Times New Roman"/>
                <w:b w:val="0"/>
                <w:bCs w:val="0"/>
                <w:kern w:val="0"/>
                <w:sz w:val="24"/>
                <w:lang w:val="en-US" w:eastAsia="zh-CN"/>
              </w:rPr>
              <w:t>。</w:t>
            </w:r>
          </w:p>
          <w:p w14:paraId="56CD57CD">
            <w:pPr>
              <w:spacing w:line="360" w:lineRule="auto"/>
              <w:ind w:firstLine="480" w:firstLineChars="200"/>
              <w:rPr>
                <w:rFonts w:hint="default" w:ascii="Times New Roman" w:hAnsi="Times New Roman" w:eastAsia="宋体" w:cs="Times New Roman"/>
                <w:b w:val="0"/>
                <w:bCs w:val="0"/>
                <w:kern w:val="0"/>
                <w:sz w:val="24"/>
                <w:lang w:val="en-US" w:eastAsia="zh-CN"/>
              </w:rPr>
            </w:pPr>
            <w:r>
              <w:rPr>
                <w:rFonts w:hint="eastAsia" w:ascii="Times New Roman" w:hAnsi="Times New Roman" w:eastAsia="宋体" w:cs="Times New Roman"/>
                <w:b w:val="0"/>
                <w:bCs w:val="0"/>
                <w:kern w:val="0"/>
                <w:sz w:val="24"/>
                <w:lang w:val="en-US" w:eastAsia="zh-CN"/>
              </w:rPr>
              <w:t>根据</w:t>
            </w:r>
            <w:r>
              <w:rPr>
                <w:rFonts w:hint="default" w:ascii="Times New Roman" w:hAnsi="Times New Roman" w:eastAsia="宋体" w:cs="Times New Roman"/>
                <w:b w:val="0"/>
                <w:bCs w:val="0"/>
                <w:kern w:val="0"/>
                <w:sz w:val="24"/>
                <w:lang w:val="en-US" w:eastAsia="zh-CN"/>
              </w:rPr>
              <w:t>《排放源统计调查产排污核算方法和系数手册》</w:t>
            </w:r>
            <w:r>
              <w:rPr>
                <w:rFonts w:hint="eastAsia" w:ascii="Times New Roman" w:hAnsi="Times New Roman" w:eastAsia="宋体" w:cs="Times New Roman"/>
                <w:b w:val="0"/>
                <w:bCs w:val="0"/>
                <w:kern w:val="0"/>
                <w:sz w:val="24"/>
                <w:lang w:val="en-US" w:eastAsia="zh-CN"/>
              </w:rPr>
              <w:t>（环境部公告2021年第24号）中</w:t>
            </w:r>
            <w:r>
              <w:rPr>
                <w:rFonts w:hint="default" w:ascii="Times New Roman" w:hAnsi="Times New Roman" w:eastAsia="宋体" w:cs="Times New Roman"/>
                <w:b w:val="0"/>
                <w:bCs w:val="0"/>
                <w:kern w:val="0"/>
                <w:sz w:val="24"/>
                <w:lang w:val="en-US" w:eastAsia="zh-CN"/>
              </w:rPr>
              <w:t>39计算机、通信和其他电子设备制造业-焊接工段-原料为无铅焊料</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锡膏等，含助焊剂</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-回流焊工艺颗粒物产污系数3.638x10</w:t>
            </w:r>
            <w:r>
              <w:rPr>
                <w:rFonts w:hint="eastAsia" w:ascii="Times New Roman" w:hAnsi="Times New Roman" w:eastAsia="宋体" w:cs="Times New Roman"/>
                <w:b w:val="0"/>
                <w:bCs w:val="0"/>
                <w:kern w:val="0"/>
                <w:sz w:val="24"/>
                <w:vertAlign w:val="superscript"/>
                <w:lang w:val="en-US" w:eastAsia="zh-CN"/>
              </w:rPr>
              <w:t>-1</w:t>
            </w:r>
            <w:r>
              <w:rPr>
                <w:rFonts w:hint="default" w:ascii="Times New Roman" w:hAnsi="Times New Roman" w:eastAsia="宋体" w:cs="Times New Roman"/>
                <w:b w:val="0"/>
                <w:bCs w:val="0"/>
                <w:kern w:val="0"/>
                <w:sz w:val="24"/>
                <w:lang w:val="en-US" w:eastAsia="zh-CN"/>
              </w:rPr>
              <w:t>克/千克</w:t>
            </w:r>
            <w:r>
              <w:rPr>
                <w:rFonts w:hint="eastAsia" w:ascii="宋体" w:hAnsi="宋体" w:eastAsia="宋体" w:cs="宋体"/>
                <w:b w:val="0"/>
                <w:bCs w:val="0"/>
                <w:kern w:val="0"/>
                <w:sz w:val="24"/>
                <w:lang w:val="en-US" w:eastAsia="zh-CN"/>
              </w:rPr>
              <w:t>-焊</w:t>
            </w:r>
            <w:r>
              <w:rPr>
                <w:rFonts w:hint="default" w:ascii="Times New Roman" w:hAnsi="Times New Roman" w:eastAsia="宋体" w:cs="Times New Roman"/>
                <w:b w:val="0"/>
                <w:bCs w:val="0"/>
                <w:kern w:val="0"/>
                <w:sz w:val="24"/>
                <w:lang w:val="en-US" w:eastAsia="zh-CN"/>
              </w:rPr>
              <w:t>料，项目无铅锡膏使用量为0.</w:t>
            </w:r>
            <w:r>
              <w:rPr>
                <w:rFonts w:hint="eastAsia" w:ascii="Times New Roman" w:hAnsi="Times New Roman" w:eastAsia="宋体" w:cs="Times New Roman"/>
                <w:b w:val="0"/>
                <w:bCs w:val="0"/>
                <w:kern w:val="0"/>
                <w:sz w:val="24"/>
                <w:lang w:val="en-US" w:eastAsia="zh-CN"/>
              </w:rPr>
              <w:t>5</w:t>
            </w:r>
            <w:r>
              <w:rPr>
                <w:rFonts w:hint="default" w:ascii="Times New Roman" w:hAnsi="Times New Roman" w:eastAsia="宋体" w:cs="Times New Roman"/>
                <w:b w:val="0"/>
                <w:bCs w:val="0"/>
                <w:kern w:val="0"/>
                <w:sz w:val="24"/>
                <w:lang w:val="en-US" w:eastAsia="zh-CN"/>
              </w:rPr>
              <w:t>t/a，则</w:t>
            </w:r>
            <w:r>
              <w:rPr>
                <w:rFonts w:hint="eastAsia" w:ascii="Times New Roman" w:hAnsi="Times New Roman" w:eastAsia="宋体" w:cs="Times New Roman"/>
                <w:b w:val="0"/>
                <w:bCs w:val="0"/>
                <w:kern w:val="0"/>
                <w:sz w:val="24"/>
                <w:lang w:val="en-US" w:eastAsia="zh-CN"/>
              </w:rPr>
              <w:t>颗粒物</w:t>
            </w:r>
            <w:r>
              <w:rPr>
                <w:rFonts w:hint="default" w:ascii="Times New Roman" w:hAnsi="Times New Roman" w:eastAsia="宋体" w:cs="Times New Roman"/>
                <w:b w:val="0"/>
                <w:bCs w:val="0"/>
                <w:kern w:val="0"/>
                <w:sz w:val="24"/>
                <w:lang w:val="en-US" w:eastAsia="zh-CN"/>
              </w:rPr>
              <w:t>的产生量为0.</w:t>
            </w:r>
            <w:r>
              <w:rPr>
                <w:rFonts w:hint="eastAsia" w:ascii="Times New Roman" w:hAnsi="Times New Roman" w:eastAsia="宋体" w:cs="Times New Roman"/>
                <w:b w:val="0"/>
                <w:bCs w:val="0"/>
                <w:kern w:val="0"/>
                <w:sz w:val="24"/>
                <w:lang w:val="en-US" w:eastAsia="zh-CN"/>
              </w:rPr>
              <w:t>182kg</w:t>
            </w:r>
            <w:r>
              <w:rPr>
                <w:rFonts w:hint="default" w:ascii="Times New Roman" w:hAnsi="Times New Roman" w:eastAsia="宋体" w:cs="Times New Roman"/>
                <w:b w:val="0"/>
                <w:bCs w:val="0"/>
                <w:kern w:val="0"/>
                <w:sz w:val="24"/>
                <w:lang w:val="en-US" w:eastAsia="zh-CN"/>
              </w:rPr>
              <w:t>/a（主要成分为</w:t>
            </w:r>
            <w:r>
              <w:rPr>
                <w:rFonts w:hint="default" w:ascii="Times New Roman" w:hAnsi="Times New Roman" w:cs="Times New Roman"/>
                <w:color w:val="auto"/>
                <w:kern w:val="0"/>
                <w:sz w:val="24"/>
                <w:szCs w:val="24"/>
                <w:highlight w:val="none"/>
                <w:lang w:eastAsia="zh-CN"/>
              </w:rPr>
              <w:t>锡及其化合物，</w:t>
            </w:r>
            <w:r>
              <w:rPr>
                <w:rFonts w:hint="default" w:ascii="Times New Roman" w:hAnsi="Times New Roman" w:eastAsia="宋体" w:cs="Times New Roman"/>
                <w:b w:val="0"/>
                <w:bCs w:val="0"/>
                <w:kern w:val="0"/>
                <w:sz w:val="24"/>
                <w:lang w:val="en-US" w:eastAsia="zh-CN"/>
              </w:rPr>
              <w:t>锡膏中锡含量为90%</w:t>
            </w:r>
            <w:r>
              <w:rPr>
                <w:rFonts w:hint="default" w:ascii="Times New Roman" w:hAnsi="Times New Roman"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lang w:val="en-US" w:eastAsia="zh-CN"/>
              </w:rPr>
              <w:t>则</w:t>
            </w:r>
            <w:r>
              <w:rPr>
                <w:rFonts w:hint="default" w:ascii="Times New Roman" w:hAnsi="Times New Roman" w:cs="Times New Roman"/>
                <w:color w:val="auto"/>
                <w:kern w:val="0"/>
                <w:sz w:val="24"/>
                <w:szCs w:val="24"/>
                <w:highlight w:val="none"/>
                <w:lang w:eastAsia="zh-CN"/>
              </w:rPr>
              <w:t>锡及其化合物产生量约为</w:t>
            </w:r>
            <w:r>
              <w:rPr>
                <w:rFonts w:hint="default" w:ascii="Times New Roman" w:hAnsi="Times New Roman" w:cs="Times New Roman"/>
                <w:color w:val="auto"/>
                <w:kern w:val="0"/>
                <w:sz w:val="24"/>
                <w:szCs w:val="24"/>
                <w:highlight w:val="none"/>
                <w:lang w:val="en-US" w:eastAsia="zh-CN"/>
              </w:rPr>
              <w:t>0.</w:t>
            </w:r>
            <w:r>
              <w:rPr>
                <w:rFonts w:hint="eastAsia" w:ascii="Times New Roman" w:hAnsi="Times New Roman" w:cs="Times New Roman"/>
                <w:color w:val="auto"/>
                <w:kern w:val="0"/>
                <w:sz w:val="24"/>
                <w:szCs w:val="24"/>
                <w:highlight w:val="none"/>
                <w:lang w:val="en-US" w:eastAsia="zh-CN"/>
              </w:rPr>
              <w:t>164kg</w:t>
            </w:r>
            <w:r>
              <w:rPr>
                <w:rFonts w:hint="default" w:ascii="Times New Roman" w:hAnsi="Times New Roman" w:cs="Times New Roman"/>
                <w:color w:val="auto"/>
                <w:kern w:val="0"/>
                <w:sz w:val="24"/>
                <w:szCs w:val="24"/>
                <w:highlight w:val="none"/>
                <w:lang w:val="en-US" w:eastAsia="zh-CN"/>
              </w:rPr>
              <w:t>/a</w:t>
            </w:r>
            <w:r>
              <w:rPr>
                <w:rFonts w:hint="default" w:ascii="Times New Roman" w:hAnsi="Times New Roman" w:eastAsia="宋体" w:cs="Times New Roman"/>
                <w:b w:val="0"/>
                <w:bCs w:val="0"/>
                <w:kern w:val="0"/>
                <w:sz w:val="24"/>
                <w:lang w:val="en-US" w:eastAsia="zh-CN"/>
              </w:rPr>
              <w:t>）</w:t>
            </w:r>
            <w:r>
              <w:rPr>
                <w:rFonts w:hint="eastAsia" w:ascii="Times New Roman" w:hAnsi="Times New Roman" w:eastAsia="宋体" w:cs="Times New Roman"/>
                <w:b w:val="0"/>
                <w:bCs w:val="0"/>
                <w:kern w:val="0"/>
                <w:sz w:val="24"/>
                <w:lang w:val="en-US" w:eastAsia="zh-CN"/>
              </w:rPr>
              <w:t>。根据锡膏的MSDS，</w:t>
            </w:r>
            <w:r>
              <w:rPr>
                <w:rFonts w:hint="default" w:ascii="Times New Roman" w:hAnsi="Times New Roman" w:eastAsia="宋体" w:cs="Times New Roman"/>
                <w:b w:val="0"/>
                <w:bCs w:val="0"/>
                <w:kern w:val="0"/>
                <w:sz w:val="24"/>
                <w:lang w:val="en-US" w:eastAsia="zh-CN"/>
              </w:rPr>
              <w:t>锡膏中</w:t>
            </w:r>
            <w:r>
              <w:rPr>
                <w:rFonts w:hint="eastAsia" w:ascii="Times New Roman" w:hAnsi="Times New Roman" w:eastAsia="宋体" w:cs="Times New Roman"/>
                <w:b w:val="0"/>
                <w:bCs w:val="0"/>
                <w:kern w:val="0"/>
                <w:sz w:val="24"/>
                <w:lang w:val="en-US" w:eastAsia="zh-CN"/>
              </w:rPr>
              <w:t>触变剂、</w:t>
            </w:r>
            <w:r>
              <w:rPr>
                <w:rFonts w:hint="default" w:ascii="Times New Roman" w:hAnsi="Times New Roman" w:eastAsia="宋体" w:cs="Times New Roman"/>
                <w:b w:val="0"/>
                <w:bCs w:val="0"/>
                <w:kern w:val="0"/>
                <w:sz w:val="24"/>
                <w:lang w:val="en-US" w:eastAsia="zh-CN"/>
              </w:rPr>
              <w:t>活性剂</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溶剂</w:t>
            </w:r>
            <w:r>
              <w:rPr>
                <w:rFonts w:hint="eastAsia" w:ascii="Times New Roman" w:hAnsi="Times New Roman" w:eastAsia="宋体" w:cs="Times New Roman"/>
                <w:b w:val="0"/>
                <w:bCs w:val="0"/>
                <w:kern w:val="0"/>
                <w:sz w:val="24"/>
                <w:lang w:val="en-US" w:eastAsia="zh-CN"/>
              </w:rPr>
              <w:t>总</w:t>
            </w:r>
            <w:r>
              <w:rPr>
                <w:rFonts w:hint="default" w:ascii="Times New Roman" w:hAnsi="Times New Roman" w:eastAsia="宋体" w:cs="Times New Roman"/>
                <w:b w:val="0"/>
                <w:bCs w:val="0"/>
                <w:kern w:val="0"/>
                <w:sz w:val="24"/>
                <w:lang w:val="en-US" w:eastAsia="zh-CN"/>
              </w:rPr>
              <w:t>含量为</w:t>
            </w:r>
            <w:r>
              <w:rPr>
                <w:rFonts w:hint="eastAsia" w:ascii="Times New Roman" w:hAnsi="Times New Roman" w:eastAsia="宋体" w:cs="Times New Roman"/>
                <w:b w:val="0"/>
                <w:bCs w:val="0"/>
                <w:kern w:val="0"/>
                <w:sz w:val="24"/>
                <w:lang w:val="en-US" w:eastAsia="zh-CN"/>
              </w:rPr>
              <w:t>4</w:t>
            </w:r>
            <w:r>
              <w:rPr>
                <w:rFonts w:hint="default" w:ascii="Times New Roman" w:hAnsi="Times New Roman" w:eastAsia="宋体" w:cs="Times New Roman"/>
                <w:b w:val="0"/>
                <w:bCs w:val="0"/>
                <w:kern w:val="0"/>
                <w:sz w:val="24"/>
                <w:lang w:val="en-US" w:eastAsia="zh-CN"/>
              </w:rPr>
              <w:t>%</w:t>
            </w:r>
            <w:r>
              <w:rPr>
                <w:rFonts w:hint="eastAsia" w:ascii="Times New Roman" w:hAnsi="Times New Roman" w:eastAsia="宋体" w:cs="Times New Roman"/>
                <w:b w:val="0"/>
                <w:bCs w:val="0"/>
                <w:kern w:val="0"/>
                <w:sz w:val="24"/>
                <w:lang w:val="en-US" w:eastAsia="zh-CN"/>
              </w:rPr>
              <w:t>，按照全部挥发排放考虑最不利影响，则非甲烷总烃的产生量为20kg/a</w:t>
            </w:r>
            <w:r>
              <w:rPr>
                <w:rFonts w:hint="default" w:ascii="Times New Roman" w:hAnsi="Times New Roman" w:eastAsia="宋体" w:cs="Times New Roman"/>
                <w:b w:val="0"/>
                <w:bCs w:val="0"/>
                <w:kern w:val="0"/>
                <w:sz w:val="24"/>
                <w:lang w:val="en-US" w:eastAsia="zh-CN"/>
              </w:rPr>
              <w:t>。</w:t>
            </w:r>
            <w:r>
              <w:rPr>
                <w:rFonts w:hint="eastAsia" w:ascii="Times New Roman" w:hAnsi="Times New Roman" w:eastAsia="宋体" w:cs="Times New Roman"/>
                <w:b w:val="0"/>
                <w:bCs w:val="0"/>
                <w:kern w:val="0"/>
                <w:sz w:val="24"/>
                <w:lang w:val="en-US" w:eastAsia="zh-CN"/>
              </w:rPr>
              <w:t>项目</w:t>
            </w:r>
            <w:r>
              <w:rPr>
                <w:rFonts w:hint="default" w:ascii="Times New Roman" w:hAnsi="Times New Roman" w:eastAsia="宋体" w:cs="Times New Roman"/>
                <w:b w:val="0"/>
                <w:bCs w:val="0"/>
                <w:kern w:val="0"/>
                <w:sz w:val="24"/>
                <w:lang w:val="en-US" w:eastAsia="zh-CN"/>
              </w:rPr>
              <w:t>助焊剂用量为0.0</w:t>
            </w:r>
            <w:r>
              <w:rPr>
                <w:rFonts w:hint="eastAsia" w:ascii="Times New Roman" w:hAnsi="Times New Roman" w:eastAsia="宋体" w:cs="Times New Roman"/>
                <w:b w:val="0"/>
                <w:bCs w:val="0"/>
                <w:kern w:val="0"/>
                <w:sz w:val="24"/>
                <w:lang w:val="en-US" w:eastAsia="zh-CN"/>
              </w:rPr>
              <w:t>5</w:t>
            </w:r>
            <w:r>
              <w:rPr>
                <w:rFonts w:hint="default" w:ascii="Times New Roman" w:hAnsi="Times New Roman" w:eastAsia="宋体" w:cs="Times New Roman"/>
                <w:b w:val="0"/>
                <w:bCs w:val="0"/>
                <w:kern w:val="0"/>
                <w:sz w:val="24"/>
                <w:lang w:val="en-US" w:eastAsia="zh-CN"/>
              </w:rPr>
              <w:t>t</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a，</w:t>
            </w:r>
            <w:r>
              <w:rPr>
                <w:rFonts w:hint="eastAsia" w:ascii="Times New Roman" w:hAnsi="Times New Roman" w:eastAsia="宋体" w:cs="Times New Roman"/>
                <w:b w:val="0"/>
                <w:bCs w:val="0"/>
                <w:kern w:val="0"/>
                <w:sz w:val="24"/>
                <w:lang w:val="en-US" w:eastAsia="zh-CN"/>
              </w:rPr>
              <w:t>根据助焊剂的MSDS，助焊剂中</w:t>
            </w:r>
            <w:r>
              <w:rPr>
                <w:rFonts w:hint="eastAsia" w:ascii="Times New Roman" w:hAnsi="Times New Roman" w:eastAsia="宋体" w:cs="Times New Roman"/>
                <w:kern w:val="0"/>
                <w:sz w:val="24"/>
              </w:rPr>
              <w:t>醇类</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活性剂</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十六酸季戊四醇酯</w:t>
            </w:r>
            <w:r>
              <w:rPr>
                <w:rFonts w:hint="eastAsia" w:ascii="Times New Roman" w:hAnsi="Times New Roman" w:eastAsia="宋体" w:cs="Times New Roman"/>
                <w:kern w:val="0"/>
                <w:sz w:val="24"/>
                <w:lang w:val="en-US" w:eastAsia="zh-CN"/>
              </w:rPr>
              <w:t>含量为77%，</w:t>
            </w:r>
            <w:r>
              <w:rPr>
                <w:rFonts w:hint="eastAsia" w:ascii="Times New Roman" w:hAnsi="Times New Roman" w:eastAsia="宋体" w:cs="Times New Roman"/>
                <w:b w:val="0"/>
                <w:bCs w:val="0"/>
                <w:kern w:val="0"/>
                <w:sz w:val="24"/>
                <w:lang w:val="en-US" w:eastAsia="zh-CN"/>
              </w:rPr>
              <w:t>按照全部挥发排放考虑最不利影响，则非甲烷总烃的产生量为38.5kg/a</w:t>
            </w:r>
            <w:r>
              <w:rPr>
                <w:rFonts w:hint="default" w:ascii="Times New Roman" w:hAnsi="Times New Roman" w:eastAsia="宋体" w:cs="Times New Roman"/>
                <w:b w:val="0"/>
                <w:bCs w:val="0"/>
                <w:kern w:val="0"/>
                <w:sz w:val="24"/>
                <w:lang w:val="en-US" w:eastAsia="zh-CN"/>
              </w:rPr>
              <w:t>。</w:t>
            </w:r>
          </w:p>
          <w:p w14:paraId="75F36888">
            <w:pPr>
              <w:spacing w:line="360" w:lineRule="auto"/>
              <w:ind w:firstLine="480" w:firstLineChars="200"/>
              <w:rPr>
                <w:rFonts w:hint="eastAsia" w:ascii="Times New Roman" w:hAnsi="Times New Roman" w:eastAsia="宋体" w:cs="Times New Roman"/>
                <w:b w:val="0"/>
                <w:bCs w:val="0"/>
                <w:kern w:val="0"/>
                <w:sz w:val="24"/>
                <w:highlight w:val="none"/>
                <w:lang w:val="en-US" w:eastAsia="zh-CN"/>
              </w:rPr>
            </w:pPr>
            <w:r>
              <w:rPr>
                <w:rFonts w:hint="default" w:ascii="Times New Roman" w:hAnsi="Times New Roman" w:eastAsia="宋体" w:cs="Times New Roman"/>
                <w:b w:val="0"/>
                <w:bCs w:val="0"/>
                <w:kern w:val="0"/>
                <w:sz w:val="24"/>
                <w:lang w:val="en-US" w:eastAsia="zh-CN"/>
              </w:rPr>
              <w:t>项目回流焊在密闭的</w:t>
            </w:r>
            <w:r>
              <w:rPr>
                <w:rFonts w:hint="eastAsia" w:ascii="Times New Roman" w:hAnsi="Times New Roman" w:eastAsia="宋体" w:cs="Times New Roman"/>
                <w:b w:val="0"/>
                <w:bCs w:val="0"/>
                <w:kern w:val="0"/>
                <w:sz w:val="24"/>
                <w:lang w:val="en-US" w:eastAsia="zh-CN"/>
              </w:rPr>
              <w:t>空气</w:t>
            </w:r>
            <w:r>
              <w:rPr>
                <w:rFonts w:hint="default" w:ascii="Times New Roman" w:hAnsi="Times New Roman" w:eastAsia="宋体" w:cs="Times New Roman"/>
                <w:b w:val="0"/>
                <w:bCs w:val="0"/>
                <w:kern w:val="0"/>
                <w:sz w:val="24"/>
                <w:lang w:val="en-US" w:eastAsia="zh-CN"/>
              </w:rPr>
              <w:t>回流焊内进行，产生的锡及其化合物及非甲烷总烃采用集气管连接回流焊接炉排气口收集，配套风机风量为</w:t>
            </w:r>
            <w:r>
              <w:rPr>
                <w:rFonts w:hint="eastAsia" w:ascii="Times New Roman" w:hAnsi="Times New Roman" w:eastAsia="宋体" w:cs="Times New Roman"/>
                <w:b w:val="0"/>
                <w:bCs w:val="0"/>
                <w:kern w:val="0"/>
                <w:sz w:val="24"/>
                <w:lang w:val="en-US" w:eastAsia="zh-CN"/>
              </w:rPr>
              <w:t>6</w:t>
            </w:r>
            <w:r>
              <w:rPr>
                <w:rFonts w:hint="default" w:ascii="Times New Roman" w:hAnsi="Times New Roman" w:eastAsia="宋体" w:cs="Times New Roman"/>
                <w:b w:val="0"/>
                <w:bCs w:val="0"/>
                <w:kern w:val="0"/>
                <w:sz w:val="24"/>
                <w:lang w:val="en-US" w:eastAsia="zh-CN"/>
              </w:rPr>
              <w:t>000m</w:t>
            </w:r>
            <w:r>
              <w:rPr>
                <w:rFonts w:hint="eastAsia" w:ascii="Times New Roman" w:hAnsi="Times New Roman" w:eastAsia="宋体" w:cs="Times New Roman"/>
                <w:b w:val="0"/>
                <w:bCs w:val="0"/>
                <w:kern w:val="0"/>
                <w:sz w:val="24"/>
                <w:vertAlign w:val="superscript"/>
                <w:lang w:val="en-US" w:eastAsia="zh-CN"/>
              </w:rPr>
              <w:t>3</w:t>
            </w:r>
            <w:r>
              <w:rPr>
                <w:rFonts w:hint="eastAsia" w:ascii="Times New Roman" w:hAnsi="Times New Roman" w:eastAsia="宋体" w:cs="Times New Roman"/>
                <w:b w:val="0"/>
                <w:bCs w:val="0"/>
                <w:kern w:val="0"/>
                <w:sz w:val="24"/>
                <w:lang w:val="en-US" w:eastAsia="zh-CN"/>
              </w:rPr>
              <w:t>/h</w:t>
            </w:r>
            <w:r>
              <w:rPr>
                <w:rFonts w:hint="default" w:ascii="Times New Roman" w:hAnsi="Times New Roman" w:eastAsia="宋体" w:cs="Times New Roman"/>
                <w:b w:val="0"/>
                <w:bCs w:val="0"/>
                <w:kern w:val="0"/>
                <w:sz w:val="24"/>
                <w:lang w:val="en-US" w:eastAsia="zh-CN"/>
              </w:rPr>
              <w:t>，收集效率以95%计</w:t>
            </w:r>
            <w:r>
              <w:rPr>
                <w:rFonts w:hint="eastAsia" w:ascii="Times New Roman" w:hAnsi="Times New Roman" w:eastAsia="宋体" w:cs="Times New Roman"/>
                <w:b w:val="0"/>
                <w:bCs w:val="0"/>
                <w:kern w:val="0"/>
                <w:sz w:val="24"/>
                <w:lang w:val="en-US" w:eastAsia="zh-CN"/>
              </w:rPr>
              <w:t>（参考《主要污染物总量减排核算技术指南（2022年修订）》中表2-3，密闭管道废气收集率95%））</w:t>
            </w:r>
            <w:r>
              <w:rPr>
                <w:rFonts w:hint="default" w:ascii="Times New Roman" w:hAnsi="Times New Roman" w:eastAsia="宋体" w:cs="Times New Roman"/>
                <w:b w:val="0"/>
                <w:bCs w:val="0"/>
                <w:kern w:val="0"/>
                <w:sz w:val="24"/>
                <w:lang w:val="en-US" w:eastAsia="zh-CN"/>
              </w:rPr>
              <w:t>，年工作2400h</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废气经</w:t>
            </w:r>
            <w:r>
              <w:rPr>
                <w:rFonts w:hint="eastAsia" w:ascii="Times New Roman" w:hAnsi="Times New Roman" w:eastAsia="宋体" w:cs="Times New Roman"/>
                <w:b w:val="0"/>
                <w:bCs w:val="0"/>
                <w:kern w:val="0"/>
                <w:sz w:val="24"/>
                <w:lang w:val="en-US" w:eastAsia="zh-CN"/>
              </w:rPr>
              <w:t>“滤筒除尘器+二级活性炭吸附”装置</w:t>
            </w:r>
            <w:r>
              <w:rPr>
                <w:rFonts w:hint="default" w:ascii="Times New Roman" w:hAnsi="Times New Roman" w:eastAsia="宋体" w:cs="Times New Roman"/>
                <w:b w:val="0"/>
                <w:bCs w:val="0"/>
                <w:kern w:val="0"/>
                <w:sz w:val="24"/>
                <w:lang w:val="en-US" w:eastAsia="zh-CN"/>
              </w:rPr>
              <w:t>处理后通过</w:t>
            </w:r>
            <w:r>
              <w:rPr>
                <w:rFonts w:hint="eastAsia" w:ascii="Times New Roman" w:hAnsi="Times New Roman" w:eastAsia="宋体" w:cs="Times New Roman"/>
                <w:b w:val="0"/>
                <w:bCs w:val="0"/>
                <w:kern w:val="0"/>
                <w:sz w:val="24"/>
                <w:lang w:val="en-US" w:eastAsia="zh-CN"/>
              </w:rPr>
              <w:t>1</w:t>
            </w:r>
            <w:r>
              <w:rPr>
                <w:rFonts w:hint="default" w:ascii="Times New Roman" w:hAnsi="Times New Roman" w:eastAsia="宋体" w:cs="Times New Roman"/>
                <w:b w:val="0"/>
                <w:bCs w:val="0"/>
                <w:kern w:val="0"/>
                <w:sz w:val="24"/>
                <w:lang w:val="en-US" w:eastAsia="zh-CN"/>
              </w:rPr>
              <w:t>根</w:t>
            </w:r>
            <w:r>
              <w:rPr>
                <w:rFonts w:hint="eastAsia" w:ascii="Times New Roman" w:hAnsi="Times New Roman" w:eastAsia="宋体" w:cs="Times New Roman"/>
                <w:b w:val="0"/>
                <w:bCs w:val="0"/>
                <w:kern w:val="0"/>
                <w:sz w:val="24"/>
                <w:lang w:val="en-US" w:eastAsia="zh-CN"/>
              </w:rPr>
              <w:t>23</w:t>
            </w:r>
            <w:r>
              <w:rPr>
                <w:rFonts w:hint="default" w:ascii="Times New Roman" w:hAnsi="Times New Roman" w:eastAsia="宋体" w:cs="Times New Roman"/>
                <w:b w:val="0"/>
                <w:bCs w:val="0"/>
                <w:kern w:val="0"/>
                <w:sz w:val="24"/>
                <w:lang w:val="en-US" w:eastAsia="zh-CN"/>
              </w:rPr>
              <w:t>m高排气筒</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DA001</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排放，非甲烷总烃处理效率以90%计，</w:t>
            </w:r>
            <w:r>
              <w:rPr>
                <w:rFonts w:hint="eastAsia" w:ascii="Times New Roman" w:hAnsi="Times New Roman" w:eastAsia="宋体" w:cs="Times New Roman"/>
                <w:b w:val="0"/>
                <w:bCs w:val="0"/>
                <w:kern w:val="0"/>
                <w:sz w:val="24"/>
                <w:lang w:val="en-US" w:eastAsia="zh-CN"/>
              </w:rPr>
              <w:t>颗粒物、</w:t>
            </w:r>
            <w:r>
              <w:rPr>
                <w:rFonts w:hint="default" w:ascii="Times New Roman" w:hAnsi="Times New Roman" w:eastAsia="宋体" w:cs="Times New Roman"/>
                <w:b w:val="0"/>
                <w:bCs w:val="0"/>
                <w:kern w:val="0"/>
                <w:sz w:val="24"/>
                <w:lang w:val="en-US" w:eastAsia="zh-CN"/>
              </w:rPr>
              <w:t>锡及其化合物的处理效率以</w:t>
            </w:r>
            <w:r>
              <w:rPr>
                <w:rFonts w:hint="eastAsia" w:ascii="Times New Roman" w:hAnsi="Times New Roman" w:eastAsia="宋体" w:cs="Times New Roman"/>
                <w:b w:val="0"/>
                <w:bCs w:val="0"/>
                <w:kern w:val="0"/>
                <w:sz w:val="24"/>
                <w:lang w:val="en-US" w:eastAsia="zh-CN"/>
              </w:rPr>
              <w:t>90</w:t>
            </w:r>
            <w:r>
              <w:rPr>
                <w:rFonts w:hint="default" w:ascii="Times New Roman" w:hAnsi="Times New Roman" w:eastAsia="宋体" w:cs="Times New Roman"/>
                <w:b w:val="0"/>
                <w:bCs w:val="0"/>
                <w:kern w:val="0"/>
                <w:sz w:val="24"/>
                <w:lang w:val="en-US" w:eastAsia="zh-CN"/>
              </w:rPr>
              <w:t>%计</w:t>
            </w:r>
            <w:r>
              <w:rPr>
                <w:rFonts w:hint="eastAsia" w:ascii="Times New Roman" w:hAnsi="Times New Roman" w:eastAsia="宋体" w:cs="Times New Roman"/>
                <w:b w:val="0"/>
                <w:bCs w:val="0"/>
                <w:kern w:val="0"/>
                <w:sz w:val="24"/>
                <w:lang w:val="en-US" w:eastAsia="zh-CN"/>
              </w:rPr>
              <w:t>。则颗粒物</w:t>
            </w:r>
            <w:r>
              <w:rPr>
                <w:rFonts w:hint="default" w:ascii="Times New Roman" w:hAnsi="Times New Roman" w:eastAsia="宋体" w:cs="Times New Roman"/>
                <w:b w:val="0"/>
                <w:bCs w:val="0"/>
                <w:kern w:val="0"/>
                <w:sz w:val="24"/>
                <w:lang w:val="en-US" w:eastAsia="zh-CN"/>
              </w:rPr>
              <w:t>有组织产生量为</w:t>
            </w:r>
            <w:r>
              <w:rPr>
                <w:rFonts w:hint="eastAsia" w:ascii="Times New Roman" w:hAnsi="Times New Roman" w:eastAsia="宋体" w:cs="Times New Roman"/>
                <w:b w:val="0"/>
                <w:bCs w:val="0"/>
                <w:kern w:val="0"/>
                <w:sz w:val="24"/>
                <w:lang w:val="en-US" w:eastAsia="zh-CN"/>
              </w:rPr>
              <w:t>0.1729kg/</w:t>
            </w:r>
            <w:r>
              <w:rPr>
                <w:rFonts w:hint="default" w:ascii="Times New Roman" w:hAnsi="Times New Roman" w:eastAsia="宋体" w:cs="Times New Roman"/>
                <w:b w:val="0"/>
                <w:bCs w:val="0"/>
                <w:kern w:val="0"/>
                <w:sz w:val="24"/>
                <w:lang w:val="en-US" w:eastAsia="zh-CN"/>
              </w:rPr>
              <w:t>a，产生速率</w:t>
            </w:r>
            <w:r>
              <w:rPr>
                <w:rFonts w:hint="eastAsia" w:ascii="Times New Roman" w:hAnsi="Times New Roman" w:eastAsia="宋体" w:cs="Times New Roman"/>
                <w:b w:val="0"/>
                <w:bCs w:val="0"/>
                <w:kern w:val="0"/>
                <w:sz w:val="24"/>
                <w:lang w:val="en-US" w:eastAsia="zh-CN"/>
              </w:rPr>
              <w:t>0.072</w:t>
            </w:r>
            <w:r>
              <w:rPr>
                <w:rFonts w:hint="default" w:ascii="Times New Roman" w:hAnsi="Times New Roman" w:eastAsia="宋体" w:cs="Times New Roman"/>
                <w:b w:val="0"/>
                <w:bCs w:val="0"/>
                <w:kern w:val="0"/>
                <w:sz w:val="24"/>
                <w:lang w:val="en-US" w:eastAsia="zh-CN"/>
              </w:rPr>
              <w:t>g/h</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产生浓度</w:t>
            </w:r>
            <w:r>
              <w:rPr>
                <w:rFonts w:hint="eastAsia" w:ascii="Times New Roman" w:hAnsi="Times New Roman" w:eastAsia="宋体" w:cs="Times New Roman"/>
                <w:b w:val="0"/>
                <w:bCs w:val="0"/>
                <w:kern w:val="0"/>
                <w:sz w:val="24"/>
                <w:lang w:val="en-US" w:eastAsia="zh-CN"/>
              </w:rPr>
              <w:t>0.012</w:t>
            </w:r>
            <w:r>
              <w:rPr>
                <w:rFonts w:hint="default" w:ascii="Times New Roman" w:hAnsi="Times New Roman" w:eastAsia="宋体" w:cs="Times New Roman"/>
                <w:b w:val="0"/>
                <w:bCs w:val="0"/>
                <w:kern w:val="0"/>
                <w:sz w:val="24"/>
                <w:lang w:val="en-US" w:eastAsia="zh-CN"/>
              </w:rPr>
              <w:t>mg/m</w:t>
            </w:r>
            <w:r>
              <w:rPr>
                <w:rFonts w:hint="eastAsia" w:ascii="Times New Roman" w:hAnsi="Times New Roman" w:eastAsia="宋体" w:cs="Times New Roman"/>
                <w:b w:val="0"/>
                <w:bCs w:val="0"/>
                <w:kern w:val="0"/>
                <w:sz w:val="24"/>
                <w:vertAlign w:val="superscript"/>
                <w:lang w:val="en-US" w:eastAsia="zh-CN"/>
              </w:rPr>
              <w:t>3</w:t>
            </w:r>
            <w:r>
              <w:rPr>
                <w:rFonts w:hint="eastAsia" w:ascii="Times New Roman" w:hAnsi="Times New Roman" w:eastAsia="宋体" w:cs="Times New Roman"/>
                <w:b w:val="0"/>
                <w:bCs w:val="0"/>
                <w:kern w:val="0"/>
                <w:sz w:val="24"/>
                <w:vertAlign w:val="baseline"/>
                <w:lang w:val="en-US" w:eastAsia="zh-CN"/>
              </w:rPr>
              <w:t>；</w:t>
            </w:r>
            <w:r>
              <w:rPr>
                <w:rFonts w:hint="default" w:ascii="Times New Roman" w:hAnsi="Times New Roman" w:eastAsia="宋体" w:cs="Times New Roman"/>
                <w:b w:val="0"/>
                <w:bCs w:val="0"/>
                <w:kern w:val="0"/>
                <w:sz w:val="24"/>
                <w:lang w:val="en-US" w:eastAsia="zh-CN"/>
              </w:rPr>
              <w:t>锡及其化合物有组织产生量为</w:t>
            </w:r>
            <w:r>
              <w:rPr>
                <w:rFonts w:hint="eastAsia" w:ascii="Times New Roman" w:hAnsi="Times New Roman" w:eastAsia="宋体" w:cs="Times New Roman"/>
                <w:b w:val="0"/>
                <w:bCs w:val="0"/>
                <w:kern w:val="0"/>
                <w:sz w:val="24"/>
                <w:lang w:val="en-US" w:eastAsia="zh-CN"/>
              </w:rPr>
              <w:t>0.1558kg/</w:t>
            </w:r>
            <w:r>
              <w:rPr>
                <w:rFonts w:hint="default" w:ascii="Times New Roman" w:hAnsi="Times New Roman" w:eastAsia="宋体" w:cs="Times New Roman"/>
                <w:b w:val="0"/>
                <w:bCs w:val="0"/>
                <w:kern w:val="0"/>
                <w:sz w:val="24"/>
                <w:lang w:val="en-US" w:eastAsia="zh-CN"/>
              </w:rPr>
              <w:t>a，产生速率</w:t>
            </w:r>
            <w:r>
              <w:rPr>
                <w:rFonts w:hint="eastAsia" w:ascii="Times New Roman" w:hAnsi="Times New Roman" w:eastAsia="宋体" w:cs="Times New Roman"/>
                <w:b w:val="0"/>
                <w:bCs w:val="0"/>
                <w:kern w:val="0"/>
                <w:sz w:val="24"/>
                <w:lang w:val="en-US" w:eastAsia="zh-CN"/>
              </w:rPr>
              <w:t>0.065</w:t>
            </w:r>
            <w:r>
              <w:rPr>
                <w:rFonts w:hint="default" w:ascii="Times New Roman" w:hAnsi="Times New Roman" w:eastAsia="宋体" w:cs="Times New Roman"/>
                <w:b w:val="0"/>
                <w:bCs w:val="0"/>
                <w:kern w:val="0"/>
                <w:sz w:val="24"/>
                <w:lang w:val="en-US" w:eastAsia="zh-CN"/>
              </w:rPr>
              <w:t>g/h</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产生浓度</w:t>
            </w:r>
            <w:r>
              <w:rPr>
                <w:rFonts w:hint="eastAsia" w:ascii="Times New Roman" w:hAnsi="Times New Roman" w:eastAsia="宋体" w:cs="Times New Roman"/>
                <w:b w:val="0"/>
                <w:bCs w:val="0"/>
                <w:kern w:val="0"/>
                <w:sz w:val="24"/>
                <w:lang w:val="en-US" w:eastAsia="zh-CN"/>
              </w:rPr>
              <w:t>0.011</w:t>
            </w:r>
            <w:r>
              <w:rPr>
                <w:rFonts w:hint="default" w:ascii="Times New Roman" w:hAnsi="Times New Roman" w:eastAsia="宋体" w:cs="Times New Roman"/>
                <w:b w:val="0"/>
                <w:bCs w:val="0"/>
                <w:kern w:val="0"/>
                <w:sz w:val="24"/>
                <w:lang w:val="en-US" w:eastAsia="zh-CN"/>
              </w:rPr>
              <w:t>mg/m</w:t>
            </w:r>
            <w:r>
              <w:rPr>
                <w:rFonts w:hint="eastAsia" w:ascii="Times New Roman" w:hAnsi="Times New Roman" w:eastAsia="宋体" w:cs="Times New Roman"/>
                <w:b w:val="0"/>
                <w:bCs w:val="0"/>
                <w:kern w:val="0"/>
                <w:sz w:val="24"/>
                <w:vertAlign w:val="superscript"/>
                <w:lang w:val="en-US" w:eastAsia="zh-CN"/>
              </w:rPr>
              <w:t>3</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highlight w:val="none"/>
                <w:lang w:val="en-US" w:eastAsia="zh-CN"/>
              </w:rPr>
              <w:t>非甲烷总烃</w:t>
            </w:r>
            <w:r>
              <w:rPr>
                <w:rFonts w:hint="eastAsia" w:ascii="Times New Roman" w:hAnsi="Times New Roman" w:eastAsia="宋体" w:cs="Times New Roman"/>
                <w:b w:val="0"/>
                <w:bCs w:val="0"/>
                <w:kern w:val="0"/>
                <w:sz w:val="24"/>
                <w:highlight w:val="none"/>
                <w:lang w:val="en-US" w:eastAsia="zh-CN"/>
              </w:rPr>
              <w:t>有组织产生量为55.575kg/</w:t>
            </w:r>
            <w:r>
              <w:rPr>
                <w:rFonts w:hint="default" w:ascii="Times New Roman" w:hAnsi="Times New Roman" w:eastAsia="宋体" w:cs="Times New Roman"/>
                <w:b w:val="0"/>
                <w:bCs w:val="0"/>
                <w:kern w:val="0"/>
                <w:sz w:val="24"/>
                <w:highlight w:val="none"/>
                <w:lang w:val="en-US" w:eastAsia="zh-CN"/>
              </w:rPr>
              <w:t>a，产生速率</w:t>
            </w:r>
            <w:r>
              <w:rPr>
                <w:rFonts w:hint="eastAsia" w:ascii="Times New Roman" w:hAnsi="Times New Roman" w:eastAsia="宋体" w:cs="Times New Roman"/>
                <w:b w:val="0"/>
                <w:bCs w:val="0"/>
                <w:kern w:val="0"/>
                <w:sz w:val="24"/>
                <w:highlight w:val="none"/>
                <w:lang w:val="en-US" w:eastAsia="zh-CN"/>
              </w:rPr>
              <w:t>23.156</w:t>
            </w:r>
            <w:r>
              <w:rPr>
                <w:rFonts w:hint="default" w:ascii="Times New Roman" w:hAnsi="Times New Roman" w:eastAsia="宋体" w:cs="Times New Roman"/>
                <w:b w:val="0"/>
                <w:bCs w:val="0"/>
                <w:kern w:val="0"/>
                <w:sz w:val="24"/>
                <w:highlight w:val="none"/>
                <w:lang w:val="en-US" w:eastAsia="zh-CN"/>
              </w:rPr>
              <w:t>g/h</w:t>
            </w:r>
            <w:r>
              <w:rPr>
                <w:rFonts w:hint="eastAsia" w:ascii="Times New Roman" w:hAnsi="Times New Roman" w:eastAsia="宋体"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产生浓度</w:t>
            </w:r>
            <w:r>
              <w:rPr>
                <w:rFonts w:hint="eastAsia" w:ascii="Times New Roman" w:hAnsi="Times New Roman" w:eastAsia="宋体" w:cs="Times New Roman"/>
                <w:b w:val="0"/>
                <w:bCs w:val="0"/>
                <w:kern w:val="0"/>
                <w:sz w:val="24"/>
                <w:highlight w:val="none"/>
                <w:lang w:val="en-US" w:eastAsia="zh-CN"/>
              </w:rPr>
              <w:t>3.86</w:t>
            </w:r>
            <w:r>
              <w:rPr>
                <w:rFonts w:hint="default" w:ascii="Times New Roman" w:hAnsi="Times New Roman" w:eastAsia="宋体" w:cs="Times New Roman"/>
                <w:b w:val="0"/>
                <w:bCs w:val="0"/>
                <w:kern w:val="0"/>
                <w:sz w:val="24"/>
                <w:highlight w:val="none"/>
                <w:lang w:val="en-US" w:eastAsia="zh-CN"/>
              </w:rPr>
              <w:t>mg/m</w:t>
            </w:r>
            <w:r>
              <w:rPr>
                <w:rFonts w:hint="eastAsia" w:ascii="Times New Roman" w:hAnsi="Times New Roman" w:eastAsia="宋体" w:cs="Times New Roman"/>
                <w:b w:val="0"/>
                <w:bCs w:val="0"/>
                <w:kern w:val="0"/>
                <w:sz w:val="24"/>
                <w:highlight w:val="none"/>
                <w:vertAlign w:val="superscript"/>
                <w:lang w:val="en-US" w:eastAsia="zh-CN"/>
              </w:rPr>
              <w:t>3</w:t>
            </w:r>
            <w:r>
              <w:rPr>
                <w:rFonts w:hint="eastAsia" w:ascii="Times New Roman" w:hAnsi="Times New Roman" w:eastAsia="宋体" w:cs="Times New Roman"/>
                <w:b w:val="0"/>
                <w:bCs w:val="0"/>
                <w:kern w:val="0"/>
                <w:sz w:val="24"/>
                <w:highlight w:val="none"/>
                <w:vertAlign w:val="baseline"/>
                <w:lang w:val="en-US" w:eastAsia="zh-CN"/>
              </w:rPr>
              <w:t>。</w:t>
            </w:r>
            <w:r>
              <w:rPr>
                <w:rFonts w:hint="eastAsia" w:ascii="Times New Roman" w:hAnsi="Times New Roman" w:eastAsia="宋体" w:cs="Times New Roman"/>
                <w:b w:val="0"/>
                <w:bCs w:val="0"/>
                <w:kern w:val="0"/>
                <w:sz w:val="24"/>
                <w:highlight w:val="none"/>
                <w:lang w:val="en-US" w:eastAsia="zh-CN"/>
              </w:rPr>
              <w:t>颗粒物无</w:t>
            </w:r>
            <w:r>
              <w:rPr>
                <w:rFonts w:hint="default" w:ascii="Times New Roman" w:hAnsi="Times New Roman" w:eastAsia="宋体" w:cs="Times New Roman"/>
                <w:b w:val="0"/>
                <w:bCs w:val="0"/>
                <w:kern w:val="0"/>
                <w:sz w:val="24"/>
                <w:highlight w:val="none"/>
                <w:lang w:val="en-US" w:eastAsia="zh-CN"/>
              </w:rPr>
              <w:t>组织产生量为</w:t>
            </w:r>
            <w:r>
              <w:rPr>
                <w:rFonts w:hint="eastAsia" w:ascii="Times New Roman" w:hAnsi="Times New Roman" w:eastAsia="宋体" w:cs="Times New Roman"/>
                <w:b w:val="0"/>
                <w:bCs w:val="0"/>
                <w:kern w:val="0"/>
                <w:sz w:val="24"/>
                <w:highlight w:val="none"/>
                <w:lang w:val="en-US" w:eastAsia="zh-CN"/>
              </w:rPr>
              <w:t>0.0091kg/</w:t>
            </w:r>
            <w:r>
              <w:rPr>
                <w:rFonts w:hint="default" w:ascii="Times New Roman" w:hAnsi="Times New Roman" w:eastAsia="宋体" w:cs="Times New Roman"/>
                <w:b w:val="0"/>
                <w:bCs w:val="0"/>
                <w:kern w:val="0"/>
                <w:sz w:val="24"/>
                <w:highlight w:val="none"/>
                <w:lang w:val="en-US" w:eastAsia="zh-CN"/>
              </w:rPr>
              <w:t>a，产生速率</w:t>
            </w:r>
            <w:r>
              <w:rPr>
                <w:rFonts w:hint="eastAsia" w:ascii="Times New Roman" w:hAnsi="Times New Roman" w:eastAsia="宋体" w:cs="Times New Roman"/>
                <w:b w:val="0"/>
                <w:bCs w:val="0"/>
                <w:kern w:val="0"/>
                <w:sz w:val="24"/>
                <w:highlight w:val="none"/>
                <w:lang w:val="en-US" w:eastAsia="zh-CN"/>
              </w:rPr>
              <w:t>0.0038</w:t>
            </w:r>
            <w:r>
              <w:rPr>
                <w:rFonts w:hint="default" w:ascii="Times New Roman" w:hAnsi="Times New Roman" w:eastAsia="宋体" w:cs="Times New Roman"/>
                <w:b w:val="0"/>
                <w:bCs w:val="0"/>
                <w:kern w:val="0"/>
                <w:sz w:val="24"/>
                <w:highlight w:val="none"/>
                <w:lang w:val="en-US" w:eastAsia="zh-CN"/>
              </w:rPr>
              <w:t>g/h</w:t>
            </w:r>
            <w:r>
              <w:rPr>
                <w:rFonts w:hint="eastAsia" w:ascii="Times New Roman" w:hAnsi="Times New Roman" w:eastAsia="宋体" w:cs="Times New Roman"/>
                <w:b w:val="0"/>
                <w:bCs w:val="0"/>
                <w:kern w:val="0"/>
                <w:sz w:val="24"/>
                <w:highlight w:val="none"/>
                <w:vertAlign w:val="baseline"/>
                <w:lang w:val="en-US" w:eastAsia="zh-CN"/>
              </w:rPr>
              <w:t>；</w:t>
            </w:r>
            <w:r>
              <w:rPr>
                <w:rFonts w:hint="default" w:ascii="Times New Roman" w:hAnsi="Times New Roman" w:eastAsia="宋体" w:cs="Times New Roman"/>
                <w:b w:val="0"/>
                <w:bCs w:val="0"/>
                <w:kern w:val="0"/>
                <w:sz w:val="24"/>
                <w:highlight w:val="none"/>
                <w:lang w:val="en-US" w:eastAsia="zh-CN"/>
              </w:rPr>
              <w:t>锡及其化合物</w:t>
            </w:r>
            <w:r>
              <w:rPr>
                <w:rFonts w:hint="eastAsia" w:ascii="Times New Roman" w:hAnsi="Times New Roman" w:eastAsia="宋体" w:cs="Times New Roman"/>
                <w:b w:val="0"/>
                <w:bCs w:val="0"/>
                <w:kern w:val="0"/>
                <w:sz w:val="24"/>
                <w:highlight w:val="none"/>
                <w:lang w:val="en-US" w:eastAsia="zh-CN"/>
              </w:rPr>
              <w:t>无</w:t>
            </w:r>
            <w:r>
              <w:rPr>
                <w:rFonts w:hint="default" w:ascii="Times New Roman" w:hAnsi="Times New Roman" w:eastAsia="宋体" w:cs="Times New Roman"/>
                <w:b w:val="0"/>
                <w:bCs w:val="0"/>
                <w:kern w:val="0"/>
                <w:sz w:val="24"/>
                <w:highlight w:val="none"/>
                <w:lang w:val="en-US" w:eastAsia="zh-CN"/>
              </w:rPr>
              <w:t>组织产生量为</w:t>
            </w:r>
            <w:r>
              <w:rPr>
                <w:rFonts w:hint="eastAsia" w:ascii="Times New Roman" w:hAnsi="Times New Roman" w:eastAsia="宋体" w:cs="Times New Roman"/>
                <w:b w:val="0"/>
                <w:bCs w:val="0"/>
                <w:kern w:val="0"/>
                <w:sz w:val="24"/>
                <w:highlight w:val="none"/>
                <w:lang w:val="en-US" w:eastAsia="zh-CN"/>
              </w:rPr>
              <w:t>0.0082kg/</w:t>
            </w:r>
            <w:r>
              <w:rPr>
                <w:rFonts w:hint="default" w:ascii="Times New Roman" w:hAnsi="Times New Roman" w:eastAsia="宋体" w:cs="Times New Roman"/>
                <w:b w:val="0"/>
                <w:bCs w:val="0"/>
                <w:kern w:val="0"/>
                <w:sz w:val="24"/>
                <w:highlight w:val="none"/>
                <w:lang w:val="en-US" w:eastAsia="zh-CN"/>
              </w:rPr>
              <w:t>a，产生速率</w:t>
            </w:r>
            <w:r>
              <w:rPr>
                <w:rFonts w:hint="eastAsia" w:ascii="Times New Roman" w:hAnsi="Times New Roman" w:eastAsia="宋体" w:cs="Times New Roman"/>
                <w:b w:val="0"/>
                <w:bCs w:val="0"/>
                <w:kern w:val="0"/>
                <w:sz w:val="24"/>
                <w:highlight w:val="none"/>
                <w:lang w:val="en-US" w:eastAsia="zh-CN"/>
              </w:rPr>
              <w:t>0.0034</w:t>
            </w:r>
            <w:r>
              <w:rPr>
                <w:rFonts w:hint="default" w:ascii="Times New Roman" w:hAnsi="Times New Roman" w:eastAsia="宋体" w:cs="Times New Roman"/>
                <w:b w:val="0"/>
                <w:bCs w:val="0"/>
                <w:kern w:val="0"/>
                <w:sz w:val="24"/>
                <w:highlight w:val="none"/>
                <w:lang w:val="en-US" w:eastAsia="zh-CN"/>
              </w:rPr>
              <w:t>g/h</w:t>
            </w:r>
            <w:r>
              <w:rPr>
                <w:rFonts w:hint="eastAsia" w:ascii="Times New Roman" w:hAnsi="Times New Roman" w:eastAsia="宋体" w:cs="Times New Roman"/>
                <w:b w:val="0"/>
                <w:bCs w:val="0"/>
                <w:kern w:val="0"/>
                <w:sz w:val="24"/>
                <w:highlight w:val="none"/>
                <w:lang w:val="en-US" w:eastAsia="zh-CN"/>
              </w:rPr>
              <w:t>；</w:t>
            </w:r>
            <w:r>
              <w:rPr>
                <w:rFonts w:hint="default" w:ascii="Times New Roman" w:hAnsi="Times New Roman" w:eastAsia="宋体" w:cs="Times New Roman"/>
                <w:b w:val="0"/>
                <w:bCs w:val="0"/>
                <w:kern w:val="0"/>
                <w:sz w:val="24"/>
                <w:highlight w:val="none"/>
                <w:lang w:val="en-US" w:eastAsia="zh-CN"/>
              </w:rPr>
              <w:t>非甲烷总烃</w:t>
            </w:r>
            <w:r>
              <w:rPr>
                <w:rFonts w:hint="eastAsia" w:ascii="Times New Roman" w:hAnsi="Times New Roman" w:eastAsia="宋体" w:cs="Times New Roman"/>
                <w:b w:val="0"/>
                <w:bCs w:val="0"/>
                <w:kern w:val="0"/>
                <w:sz w:val="24"/>
                <w:highlight w:val="none"/>
                <w:lang w:val="en-US" w:eastAsia="zh-CN"/>
              </w:rPr>
              <w:t>无组织产生量为2.925kg/</w:t>
            </w:r>
            <w:r>
              <w:rPr>
                <w:rFonts w:hint="default" w:ascii="Times New Roman" w:hAnsi="Times New Roman" w:eastAsia="宋体" w:cs="Times New Roman"/>
                <w:b w:val="0"/>
                <w:bCs w:val="0"/>
                <w:kern w:val="0"/>
                <w:sz w:val="24"/>
                <w:highlight w:val="none"/>
                <w:lang w:val="en-US" w:eastAsia="zh-CN"/>
              </w:rPr>
              <w:t>a，产生速率</w:t>
            </w:r>
            <w:r>
              <w:rPr>
                <w:rFonts w:hint="eastAsia" w:ascii="Times New Roman" w:hAnsi="Times New Roman" w:eastAsia="宋体" w:cs="Times New Roman"/>
                <w:b w:val="0"/>
                <w:bCs w:val="0"/>
                <w:kern w:val="0"/>
                <w:sz w:val="24"/>
                <w:highlight w:val="none"/>
                <w:lang w:val="en-US" w:eastAsia="zh-CN"/>
              </w:rPr>
              <w:t>1.219</w:t>
            </w:r>
            <w:r>
              <w:rPr>
                <w:rFonts w:hint="default" w:ascii="Times New Roman" w:hAnsi="Times New Roman" w:eastAsia="宋体" w:cs="Times New Roman"/>
                <w:b w:val="0"/>
                <w:bCs w:val="0"/>
                <w:kern w:val="0"/>
                <w:sz w:val="24"/>
                <w:highlight w:val="none"/>
                <w:lang w:val="en-US" w:eastAsia="zh-CN"/>
              </w:rPr>
              <w:t>g/h</w:t>
            </w:r>
            <w:r>
              <w:rPr>
                <w:rFonts w:hint="eastAsia" w:ascii="Times New Roman" w:hAnsi="Times New Roman" w:eastAsia="宋体" w:cs="Times New Roman"/>
                <w:b w:val="0"/>
                <w:bCs w:val="0"/>
                <w:kern w:val="0"/>
                <w:sz w:val="24"/>
                <w:highlight w:val="none"/>
                <w:vertAlign w:val="baseline"/>
                <w:lang w:val="en-US" w:eastAsia="zh-CN"/>
              </w:rPr>
              <w:t>。</w:t>
            </w:r>
            <w:r>
              <w:rPr>
                <w:rFonts w:hint="eastAsia" w:ascii="Times New Roman" w:hAnsi="Times New Roman" w:eastAsia="宋体" w:cs="Times New Roman"/>
                <w:b w:val="0"/>
                <w:bCs w:val="0"/>
                <w:kern w:val="0"/>
                <w:sz w:val="24"/>
                <w:highlight w:val="none"/>
                <w:lang w:val="en-US" w:eastAsia="zh-CN"/>
              </w:rPr>
              <w:t xml:space="preserve">    </w:t>
            </w:r>
          </w:p>
          <w:p w14:paraId="5EA582D3">
            <w:pPr>
              <w:spacing w:line="360" w:lineRule="auto"/>
              <w:ind w:left="479" w:leftChars="228" w:firstLine="0" w:firstLineChars="0"/>
              <w:rPr>
                <w:rFonts w:hint="default" w:ascii="Times New Roman" w:hAnsi="Times New Roman" w:eastAsia="宋体" w:cs="Times New Roman"/>
                <w:b w:val="0"/>
                <w:bCs w:val="0"/>
                <w:kern w:val="0"/>
                <w:sz w:val="24"/>
                <w:lang w:val="en-US" w:eastAsia="zh-CN"/>
              </w:rPr>
            </w:pPr>
            <w:r>
              <w:rPr>
                <w:rFonts w:hint="eastAsia" w:ascii="Times New Roman" w:hAnsi="Times New Roman" w:eastAsia="宋体" w:cs="Times New Roman"/>
                <w:b w:val="0"/>
                <w:bCs w:val="0"/>
                <w:kern w:val="0"/>
                <w:sz w:val="24"/>
                <w:lang w:val="en-US" w:eastAsia="zh-CN"/>
              </w:rPr>
              <w:t>（2）手工焊接废气</w:t>
            </w:r>
          </w:p>
          <w:p w14:paraId="0DDB19B7">
            <w:pPr>
              <w:spacing w:line="360" w:lineRule="auto"/>
              <w:ind w:firstLine="480" w:firstLineChars="200"/>
              <w:rPr>
                <w:rFonts w:hint="eastAsia" w:ascii="Times New Roman" w:hAnsi="Times New Roman" w:eastAsia="宋体" w:cs="Times New Roman"/>
                <w:b w:val="0"/>
                <w:bCs w:val="0"/>
                <w:kern w:val="0"/>
                <w:sz w:val="24"/>
                <w:lang w:val="en-US" w:eastAsia="zh-CN"/>
              </w:rPr>
            </w:pPr>
            <w:r>
              <w:rPr>
                <w:rFonts w:hint="eastAsia" w:ascii="Times New Roman" w:hAnsi="Times New Roman" w:eastAsia="宋体" w:cs="Times New Roman"/>
                <w:b w:val="0"/>
                <w:bCs w:val="0"/>
                <w:kern w:val="0"/>
                <w:sz w:val="24"/>
                <w:lang w:val="en-US" w:eastAsia="zh-CN"/>
              </w:rPr>
              <w:t>根据</w:t>
            </w:r>
            <w:r>
              <w:rPr>
                <w:rFonts w:hint="default" w:ascii="Times New Roman" w:hAnsi="Times New Roman" w:eastAsia="宋体" w:cs="Times New Roman"/>
                <w:b w:val="0"/>
                <w:bCs w:val="0"/>
                <w:kern w:val="0"/>
                <w:sz w:val="24"/>
                <w:lang w:val="en-US" w:eastAsia="zh-CN"/>
              </w:rPr>
              <w:t>《排放源统计调查产排污核算方法和系数手册》</w:t>
            </w:r>
            <w:r>
              <w:rPr>
                <w:rFonts w:hint="eastAsia" w:ascii="Times New Roman" w:hAnsi="Times New Roman" w:eastAsia="宋体" w:cs="Times New Roman"/>
                <w:b w:val="0"/>
                <w:bCs w:val="0"/>
                <w:kern w:val="0"/>
                <w:sz w:val="24"/>
                <w:lang w:val="en-US" w:eastAsia="zh-CN"/>
              </w:rPr>
              <w:t>（环境部公告2021年第24号）中39计算机、通信和其他电子设备制造业-焊接工段-无铅焊料（锡丝等，含助焊剂）-手工焊工艺颗粒物产污系数4.023x10</w:t>
            </w:r>
            <w:r>
              <w:rPr>
                <w:rFonts w:hint="eastAsia" w:ascii="Times New Roman" w:hAnsi="Times New Roman" w:eastAsia="宋体" w:cs="Times New Roman"/>
                <w:b w:val="0"/>
                <w:bCs w:val="0"/>
                <w:kern w:val="0"/>
                <w:sz w:val="24"/>
                <w:vertAlign w:val="superscript"/>
                <w:lang w:val="en-US" w:eastAsia="zh-CN"/>
              </w:rPr>
              <w:t>-1</w:t>
            </w:r>
            <w:r>
              <w:rPr>
                <w:rFonts w:hint="eastAsia" w:ascii="Times New Roman" w:hAnsi="Times New Roman" w:eastAsia="宋体" w:cs="Times New Roman"/>
                <w:b w:val="0"/>
                <w:bCs w:val="0"/>
                <w:kern w:val="0"/>
                <w:sz w:val="24"/>
                <w:lang w:val="en-US" w:eastAsia="zh-CN"/>
              </w:rPr>
              <w:t>克/千克</w:t>
            </w:r>
            <w:r>
              <w:rPr>
                <w:rFonts w:hint="eastAsia" w:ascii="宋体" w:hAnsi="宋体" w:eastAsia="宋体" w:cs="宋体"/>
                <w:b w:val="0"/>
                <w:bCs w:val="0"/>
                <w:kern w:val="0"/>
                <w:sz w:val="24"/>
                <w:lang w:val="en-US" w:eastAsia="zh-CN"/>
              </w:rPr>
              <w:t>-焊</w:t>
            </w:r>
            <w:r>
              <w:rPr>
                <w:rFonts w:hint="eastAsia" w:ascii="Times New Roman" w:hAnsi="Times New Roman" w:eastAsia="宋体" w:cs="Times New Roman"/>
                <w:b w:val="0"/>
                <w:bCs w:val="0"/>
                <w:kern w:val="0"/>
                <w:sz w:val="24"/>
                <w:lang w:val="en-US" w:eastAsia="zh-CN"/>
              </w:rPr>
              <w:t>料，项目无铅锡丝使用量约为0.1t/a，则颗粒物的产生量为0.0402kg/a</w:t>
            </w:r>
            <w:r>
              <w:rPr>
                <w:rFonts w:hint="default" w:ascii="Times New Roman" w:hAnsi="Times New Roman" w:eastAsia="宋体" w:cs="Times New Roman"/>
                <w:b w:val="0"/>
                <w:bCs w:val="0"/>
                <w:kern w:val="0"/>
                <w:sz w:val="24"/>
                <w:lang w:val="en-US" w:eastAsia="zh-CN"/>
              </w:rPr>
              <w:t>（主要成分为</w:t>
            </w:r>
            <w:r>
              <w:rPr>
                <w:rFonts w:hint="default" w:ascii="Times New Roman" w:hAnsi="Times New Roman" w:cs="Times New Roman"/>
                <w:color w:val="auto"/>
                <w:kern w:val="0"/>
                <w:sz w:val="24"/>
                <w:szCs w:val="24"/>
                <w:highlight w:val="none"/>
                <w:lang w:eastAsia="zh-CN"/>
              </w:rPr>
              <w:t>锡及其化合物，</w:t>
            </w:r>
            <w:r>
              <w:rPr>
                <w:rFonts w:hint="eastAsia" w:ascii="Times New Roman" w:hAnsi="Times New Roman" w:cs="Times New Roman"/>
                <w:color w:val="auto"/>
                <w:kern w:val="0"/>
                <w:sz w:val="24"/>
                <w:szCs w:val="24"/>
                <w:highlight w:val="none"/>
                <w:lang w:val="en-US" w:eastAsia="zh-CN"/>
              </w:rPr>
              <w:t>无铅</w:t>
            </w:r>
            <w:r>
              <w:rPr>
                <w:rFonts w:hint="default" w:ascii="Times New Roman" w:hAnsi="Times New Roman" w:eastAsia="宋体" w:cs="Times New Roman"/>
                <w:b w:val="0"/>
                <w:bCs w:val="0"/>
                <w:kern w:val="0"/>
                <w:sz w:val="24"/>
                <w:lang w:val="en-US" w:eastAsia="zh-CN"/>
              </w:rPr>
              <w:t>锡</w:t>
            </w:r>
            <w:r>
              <w:rPr>
                <w:rFonts w:hint="eastAsia" w:ascii="Times New Roman" w:hAnsi="Times New Roman" w:eastAsia="宋体" w:cs="Times New Roman"/>
                <w:b w:val="0"/>
                <w:bCs w:val="0"/>
                <w:kern w:val="0"/>
                <w:sz w:val="24"/>
                <w:lang w:val="en-US" w:eastAsia="zh-CN"/>
              </w:rPr>
              <w:t>丝</w:t>
            </w:r>
            <w:r>
              <w:rPr>
                <w:rFonts w:hint="default" w:ascii="Times New Roman" w:hAnsi="Times New Roman" w:eastAsia="宋体" w:cs="Times New Roman"/>
                <w:b w:val="0"/>
                <w:bCs w:val="0"/>
                <w:kern w:val="0"/>
                <w:sz w:val="24"/>
                <w:lang w:val="en-US" w:eastAsia="zh-CN"/>
              </w:rPr>
              <w:t>中锡含量为</w:t>
            </w:r>
            <w:r>
              <w:rPr>
                <w:rFonts w:hint="eastAsia" w:ascii="Times New Roman" w:hAnsi="Times New Roman" w:eastAsia="宋体" w:cs="Times New Roman"/>
                <w:b w:val="0"/>
                <w:bCs w:val="0"/>
                <w:kern w:val="0"/>
                <w:sz w:val="24"/>
                <w:lang w:val="en-US" w:eastAsia="zh-CN"/>
              </w:rPr>
              <w:t>97</w:t>
            </w:r>
            <w:r>
              <w:rPr>
                <w:rFonts w:hint="default" w:ascii="Times New Roman" w:hAnsi="Times New Roman" w:eastAsia="宋体" w:cs="Times New Roman"/>
                <w:b w:val="0"/>
                <w:bCs w:val="0"/>
                <w:kern w:val="0"/>
                <w:sz w:val="24"/>
                <w:lang w:val="en-US" w:eastAsia="zh-CN"/>
              </w:rPr>
              <w:t>%</w:t>
            </w:r>
            <w:r>
              <w:rPr>
                <w:rFonts w:hint="default" w:ascii="Times New Roman" w:hAnsi="Times New Roman"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lang w:val="en-US" w:eastAsia="zh-CN"/>
              </w:rPr>
              <w:t>则</w:t>
            </w:r>
            <w:r>
              <w:rPr>
                <w:rFonts w:hint="default" w:ascii="Times New Roman" w:hAnsi="Times New Roman" w:cs="Times New Roman"/>
                <w:color w:val="auto"/>
                <w:kern w:val="0"/>
                <w:sz w:val="24"/>
                <w:szCs w:val="24"/>
                <w:highlight w:val="none"/>
                <w:lang w:eastAsia="zh-CN"/>
              </w:rPr>
              <w:t>锡及其化合物产生量约为</w:t>
            </w:r>
            <w:r>
              <w:rPr>
                <w:rFonts w:hint="eastAsia" w:ascii="Times New Roman" w:hAnsi="Times New Roman" w:cs="Times New Roman"/>
                <w:color w:val="auto"/>
                <w:kern w:val="0"/>
                <w:sz w:val="24"/>
                <w:szCs w:val="24"/>
                <w:highlight w:val="none"/>
                <w:lang w:val="en-US" w:eastAsia="zh-CN"/>
              </w:rPr>
              <w:t>0.039kg</w:t>
            </w:r>
            <w:r>
              <w:rPr>
                <w:rFonts w:hint="default" w:ascii="Times New Roman" w:hAnsi="Times New Roman" w:cs="Times New Roman"/>
                <w:color w:val="auto"/>
                <w:kern w:val="0"/>
                <w:sz w:val="24"/>
                <w:szCs w:val="24"/>
                <w:highlight w:val="none"/>
                <w:lang w:val="en-US" w:eastAsia="zh-CN"/>
              </w:rPr>
              <w:t>/a</w:t>
            </w:r>
            <w:r>
              <w:rPr>
                <w:rFonts w:hint="default" w:ascii="Times New Roman" w:hAnsi="Times New Roman" w:eastAsia="宋体" w:cs="Times New Roman"/>
                <w:b w:val="0"/>
                <w:bCs w:val="0"/>
                <w:kern w:val="0"/>
                <w:sz w:val="24"/>
                <w:lang w:val="en-US" w:eastAsia="zh-CN"/>
              </w:rPr>
              <w:t>）</w:t>
            </w:r>
            <w:r>
              <w:rPr>
                <w:rFonts w:hint="eastAsia" w:ascii="Times New Roman" w:hAnsi="Times New Roman" w:eastAsia="宋体" w:cs="Times New Roman"/>
                <w:b w:val="0"/>
                <w:bCs w:val="0"/>
                <w:kern w:val="0"/>
                <w:sz w:val="24"/>
                <w:lang w:val="en-US" w:eastAsia="zh-CN"/>
              </w:rPr>
              <w:t>。产生的锡及其化合物采用集气罩收集，配套风机风量为</w:t>
            </w:r>
            <w:r>
              <w:rPr>
                <w:rFonts w:hint="eastAsia" w:ascii="Times New Roman" w:hAnsi="Times New Roman" w:eastAsia="宋体" w:cs="Times New Roman"/>
                <w:b w:val="0"/>
                <w:bCs w:val="0"/>
                <w:kern w:val="0"/>
                <w:sz w:val="24"/>
                <w:highlight w:val="none"/>
                <w:lang w:val="en-US" w:eastAsia="zh-CN"/>
              </w:rPr>
              <w:t>3000</w:t>
            </w:r>
            <w:r>
              <w:rPr>
                <w:rFonts w:hint="eastAsia" w:ascii="Times New Roman" w:hAnsi="Times New Roman" w:eastAsia="宋体" w:cs="Times New Roman"/>
                <w:b w:val="0"/>
                <w:bCs w:val="0"/>
                <w:kern w:val="0"/>
                <w:sz w:val="24"/>
                <w:lang w:val="en-US" w:eastAsia="zh-CN"/>
              </w:rPr>
              <w:t>m</w:t>
            </w:r>
            <w:r>
              <w:rPr>
                <w:rFonts w:hint="eastAsia" w:ascii="Times New Roman" w:hAnsi="Times New Roman" w:eastAsia="宋体" w:cs="Times New Roman"/>
                <w:b w:val="0"/>
                <w:bCs w:val="0"/>
                <w:kern w:val="0"/>
                <w:sz w:val="24"/>
                <w:vertAlign w:val="superscript"/>
                <w:lang w:val="en-US" w:eastAsia="zh-CN"/>
              </w:rPr>
              <w:t>3</w:t>
            </w:r>
            <w:r>
              <w:rPr>
                <w:rFonts w:hint="eastAsia" w:ascii="Times New Roman" w:hAnsi="Times New Roman" w:eastAsia="宋体" w:cs="Times New Roman"/>
                <w:b w:val="0"/>
                <w:bCs w:val="0"/>
                <w:kern w:val="0"/>
                <w:sz w:val="24"/>
                <w:lang w:val="en-US" w:eastAsia="zh-CN"/>
              </w:rPr>
              <w:t>/h，收集效率以90%计（参考《主要污染物总量减排核算技术指南（2022年修订）》中表2-3，密闭空间负压废气收集率90%），年工作2400h，废气经集气罩收集后经“滤筒除尘器+二级活性炭吸附”装置处理后通过1根23m高排气筒（DA001）排放，颗粒物、</w:t>
            </w:r>
            <w:r>
              <w:rPr>
                <w:rFonts w:hint="default" w:ascii="Times New Roman" w:hAnsi="Times New Roman" w:eastAsia="宋体" w:cs="Times New Roman"/>
                <w:b w:val="0"/>
                <w:bCs w:val="0"/>
                <w:kern w:val="0"/>
                <w:sz w:val="24"/>
                <w:lang w:val="en-US" w:eastAsia="zh-CN"/>
              </w:rPr>
              <w:t>锡及其化合物的处理效率以</w:t>
            </w:r>
            <w:r>
              <w:rPr>
                <w:rFonts w:hint="eastAsia" w:ascii="Times New Roman" w:hAnsi="Times New Roman" w:eastAsia="宋体" w:cs="Times New Roman"/>
                <w:b w:val="0"/>
                <w:bCs w:val="0"/>
                <w:kern w:val="0"/>
                <w:sz w:val="24"/>
                <w:lang w:val="en-US" w:eastAsia="zh-CN"/>
              </w:rPr>
              <w:t>90</w:t>
            </w:r>
            <w:r>
              <w:rPr>
                <w:rFonts w:hint="default" w:ascii="Times New Roman" w:hAnsi="Times New Roman" w:eastAsia="宋体" w:cs="Times New Roman"/>
                <w:b w:val="0"/>
                <w:bCs w:val="0"/>
                <w:kern w:val="0"/>
                <w:sz w:val="24"/>
                <w:lang w:val="en-US" w:eastAsia="zh-CN"/>
              </w:rPr>
              <w:t>%计</w:t>
            </w:r>
            <w:r>
              <w:rPr>
                <w:rFonts w:hint="eastAsia" w:ascii="Times New Roman" w:hAnsi="Times New Roman" w:eastAsia="宋体" w:cs="Times New Roman"/>
                <w:b w:val="0"/>
                <w:bCs w:val="0"/>
                <w:kern w:val="0"/>
                <w:sz w:val="24"/>
                <w:lang w:val="en-US" w:eastAsia="zh-CN"/>
              </w:rPr>
              <w:t>。则颗粒物</w:t>
            </w:r>
            <w:r>
              <w:rPr>
                <w:rFonts w:hint="default" w:ascii="Times New Roman" w:hAnsi="Times New Roman" w:eastAsia="宋体" w:cs="Times New Roman"/>
                <w:b w:val="0"/>
                <w:bCs w:val="0"/>
                <w:kern w:val="0"/>
                <w:sz w:val="24"/>
                <w:lang w:val="en-US" w:eastAsia="zh-CN"/>
              </w:rPr>
              <w:t>有组织产生量为</w:t>
            </w:r>
            <w:r>
              <w:rPr>
                <w:rFonts w:hint="eastAsia" w:ascii="Times New Roman" w:hAnsi="Times New Roman" w:eastAsia="宋体" w:cs="Times New Roman"/>
                <w:b w:val="0"/>
                <w:bCs w:val="0"/>
                <w:kern w:val="0"/>
                <w:sz w:val="24"/>
                <w:lang w:val="en-US" w:eastAsia="zh-CN"/>
              </w:rPr>
              <w:t>0.036kg/</w:t>
            </w:r>
            <w:r>
              <w:rPr>
                <w:rFonts w:hint="default" w:ascii="Times New Roman" w:hAnsi="Times New Roman" w:eastAsia="宋体" w:cs="Times New Roman"/>
                <w:b w:val="0"/>
                <w:bCs w:val="0"/>
                <w:kern w:val="0"/>
                <w:sz w:val="24"/>
                <w:lang w:val="en-US" w:eastAsia="zh-CN"/>
              </w:rPr>
              <w:t>a，产生速率</w:t>
            </w:r>
            <w:r>
              <w:rPr>
                <w:rFonts w:hint="eastAsia" w:ascii="Times New Roman" w:hAnsi="Times New Roman" w:eastAsia="宋体" w:cs="Times New Roman"/>
                <w:b w:val="0"/>
                <w:bCs w:val="0"/>
                <w:kern w:val="0"/>
                <w:sz w:val="24"/>
                <w:lang w:val="en-US" w:eastAsia="zh-CN"/>
              </w:rPr>
              <w:t>0.015</w:t>
            </w:r>
            <w:r>
              <w:rPr>
                <w:rFonts w:hint="default" w:ascii="Times New Roman" w:hAnsi="Times New Roman" w:eastAsia="宋体" w:cs="Times New Roman"/>
                <w:b w:val="0"/>
                <w:bCs w:val="0"/>
                <w:kern w:val="0"/>
                <w:sz w:val="24"/>
                <w:lang w:val="en-US" w:eastAsia="zh-CN"/>
              </w:rPr>
              <w:t>g/h</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产生浓度</w:t>
            </w:r>
            <w:r>
              <w:rPr>
                <w:rFonts w:hint="eastAsia" w:ascii="Times New Roman" w:hAnsi="Times New Roman" w:eastAsia="宋体" w:cs="Times New Roman"/>
                <w:b w:val="0"/>
                <w:bCs w:val="0"/>
                <w:kern w:val="0"/>
                <w:sz w:val="24"/>
                <w:lang w:val="en-US" w:eastAsia="zh-CN"/>
              </w:rPr>
              <w:t>0.005</w:t>
            </w:r>
            <w:r>
              <w:rPr>
                <w:rFonts w:hint="default" w:ascii="Times New Roman" w:hAnsi="Times New Roman" w:eastAsia="宋体" w:cs="Times New Roman"/>
                <w:b w:val="0"/>
                <w:bCs w:val="0"/>
                <w:kern w:val="0"/>
                <w:sz w:val="24"/>
                <w:lang w:val="en-US" w:eastAsia="zh-CN"/>
              </w:rPr>
              <w:t>mg/m</w:t>
            </w:r>
            <w:r>
              <w:rPr>
                <w:rFonts w:hint="eastAsia" w:ascii="Times New Roman" w:hAnsi="Times New Roman" w:eastAsia="宋体" w:cs="Times New Roman"/>
                <w:b w:val="0"/>
                <w:bCs w:val="0"/>
                <w:kern w:val="0"/>
                <w:sz w:val="24"/>
                <w:vertAlign w:val="superscript"/>
                <w:lang w:val="en-US" w:eastAsia="zh-CN"/>
              </w:rPr>
              <w:t>3</w:t>
            </w:r>
            <w:r>
              <w:rPr>
                <w:rFonts w:hint="eastAsia" w:ascii="Times New Roman" w:hAnsi="Times New Roman" w:eastAsia="宋体" w:cs="Times New Roman"/>
                <w:b w:val="0"/>
                <w:bCs w:val="0"/>
                <w:kern w:val="0"/>
                <w:sz w:val="24"/>
                <w:vertAlign w:val="baseline"/>
                <w:lang w:val="en-US" w:eastAsia="zh-CN"/>
              </w:rPr>
              <w:t>；</w:t>
            </w:r>
            <w:r>
              <w:rPr>
                <w:rFonts w:hint="eastAsia" w:ascii="Times New Roman" w:hAnsi="Times New Roman" w:eastAsia="宋体" w:cs="Times New Roman"/>
                <w:b w:val="0"/>
                <w:bCs w:val="0"/>
                <w:kern w:val="0"/>
                <w:sz w:val="24"/>
                <w:lang w:val="en-US" w:eastAsia="zh-CN"/>
              </w:rPr>
              <w:t>锡及其化合物有组织产生量为0.035kg/a，产生速率0.0146g/h，产生浓度0.0049mg/m</w:t>
            </w:r>
            <w:r>
              <w:rPr>
                <w:rFonts w:hint="eastAsia" w:ascii="Times New Roman" w:hAnsi="Times New Roman" w:eastAsia="宋体" w:cs="Times New Roman"/>
                <w:b w:val="0"/>
                <w:bCs w:val="0"/>
                <w:kern w:val="0"/>
                <w:sz w:val="24"/>
                <w:vertAlign w:val="superscript"/>
                <w:lang w:val="en-US" w:eastAsia="zh-CN"/>
              </w:rPr>
              <w:t>3</w:t>
            </w:r>
            <w:r>
              <w:rPr>
                <w:rFonts w:hint="eastAsia" w:ascii="Times New Roman" w:hAnsi="Times New Roman" w:eastAsia="宋体" w:cs="Times New Roman"/>
                <w:b w:val="0"/>
                <w:bCs w:val="0"/>
                <w:kern w:val="0"/>
                <w:sz w:val="24"/>
                <w:lang w:val="en-US" w:eastAsia="zh-CN"/>
              </w:rPr>
              <w:t>。颗粒物无</w:t>
            </w:r>
            <w:r>
              <w:rPr>
                <w:rFonts w:hint="default" w:ascii="Times New Roman" w:hAnsi="Times New Roman" w:eastAsia="宋体" w:cs="Times New Roman"/>
                <w:b w:val="0"/>
                <w:bCs w:val="0"/>
                <w:kern w:val="0"/>
                <w:sz w:val="24"/>
                <w:lang w:val="en-US" w:eastAsia="zh-CN"/>
              </w:rPr>
              <w:t>组织产生量为</w:t>
            </w:r>
            <w:r>
              <w:rPr>
                <w:rFonts w:hint="eastAsia" w:ascii="Times New Roman" w:hAnsi="Times New Roman" w:eastAsia="宋体" w:cs="Times New Roman"/>
                <w:b w:val="0"/>
                <w:bCs w:val="0"/>
                <w:kern w:val="0"/>
                <w:sz w:val="24"/>
                <w:lang w:val="en-US" w:eastAsia="zh-CN"/>
              </w:rPr>
              <w:t>0.0042kg/</w:t>
            </w:r>
            <w:r>
              <w:rPr>
                <w:rFonts w:hint="default" w:ascii="Times New Roman" w:hAnsi="Times New Roman" w:eastAsia="宋体" w:cs="Times New Roman"/>
                <w:b w:val="0"/>
                <w:bCs w:val="0"/>
                <w:kern w:val="0"/>
                <w:sz w:val="24"/>
                <w:lang w:val="en-US" w:eastAsia="zh-CN"/>
              </w:rPr>
              <w:t>a，产生速率</w:t>
            </w:r>
            <w:r>
              <w:rPr>
                <w:rFonts w:hint="eastAsia" w:ascii="Times New Roman" w:hAnsi="Times New Roman" w:eastAsia="宋体" w:cs="Times New Roman"/>
                <w:b w:val="0"/>
                <w:bCs w:val="0"/>
                <w:kern w:val="0"/>
                <w:sz w:val="24"/>
                <w:lang w:val="en-US" w:eastAsia="zh-CN"/>
              </w:rPr>
              <w:t>0.00175</w:t>
            </w:r>
            <w:r>
              <w:rPr>
                <w:rFonts w:hint="default" w:ascii="Times New Roman" w:hAnsi="Times New Roman" w:eastAsia="宋体" w:cs="Times New Roman"/>
                <w:b w:val="0"/>
                <w:bCs w:val="0"/>
                <w:kern w:val="0"/>
                <w:sz w:val="24"/>
                <w:lang w:val="en-US" w:eastAsia="zh-CN"/>
              </w:rPr>
              <w:t>g/h</w:t>
            </w:r>
            <w:r>
              <w:rPr>
                <w:rFonts w:hint="eastAsia" w:ascii="Times New Roman" w:hAnsi="Times New Roman" w:eastAsia="宋体" w:cs="Times New Roman"/>
                <w:b w:val="0"/>
                <w:bCs w:val="0"/>
                <w:kern w:val="0"/>
                <w:sz w:val="24"/>
                <w:vertAlign w:val="baseline"/>
                <w:lang w:val="en-US" w:eastAsia="zh-CN"/>
              </w:rPr>
              <w:t>；</w:t>
            </w:r>
            <w:r>
              <w:rPr>
                <w:rFonts w:hint="eastAsia" w:ascii="Times New Roman" w:hAnsi="Times New Roman" w:eastAsia="宋体" w:cs="Times New Roman"/>
                <w:b w:val="0"/>
                <w:bCs w:val="0"/>
                <w:kern w:val="0"/>
                <w:sz w:val="24"/>
                <w:lang w:val="en-US" w:eastAsia="zh-CN"/>
              </w:rPr>
              <w:t>锡及其化合物无组织产生量为0.004kg/a，产生速率0.0017g/h。</w:t>
            </w:r>
          </w:p>
          <w:p w14:paraId="223CFA7B">
            <w:pPr>
              <w:spacing w:line="360" w:lineRule="auto"/>
              <w:ind w:firstLine="480" w:firstLineChars="200"/>
              <w:rPr>
                <w:rFonts w:hint="eastAsia" w:ascii="Times New Roman" w:hAnsi="Times New Roman" w:eastAsia="宋体" w:cs="Times New Roman"/>
                <w:b w:val="0"/>
                <w:bCs w:val="0"/>
                <w:kern w:val="0"/>
                <w:sz w:val="24"/>
                <w:lang w:val="en-US" w:eastAsia="zh-CN"/>
              </w:rPr>
            </w:pPr>
            <w:r>
              <w:rPr>
                <w:rFonts w:hint="eastAsia" w:ascii="Times New Roman" w:hAnsi="Times New Roman" w:eastAsia="宋体" w:cs="Times New Roman"/>
                <w:b w:val="0"/>
                <w:bCs w:val="0"/>
                <w:kern w:val="0"/>
                <w:sz w:val="24"/>
                <w:lang w:val="en-US" w:eastAsia="zh-CN"/>
              </w:rPr>
              <w:t>集气罩收集风量计算：</w:t>
            </w:r>
          </w:p>
          <w:p w14:paraId="3045A293">
            <w:pPr>
              <w:spacing w:line="360" w:lineRule="auto"/>
              <w:ind w:firstLine="480" w:firstLineChars="200"/>
              <w:rPr>
                <w:rFonts w:hint="default" w:ascii="Times New Roman" w:hAnsi="Times New Roman" w:eastAsia="宋体" w:cs="Times New Roman"/>
                <w:b w:val="0"/>
                <w:bCs w:val="0"/>
                <w:kern w:val="0"/>
                <w:sz w:val="24"/>
                <w:lang w:val="en-US" w:eastAsia="zh-CN"/>
              </w:rPr>
            </w:pPr>
            <w:r>
              <w:rPr>
                <w:rFonts w:hint="eastAsia" w:ascii="Times New Roman" w:hAnsi="Times New Roman" w:eastAsia="宋体" w:cs="Times New Roman"/>
                <w:b w:val="0"/>
                <w:bCs w:val="0"/>
                <w:kern w:val="0"/>
                <w:sz w:val="24"/>
                <w:lang w:val="en-US" w:eastAsia="zh-CN"/>
              </w:rPr>
              <w:t>根据《三废处理工程技术</w:t>
            </w:r>
            <w:r>
              <w:rPr>
                <w:rFonts w:hint="default" w:ascii="Times New Roman" w:hAnsi="Times New Roman" w:eastAsia="宋体" w:cs="Times New Roman"/>
                <w:b w:val="0"/>
                <w:bCs w:val="0"/>
                <w:kern w:val="0"/>
                <w:sz w:val="24"/>
                <w:lang w:val="en-US" w:eastAsia="zh-CN"/>
              </w:rPr>
              <w:t>手册 废气篇》中有关公式</w:t>
            </w:r>
            <w:r>
              <w:rPr>
                <w:rFonts w:hint="eastAsia" w:ascii="Times New Roman" w:hAnsi="Times New Roman" w:eastAsia="宋体" w:cs="Times New Roman"/>
                <w:b w:val="0"/>
                <w:bCs w:val="0"/>
                <w:kern w:val="0"/>
                <w:sz w:val="24"/>
                <w:lang w:val="en-US" w:eastAsia="zh-CN"/>
              </w:rPr>
              <w:t>计算，项目集气罩风量计算式如下：</w:t>
            </w:r>
            <w:r>
              <w:rPr>
                <w:rFonts w:hint="default" w:ascii="Times New Roman" w:hAnsi="Times New Roman" w:eastAsia="宋体" w:cs="Times New Roman"/>
                <w:b w:val="0"/>
                <w:bCs w:val="0"/>
                <w:kern w:val="0"/>
                <w:sz w:val="24"/>
                <w:lang w:val="en-US" w:eastAsia="zh-CN"/>
              </w:rPr>
              <w:t>Q=V×F</w:t>
            </w:r>
            <w:r>
              <w:rPr>
                <w:rFonts w:hint="default" w:ascii="Times New Roman" w:hAnsi="Times New Roman" w:eastAsia="微软雅黑"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3600</w:t>
            </w:r>
            <w:r>
              <w:rPr>
                <w:rFonts w:hint="eastAsia" w:ascii="Times New Roman" w:hAnsi="Times New Roman" w:eastAsia="宋体" w:cs="Times New Roman"/>
                <w:b w:val="0"/>
                <w:bCs w:val="0"/>
                <w:kern w:val="0"/>
                <w:sz w:val="24"/>
                <w:lang w:val="en-US" w:eastAsia="zh-CN"/>
              </w:rPr>
              <w:t>；Q：设计风量，m</w:t>
            </w:r>
            <w:r>
              <w:rPr>
                <w:rFonts w:hint="eastAsia" w:ascii="Times New Roman" w:hAnsi="Times New Roman" w:eastAsia="宋体" w:cs="Times New Roman"/>
                <w:b w:val="0"/>
                <w:bCs w:val="0"/>
                <w:kern w:val="0"/>
                <w:sz w:val="24"/>
                <w:vertAlign w:val="superscript"/>
                <w:lang w:val="en-US" w:eastAsia="zh-CN"/>
              </w:rPr>
              <w:t>3</w:t>
            </w:r>
            <w:r>
              <w:rPr>
                <w:rFonts w:hint="eastAsia" w:ascii="Times New Roman" w:hAnsi="Times New Roman" w:eastAsia="宋体" w:cs="Times New Roman"/>
                <w:b w:val="0"/>
                <w:bCs w:val="0"/>
                <w:kern w:val="0"/>
                <w:sz w:val="24"/>
                <w:lang w:val="en-US" w:eastAsia="zh-CN"/>
              </w:rPr>
              <w:t>/h；V：进口风速，m/s，本次取2.0m/s；F：集气罩面积，m</w:t>
            </w:r>
            <w:r>
              <w:rPr>
                <w:rFonts w:hint="eastAsia" w:ascii="Times New Roman" w:hAnsi="Times New Roman" w:eastAsia="宋体" w:cs="Times New Roman"/>
                <w:b w:val="0"/>
                <w:bCs w:val="0"/>
                <w:kern w:val="0"/>
                <w:sz w:val="24"/>
                <w:vertAlign w:val="superscript"/>
                <w:lang w:val="en-US" w:eastAsia="zh-CN"/>
              </w:rPr>
              <w:t>2</w:t>
            </w:r>
            <w:r>
              <w:rPr>
                <w:rFonts w:hint="eastAsia" w:ascii="Times New Roman" w:hAnsi="Times New Roman" w:eastAsia="宋体" w:cs="Times New Roman"/>
                <w:b w:val="0"/>
                <w:bCs w:val="0"/>
                <w:kern w:val="0"/>
                <w:sz w:val="24"/>
                <w:lang w:val="en-US" w:eastAsia="zh-CN"/>
              </w:rPr>
              <w:t>，本次取0.09m</w:t>
            </w:r>
            <w:r>
              <w:rPr>
                <w:rFonts w:hint="eastAsia" w:ascii="Times New Roman" w:hAnsi="Times New Roman" w:eastAsia="宋体" w:cs="Times New Roman"/>
                <w:b w:val="0"/>
                <w:bCs w:val="0"/>
                <w:kern w:val="0"/>
                <w:sz w:val="24"/>
                <w:vertAlign w:val="superscript"/>
                <w:lang w:val="en-US" w:eastAsia="zh-CN"/>
              </w:rPr>
              <w:t>2</w:t>
            </w:r>
            <w:r>
              <w:rPr>
                <w:rFonts w:hint="eastAsia" w:ascii="Times New Roman" w:hAnsi="Times New Roman" w:eastAsia="宋体" w:cs="Times New Roman"/>
                <w:b w:val="0"/>
                <w:bCs w:val="0"/>
                <w:kern w:val="0"/>
                <w:sz w:val="24"/>
                <w:lang w:val="en-US" w:eastAsia="zh-CN"/>
              </w:rPr>
              <w:t>。由此计算出单个集气罩风量为648m</w:t>
            </w:r>
            <w:r>
              <w:rPr>
                <w:rFonts w:hint="eastAsia" w:ascii="Times New Roman" w:hAnsi="Times New Roman" w:eastAsia="宋体" w:cs="Times New Roman"/>
                <w:b w:val="0"/>
                <w:bCs w:val="0"/>
                <w:kern w:val="0"/>
                <w:sz w:val="24"/>
                <w:vertAlign w:val="superscript"/>
                <w:lang w:val="en-US" w:eastAsia="zh-CN"/>
              </w:rPr>
              <w:t>3</w:t>
            </w:r>
            <w:r>
              <w:rPr>
                <w:rFonts w:hint="eastAsia" w:ascii="Times New Roman" w:hAnsi="Times New Roman" w:eastAsia="宋体" w:cs="Times New Roman"/>
                <w:b w:val="0"/>
                <w:bCs w:val="0"/>
                <w:kern w:val="0"/>
                <w:sz w:val="24"/>
                <w:lang w:val="en-US" w:eastAsia="zh-CN"/>
              </w:rPr>
              <w:t>/h，本项目设有4个集气罩，故手工焊接总风量为2592m</w:t>
            </w:r>
            <w:r>
              <w:rPr>
                <w:rFonts w:hint="eastAsia" w:ascii="Times New Roman" w:hAnsi="Times New Roman" w:eastAsia="宋体" w:cs="Times New Roman"/>
                <w:b w:val="0"/>
                <w:bCs w:val="0"/>
                <w:kern w:val="0"/>
                <w:sz w:val="24"/>
                <w:vertAlign w:val="superscript"/>
                <w:lang w:val="en-US" w:eastAsia="zh-CN"/>
              </w:rPr>
              <w:t>3</w:t>
            </w:r>
            <w:r>
              <w:rPr>
                <w:rFonts w:hint="eastAsia" w:ascii="Times New Roman" w:hAnsi="Times New Roman" w:eastAsia="宋体" w:cs="Times New Roman"/>
                <w:b w:val="0"/>
                <w:bCs w:val="0"/>
                <w:kern w:val="0"/>
                <w:sz w:val="24"/>
                <w:lang w:val="en-US" w:eastAsia="zh-CN"/>
              </w:rPr>
              <w:t>/h。考虑风量损失，本次取整为3000m</w:t>
            </w:r>
            <w:r>
              <w:rPr>
                <w:rFonts w:hint="eastAsia" w:ascii="Times New Roman" w:hAnsi="Times New Roman" w:eastAsia="宋体" w:cs="Times New Roman"/>
                <w:b w:val="0"/>
                <w:bCs w:val="0"/>
                <w:kern w:val="0"/>
                <w:sz w:val="24"/>
                <w:vertAlign w:val="superscript"/>
                <w:lang w:val="en-US" w:eastAsia="zh-CN"/>
              </w:rPr>
              <w:t>3</w:t>
            </w:r>
            <w:r>
              <w:rPr>
                <w:rFonts w:hint="eastAsia" w:ascii="Times New Roman" w:hAnsi="Times New Roman" w:eastAsia="宋体" w:cs="Times New Roman"/>
                <w:b w:val="0"/>
                <w:bCs w:val="0"/>
                <w:kern w:val="0"/>
                <w:sz w:val="24"/>
                <w:lang w:val="en-US" w:eastAsia="zh-CN"/>
              </w:rPr>
              <w:t>/h。</w:t>
            </w:r>
          </w:p>
          <w:p w14:paraId="79E82307">
            <w:pPr>
              <w:spacing w:line="360" w:lineRule="auto"/>
              <w:ind w:left="479" w:leftChars="228" w:firstLine="0" w:firstLineChars="0"/>
              <w:rPr>
                <w:rFonts w:hint="default" w:ascii="Times New Roman" w:hAnsi="Times New Roman" w:eastAsia="宋体" w:cs="Times New Roman"/>
                <w:b w:val="0"/>
                <w:bCs w:val="0"/>
                <w:kern w:val="0"/>
                <w:sz w:val="24"/>
                <w:lang w:val="en-US" w:eastAsia="zh-CN"/>
              </w:rPr>
            </w:pPr>
            <w:r>
              <w:rPr>
                <w:rFonts w:hint="eastAsia" w:ascii="Times New Roman" w:hAnsi="Times New Roman" w:eastAsia="宋体" w:cs="Times New Roman"/>
                <w:b w:val="0"/>
                <w:bCs w:val="0"/>
                <w:kern w:val="0"/>
                <w:sz w:val="24"/>
                <w:lang w:val="en-US" w:eastAsia="zh-CN"/>
              </w:rPr>
              <w:t>（3）擦拭</w:t>
            </w:r>
            <w:r>
              <w:rPr>
                <w:rFonts w:hint="default" w:ascii="Times New Roman" w:hAnsi="Times New Roman" w:eastAsia="宋体" w:cs="Times New Roman"/>
                <w:b w:val="0"/>
                <w:bCs w:val="0"/>
                <w:kern w:val="0"/>
                <w:sz w:val="24"/>
                <w:lang w:val="en-US" w:eastAsia="zh-CN"/>
              </w:rPr>
              <w:t>废气</w:t>
            </w:r>
          </w:p>
          <w:p w14:paraId="64ADCC26">
            <w:pPr>
              <w:spacing w:line="360" w:lineRule="auto"/>
              <w:ind w:firstLine="480" w:firstLineChars="200"/>
              <w:rPr>
                <w:rFonts w:hint="default" w:ascii="Times New Roman" w:hAnsi="Times New Roman" w:eastAsia="黑体" w:cs="Times New Roman"/>
                <w:bCs/>
                <w:sz w:val="21"/>
                <w:szCs w:val="21"/>
              </w:rPr>
            </w:pPr>
            <w:r>
              <w:rPr>
                <w:rFonts w:hint="eastAsia" w:ascii="Times New Roman" w:hAnsi="Times New Roman" w:eastAsia="宋体" w:cs="Times New Roman"/>
                <w:b w:val="0"/>
                <w:bCs w:val="0"/>
                <w:kern w:val="0"/>
                <w:sz w:val="24"/>
                <w:lang w:val="en-US" w:eastAsia="zh-CN"/>
              </w:rPr>
              <w:t>焊接后的电路板上有残留助焊剂和污物，需要用用无水乙醇来进行人工擦拭，乙醇</w:t>
            </w:r>
            <w:r>
              <w:rPr>
                <w:rFonts w:hint="default" w:ascii="Times New Roman" w:hAnsi="Times New Roman" w:eastAsia="宋体" w:cs="Times New Roman"/>
                <w:b w:val="0"/>
                <w:bCs w:val="0"/>
                <w:kern w:val="0"/>
                <w:sz w:val="24"/>
                <w:lang w:val="en-US" w:eastAsia="zh-CN"/>
              </w:rPr>
              <w:t>挥发产生有机废气</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以非甲烷总烃计</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w:t>
            </w:r>
            <w:r>
              <w:rPr>
                <w:rFonts w:hint="eastAsia" w:ascii="Times New Roman" w:hAnsi="Times New Roman" w:eastAsia="宋体" w:cs="Times New Roman"/>
                <w:b w:val="0"/>
                <w:bCs w:val="0"/>
                <w:kern w:val="0"/>
                <w:sz w:val="24"/>
                <w:lang w:val="en-US" w:eastAsia="zh-CN"/>
              </w:rPr>
              <w:t>无水乙醇</w:t>
            </w:r>
            <w:r>
              <w:rPr>
                <w:rFonts w:hint="default" w:ascii="Times New Roman" w:hAnsi="Times New Roman" w:eastAsia="宋体" w:cs="Times New Roman"/>
                <w:b w:val="0"/>
                <w:bCs w:val="0"/>
                <w:kern w:val="0"/>
                <w:sz w:val="24"/>
                <w:lang w:val="en-US" w:eastAsia="zh-CN"/>
              </w:rPr>
              <w:t>使用量为0.0</w:t>
            </w:r>
            <w:r>
              <w:rPr>
                <w:rFonts w:hint="eastAsia" w:ascii="Times New Roman" w:hAnsi="Times New Roman" w:eastAsia="宋体" w:cs="Times New Roman"/>
                <w:b w:val="0"/>
                <w:bCs w:val="0"/>
                <w:kern w:val="0"/>
                <w:sz w:val="24"/>
                <w:lang w:val="en-US" w:eastAsia="zh-CN"/>
              </w:rPr>
              <w:t>1</w:t>
            </w:r>
            <w:r>
              <w:rPr>
                <w:rFonts w:hint="default" w:ascii="Times New Roman" w:hAnsi="Times New Roman" w:eastAsia="宋体" w:cs="Times New Roman"/>
                <w:b w:val="0"/>
                <w:bCs w:val="0"/>
                <w:kern w:val="0"/>
                <w:sz w:val="24"/>
                <w:lang w:val="en-US" w:eastAsia="zh-CN"/>
              </w:rPr>
              <w:t>t</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a，</w:t>
            </w:r>
            <w:r>
              <w:rPr>
                <w:rFonts w:hint="eastAsia" w:ascii="Times New Roman" w:hAnsi="Times New Roman" w:eastAsia="宋体" w:cs="Times New Roman"/>
                <w:b w:val="0"/>
                <w:bCs w:val="0"/>
                <w:kern w:val="0"/>
                <w:sz w:val="24"/>
                <w:lang w:val="en-US" w:eastAsia="zh-CN"/>
              </w:rPr>
              <w:t>本次评价以最大比例计，即有机成分全部挥发估算，</w:t>
            </w:r>
            <w:r>
              <w:rPr>
                <w:rFonts w:hint="default" w:ascii="Times New Roman" w:hAnsi="Times New Roman" w:eastAsia="宋体" w:cs="Times New Roman"/>
                <w:b w:val="0"/>
                <w:bCs w:val="0"/>
                <w:kern w:val="0"/>
                <w:sz w:val="24"/>
                <w:lang w:val="en-US" w:eastAsia="zh-CN"/>
              </w:rPr>
              <w:t>则非甲烷总烃的产生量为</w:t>
            </w:r>
            <w:r>
              <w:rPr>
                <w:rFonts w:hint="eastAsia" w:ascii="Times New Roman" w:hAnsi="Times New Roman" w:eastAsia="宋体" w:cs="Times New Roman"/>
                <w:b w:val="0"/>
                <w:bCs w:val="0"/>
                <w:kern w:val="0"/>
                <w:sz w:val="24"/>
                <w:lang w:val="en-US" w:eastAsia="zh-CN"/>
              </w:rPr>
              <w:t>10kg/</w:t>
            </w:r>
            <w:r>
              <w:rPr>
                <w:rFonts w:hint="default" w:ascii="Times New Roman" w:hAnsi="Times New Roman" w:eastAsia="宋体" w:cs="Times New Roman"/>
                <w:b w:val="0"/>
                <w:bCs w:val="0"/>
                <w:kern w:val="0"/>
                <w:sz w:val="24"/>
                <w:lang w:val="en-US" w:eastAsia="zh-CN"/>
              </w:rPr>
              <w:t>a</w:t>
            </w:r>
            <w:r>
              <w:rPr>
                <w:rFonts w:hint="eastAsia" w:ascii="Times New Roman" w:hAnsi="Times New Roman" w:eastAsia="宋体" w:cs="Times New Roman"/>
                <w:b w:val="0"/>
                <w:bCs w:val="0"/>
                <w:kern w:val="0"/>
                <w:sz w:val="24"/>
                <w:lang w:val="en-US" w:eastAsia="zh-CN"/>
              </w:rPr>
              <w:t>。本项目擦拭工序和手工焊接工序在同一工位进行，擦拭废气和手工焊接废气采用同一套集气罩收集，</w:t>
            </w:r>
            <w:r>
              <w:rPr>
                <w:rFonts w:hint="default" w:ascii="Times New Roman" w:hAnsi="Times New Roman" w:eastAsia="宋体" w:cs="Times New Roman"/>
                <w:b w:val="0"/>
                <w:bCs w:val="0"/>
                <w:kern w:val="0"/>
                <w:sz w:val="24"/>
                <w:lang w:val="en-US" w:eastAsia="zh-CN"/>
              </w:rPr>
              <w:t>配套风机风量为</w:t>
            </w:r>
            <w:r>
              <w:rPr>
                <w:rFonts w:hint="eastAsia" w:ascii="Times New Roman" w:hAnsi="Times New Roman" w:eastAsia="宋体" w:cs="Times New Roman"/>
                <w:b w:val="0"/>
                <w:bCs w:val="0"/>
                <w:kern w:val="0"/>
                <w:sz w:val="24"/>
                <w:lang w:val="en-US" w:eastAsia="zh-CN"/>
              </w:rPr>
              <w:t>3000</w:t>
            </w:r>
            <w:r>
              <w:rPr>
                <w:rFonts w:hint="default" w:ascii="Times New Roman" w:hAnsi="Times New Roman" w:eastAsia="宋体" w:cs="Times New Roman"/>
                <w:b w:val="0"/>
                <w:bCs w:val="0"/>
                <w:kern w:val="0"/>
                <w:sz w:val="24"/>
                <w:lang w:val="en-US" w:eastAsia="zh-CN"/>
              </w:rPr>
              <w:t>m</w:t>
            </w:r>
            <w:r>
              <w:rPr>
                <w:rFonts w:hint="eastAsia" w:ascii="Times New Roman" w:hAnsi="Times New Roman" w:eastAsia="宋体" w:cs="Times New Roman"/>
                <w:b w:val="0"/>
                <w:bCs w:val="0"/>
                <w:kern w:val="0"/>
                <w:sz w:val="24"/>
                <w:vertAlign w:val="superscript"/>
                <w:lang w:val="en-US" w:eastAsia="zh-CN"/>
              </w:rPr>
              <w:t>3</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h</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收集效率以9</w:t>
            </w:r>
            <w:r>
              <w:rPr>
                <w:rFonts w:hint="eastAsia" w:ascii="Times New Roman" w:hAnsi="Times New Roman" w:eastAsia="宋体" w:cs="Times New Roman"/>
                <w:b w:val="0"/>
                <w:bCs w:val="0"/>
                <w:kern w:val="0"/>
                <w:sz w:val="24"/>
                <w:lang w:val="en-US" w:eastAsia="zh-CN"/>
              </w:rPr>
              <w:t>0</w:t>
            </w:r>
            <w:r>
              <w:rPr>
                <w:rFonts w:hint="default" w:ascii="Times New Roman" w:hAnsi="Times New Roman" w:eastAsia="宋体" w:cs="Times New Roman"/>
                <w:b w:val="0"/>
                <w:bCs w:val="0"/>
                <w:kern w:val="0"/>
                <w:sz w:val="24"/>
                <w:lang w:val="en-US" w:eastAsia="zh-CN"/>
              </w:rPr>
              <w:t>%计</w:t>
            </w:r>
            <w:r>
              <w:rPr>
                <w:rFonts w:hint="eastAsia" w:ascii="Times New Roman" w:hAnsi="Times New Roman" w:eastAsia="宋体" w:cs="Times New Roman"/>
                <w:b w:val="0"/>
                <w:bCs w:val="0"/>
                <w:kern w:val="0"/>
                <w:sz w:val="24"/>
                <w:lang w:val="en-US" w:eastAsia="zh-CN"/>
              </w:rPr>
              <w:t>（参考《主要污染物总量减排核算技术指南（2022年修订）》中表2-3，密闭空间负压废气收集率90%）</w:t>
            </w:r>
            <w:r>
              <w:rPr>
                <w:rFonts w:hint="default" w:ascii="Times New Roman" w:hAnsi="Times New Roman" w:eastAsia="宋体" w:cs="Times New Roman"/>
                <w:b w:val="0"/>
                <w:bCs w:val="0"/>
                <w:kern w:val="0"/>
                <w:sz w:val="24"/>
                <w:lang w:val="en-US" w:eastAsia="zh-CN"/>
              </w:rPr>
              <w:t>，年工作</w:t>
            </w:r>
            <w:r>
              <w:rPr>
                <w:rFonts w:hint="eastAsia" w:ascii="Times New Roman" w:hAnsi="Times New Roman" w:eastAsia="宋体" w:cs="Times New Roman"/>
                <w:b w:val="0"/>
                <w:bCs w:val="0"/>
                <w:kern w:val="0"/>
                <w:sz w:val="24"/>
                <w:lang w:val="en-US" w:eastAsia="zh-CN"/>
              </w:rPr>
              <w:t>2400</w:t>
            </w:r>
            <w:r>
              <w:rPr>
                <w:rFonts w:hint="default" w:ascii="Times New Roman" w:hAnsi="Times New Roman" w:eastAsia="宋体" w:cs="Times New Roman"/>
                <w:b w:val="0"/>
                <w:bCs w:val="0"/>
                <w:kern w:val="0"/>
                <w:sz w:val="24"/>
                <w:lang w:val="en-US" w:eastAsia="zh-CN"/>
              </w:rPr>
              <w:t>h，</w:t>
            </w:r>
            <w:r>
              <w:rPr>
                <w:rFonts w:hint="eastAsia" w:ascii="Times New Roman" w:hAnsi="Times New Roman" w:eastAsia="宋体" w:cs="Times New Roman"/>
                <w:b w:val="0"/>
                <w:bCs w:val="0"/>
                <w:kern w:val="0"/>
                <w:sz w:val="24"/>
                <w:lang w:val="en-US" w:eastAsia="zh-CN"/>
              </w:rPr>
              <w:t>废气经集气罩收集后经“滤筒除尘器+二级活性炭吸附”装置处理后通过1根23m高排气筒（DA001）排放</w:t>
            </w:r>
            <w:r>
              <w:rPr>
                <w:rFonts w:hint="default" w:ascii="Times New Roman" w:hAnsi="Times New Roman" w:eastAsia="宋体" w:cs="Times New Roman"/>
                <w:b w:val="0"/>
                <w:bCs w:val="0"/>
                <w:kern w:val="0"/>
                <w:sz w:val="24"/>
                <w:lang w:val="en-US" w:eastAsia="zh-CN"/>
              </w:rPr>
              <w:t>，非甲烷总烃处理效率以90%计</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则</w:t>
            </w:r>
            <w:r>
              <w:rPr>
                <w:rFonts w:hint="eastAsia" w:ascii="Times New Roman" w:hAnsi="Times New Roman" w:eastAsia="宋体" w:cs="Times New Roman"/>
                <w:b w:val="0"/>
                <w:bCs w:val="0"/>
                <w:kern w:val="0"/>
                <w:sz w:val="24"/>
                <w:lang w:val="en-US" w:eastAsia="zh-CN"/>
              </w:rPr>
              <w:t>非甲烷总烃</w:t>
            </w:r>
            <w:r>
              <w:rPr>
                <w:rFonts w:hint="default" w:ascii="Times New Roman" w:hAnsi="Times New Roman" w:eastAsia="宋体" w:cs="Times New Roman"/>
                <w:b w:val="0"/>
                <w:bCs w:val="0"/>
                <w:kern w:val="0"/>
                <w:sz w:val="24"/>
                <w:lang w:val="en-US" w:eastAsia="zh-CN"/>
              </w:rPr>
              <w:t>有组织产生量为</w:t>
            </w:r>
            <w:r>
              <w:rPr>
                <w:rFonts w:hint="eastAsia" w:ascii="Times New Roman" w:hAnsi="Times New Roman" w:eastAsia="宋体" w:cs="Times New Roman"/>
                <w:b w:val="0"/>
                <w:bCs w:val="0"/>
                <w:kern w:val="0"/>
                <w:sz w:val="24"/>
                <w:lang w:val="en-US" w:eastAsia="zh-CN"/>
              </w:rPr>
              <w:t>9kg/</w:t>
            </w:r>
            <w:r>
              <w:rPr>
                <w:rFonts w:hint="default" w:ascii="Times New Roman" w:hAnsi="Times New Roman" w:eastAsia="宋体" w:cs="Times New Roman"/>
                <w:b w:val="0"/>
                <w:bCs w:val="0"/>
                <w:kern w:val="0"/>
                <w:sz w:val="24"/>
                <w:lang w:val="en-US" w:eastAsia="zh-CN"/>
              </w:rPr>
              <w:t>a，产生速率</w:t>
            </w:r>
            <w:r>
              <w:rPr>
                <w:rFonts w:hint="eastAsia" w:ascii="Times New Roman" w:hAnsi="Times New Roman" w:eastAsia="宋体" w:cs="Times New Roman"/>
                <w:b w:val="0"/>
                <w:bCs w:val="0"/>
                <w:kern w:val="0"/>
                <w:sz w:val="24"/>
                <w:lang w:val="en-US" w:eastAsia="zh-CN"/>
              </w:rPr>
              <w:t>3.75</w:t>
            </w:r>
            <w:r>
              <w:rPr>
                <w:rFonts w:hint="default" w:ascii="Times New Roman" w:hAnsi="Times New Roman" w:eastAsia="宋体" w:cs="Times New Roman"/>
                <w:b w:val="0"/>
                <w:bCs w:val="0"/>
                <w:kern w:val="0"/>
                <w:sz w:val="24"/>
                <w:lang w:val="en-US" w:eastAsia="zh-CN"/>
              </w:rPr>
              <w:t>g</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h，产生浓度</w:t>
            </w:r>
            <w:r>
              <w:rPr>
                <w:rFonts w:hint="eastAsia" w:ascii="Times New Roman" w:hAnsi="Times New Roman" w:eastAsia="宋体" w:cs="Times New Roman"/>
                <w:b w:val="0"/>
                <w:bCs w:val="0"/>
                <w:kern w:val="0"/>
                <w:sz w:val="24"/>
                <w:lang w:val="en-US" w:eastAsia="zh-CN"/>
              </w:rPr>
              <w:t>1.25</w:t>
            </w:r>
            <w:r>
              <w:rPr>
                <w:rFonts w:hint="default" w:ascii="Times New Roman" w:hAnsi="Times New Roman" w:eastAsia="宋体" w:cs="Times New Roman"/>
                <w:b w:val="0"/>
                <w:bCs w:val="0"/>
                <w:kern w:val="0"/>
                <w:sz w:val="24"/>
                <w:lang w:val="en-US" w:eastAsia="zh-CN"/>
              </w:rPr>
              <w:t>mg/m</w:t>
            </w:r>
            <w:r>
              <w:rPr>
                <w:rFonts w:hint="eastAsia" w:ascii="Times New Roman" w:hAnsi="Times New Roman" w:eastAsia="宋体" w:cs="Times New Roman"/>
                <w:b w:val="0"/>
                <w:bCs w:val="0"/>
                <w:kern w:val="0"/>
                <w:sz w:val="24"/>
                <w:vertAlign w:val="superscript"/>
                <w:lang w:val="en-US" w:eastAsia="zh-CN"/>
              </w:rPr>
              <w:t>3</w:t>
            </w:r>
            <w:r>
              <w:rPr>
                <w:rFonts w:hint="default" w:ascii="Times New Roman" w:hAnsi="Times New Roman" w:eastAsia="宋体" w:cs="Times New Roman"/>
                <w:b w:val="0"/>
                <w:bCs w:val="0"/>
                <w:kern w:val="0"/>
                <w:sz w:val="24"/>
                <w:lang w:val="en-US" w:eastAsia="zh-CN"/>
              </w:rPr>
              <w:t>。</w:t>
            </w:r>
            <w:r>
              <w:rPr>
                <w:rFonts w:hint="eastAsia" w:ascii="Times New Roman" w:hAnsi="Times New Roman" w:eastAsia="宋体" w:cs="Times New Roman"/>
                <w:b w:val="0"/>
                <w:bCs w:val="0"/>
                <w:kern w:val="0"/>
                <w:sz w:val="24"/>
                <w:lang w:val="en-US" w:eastAsia="zh-CN"/>
              </w:rPr>
              <w:t>非甲烷总烃无</w:t>
            </w:r>
            <w:r>
              <w:rPr>
                <w:rFonts w:hint="default" w:ascii="Times New Roman" w:hAnsi="Times New Roman" w:eastAsia="宋体" w:cs="Times New Roman"/>
                <w:b w:val="0"/>
                <w:bCs w:val="0"/>
                <w:kern w:val="0"/>
                <w:sz w:val="24"/>
                <w:lang w:val="en-US" w:eastAsia="zh-CN"/>
              </w:rPr>
              <w:t>组织产生量为</w:t>
            </w:r>
            <w:r>
              <w:rPr>
                <w:rFonts w:hint="eastAsia" w:ascii="Times New Roman" w:hAnsi="Times New Roman" w:eastAsia="宋体" w:cs="Times New Roman"/>
                <w:b w:val="0"/>
                <w:bCs w:val="0"/>
                <w:kern w:val="0"/>
                <w:sz w:val="24"/>
                <w:lang w:val="en-US" w:eastAsia="zh-CN"/>
              </w:rPr>
              <w:t>1kg/</w:t>
            </w:r>
            <w:r>
              <w:rPr>
                <w:rFonts w:hint="default" w:ascii="Times New Roman" w:hAnsi="Times New Roman" w:eastAsia="宋体" w:cs="Times New Roman"/>
                <w:b w:val="0"/>
                <w:bCs w:val="0"/>
                <w:kern w:val="0"/>
                <w:sz w:val="24"/>
                <w:lang w:val="en-US" w:eastAsia="zh-CN"/>
              </w:rPr>
              <w:t>a，产生速率</w:t>
            </w:r>
            <w:r>
              <w:rPr>
                <w:rFonts w:hint="eastAsia" w:ascii="Times New Roman" w:hAnsi="Times New Roman" w:eastAsia="宋体" w:cs="Times New Roman"/>
                <w:b w:val="0"/>
                <w:bCs w:val="0"/>
                <w:kern w:val="0"/>
                <w:sz w:val="24"/>
                <w:lang w:val="en-US" w:eastAsia="zh-CN"/>
              </w:rPr>
              <w:t>0.42</w:t>
            </w:r>
            <w:r>
              <w:rPr>
                <w:rFonts w:hint="default" w:ascii="Times New Roman" w:hAnsi="Times New Roman" w:eastAsia="宋体" w:cs="Times New Roman"/>
                <w:b w:val="0"/>
                <w:bCs w:val="0"/>
                <w:kern w:val="0"/>
                <w:sz w:val="24"/>
                <w:lang w:val="en-US" w:eastAsia="zh-CN"/>
              </w:rPr>
              <w:t>g</w:t>
            </w:r>
            <w:r>
              <w:rPr>
                <w:rFonts w:hint="eastAsia" w:ascii="Times New Roman" w:hAnsi="Times New Roman" w:eastAsia="宋体" w:cs="Times New Roman"/>
                <w:b w:val="0"/>
                <w:bCs w:val="0"/>
                <w:kern w:val="0"/>
                <w:sz w:val="24"/>
                <w:lang w:val="en-US" w:eastAsia="zh-CN"/>
              </w:rPr>
              <w:t>/</w:t>
            </w:r>
            <w:r>
              <w:rPr>
                <w:rFonts w:hint="default" w:ascii="Times New Roman" w:hAnsi="Times New Roman" w:eastAsia="宋体" w:cs="Times New Roman"/>
                <w:b w:val="0"/>
                <w:bCs w:val="0"/>
                <w:kern w:val="0"/>
                <w:sz w:val="24"/>
                <w:lang w:val="en-US" w:eastAsia="zh-CN"/>
              </w:rPr>
              <w:t>h。</w:t>
            </w:r>
          </w:p>
          <w:p w14:paraId="5E8EA69E">
            <w:pPr>
              <w:numPr>
                <w:ilvl w:val="0"/>
                <w:numId w:val="0"/>
              </w:numPr>
              <w:spacing w:line="360" w:lineRule="auto"/>
              <w:ind w:firstLine="480" w:firstLineChars="200"/>
              <w:rPr>
                <w:rFonts w:hint="default" w:ascii="Times New Roman" w:hAnsi="Times New Roman" w:eastAsia="宋体" w:cs="Times New Roman"/>
                <w:b w:val="0"/>
                <w:bCs w:val="0"/>
                <w:kern w:val="0"/>
                <w:sz w:val="24"/>
                <w:highlight w:val="yellow"/>
                <w:lang w:val="en-US" w:eastAsia="zh-CN"/>
              </w:rPr>
            </w:pPr>
            <w:r>
              <w:rPr>
                <w:rFonts w:hint="default" w:ascii="Times New Roman" w:hAnsi="Times New Roman" w:eastAsia="宋体" w:cs="Times New Roman"/>
                <w:b w:val="0"/>
                <w:bCs w:val="0"/>
                <w:kern w:val="0"/>
                <w:sz w:val="24"/>
                <w:highlight w:val="none"/>
                <w:lang w:val="en-US" w:eastAsia="zh-CN"/>
              </w:rPr>
              <w:t>本项目废气产排情况见下表。</w:t>
            </w:r>
          </w:p>
          <w:p w14:paraId="3C5E70FA">
            <w:pPr>
              <w:spacing w:line="360" w:lineRule="auto"/>
              <w:ind w:firstLine="480" w:firstLineChars="200"/>
              <w:jc w:val="both"/>
              <w:rPr>
                <w:rFonts w:hint="eastAsia" w:ascii="Times New Roman" w:hAnsi="Times New Roman" w:cs="Times New Roman"/>
                <w:sz w:val="24"/>
                <w:lang w:eastAsia="zh-CN"/>
              </w:rPr>
            </w:pPr>
          </w:p>
          <w:p w14:paraId="70F8BBE9">
            <w:pPr>
              <w:spacing w:line="360" w:lineRule="auto"/>
              <w:ind w:firstLine="480" w:firstLineChars="200"/>
              <w:jc w:val="both"/>
              <w:rPr>
                <w:rFonts w:hint="eastAsia" w:ascii="Times New Roman" w:hAnsi="Times New Roman" w:cs="Times New Roman"/>
                <w:sz w:val="24"/>
                <w:lang w:eastAsia="zh-CN"/>
              </w:rPr>
            </w:pPr>
          </w:p>
          <w:p w14:paraId="7A6BC24A">
            <w:pPr>
              <w:spacing w:line="360" w:lineRule="auto"/>
              <w:ind w:firstLine="480" w:firstLineChars="200"/>
              <w:jc w:val="both"/>
              <w:rPr>
                <w:rFonts w:hint="eastAsia" w:ascii="Times New Roman" w:hAnsi="Times New Roman" w:cs="Times New Roman"/>
                <w:sz w:val="24"/>
                <w:lang w:eastAsia="zh-CN"/>
              </w:rPr>
            </w:pPr>
          </w:p>
          <w:p w14:paraId="1E4DAFD1">
            <w:pPr>
              <w:spacing w:line="360" w:lineRule="auto"/>
              <w:ind w:firstLine="480" w:firstLineChars="200"/>
              <w:jc w:val="both"/>
              <w:rPr>
                <w:rFonts w:hint="eastAsia" w:ascii="Times New Roman" w:hAnsi="Times New Roman" w:cs="Times New Roman"/>
                <w:sz w:val="24"/>
                <w:lang w:eastAsia="zh-CN"/>
              </w:rPr>
            </w:pPr>
          </w:p>
          <w:p w14:paraId="61F509C6">
            <w:pPr>
              <w:spacing w:line="360" w:lineRule="auto"/>
              <w:ind w:firstLine="480" w:firstLineChars="200"/>
              <w:jc w:val="both"/>
              <w:rPr>
                <w:rFonts w:hint="eastAsia" w:ascii="Times New Roman" w:hAnsi="Times New Roman" w:cs="Times New Roman"/>
                <w:sz w:val="24"/>
                <w:lang w:eastAsia="zh-CN"/>
              </w:rPr>
            </w:pPr>
          </w:p>
          <w:p w14:paraId="06381BA5">
            <w:pPr>
              <w:spacing w:line="360" w:lineRule="auto"/>
              <w:ind w:firstLine="480" w:firstLineChars="200"/>
              <w:jc w:val="both"/>
              <w:rPr>
                <w:rFonts w:hint="eastAsia" w:ascii="Times New Roman" w:hAnsi="Times New Roman" w:cs="Times New Roman"/>
                <w:sz w:val="24"/>
                <w:lang w:eastAsia="zh-CN"/>
              </w:rPr>
            </w:pPr>
          </w:p>
          <w:p w14:paraId="5C13076A">
            <w:pPr>
              <w:spacing w:line="360" w:lineRule="auto"/>
              <w:jc w:val="both"/>
              <w:rPr>
                <w:rFonts w:hint="eastAsia" w:ascii="Times New Roman" w:hAnsi="Times New Roman" w:cs="Times New Roman"/>
                <w:sz w:val="24"/>
                <w:lang w:eastAsia="zh-CN"/>
              </w:rPr>
            </w:pPr>
          </w:p>
          <w:p w14:paraId="3A15CD43">
            <w:pPr>
              <w:spacing w:line="360" w:lineRule="auto"/>
              <w:jc w:val="both"/>
              <w:rPr>
                <w:rFonts w:hint="eastAsia" w:ascii="Times New Roman" w:hAnsi="Times New Roman" w:cs="Times New Roman"/>
                <w:sz w:val="24"/>
                <w:lang w:eastAsia="zh-CN"/>
              </w:rPr>
            </w:pPr>
          </w:p>
          <w:p w14:paraId="32EA3BCD">
            <w:pPr>
              <w:spacing w:line="360" w:lineRule="auto"/>
              <w:jc w:val="both"/>
              <w:rPr>
                <w:rFonts w:hint="eastAsia" w:ascii="Times New Roman" w:hAnsi="Times New Roman" w:cs="Times New Roman"/>
                <w:sz w:val="24"/>
                <w:lang w:eastAsia="zh-CN"/>
              </w:rPr>
            </w:pPr>
          </w:p>
          <w:p w14:paraId="4B347A97">
            <w:pPr>
              <w:spacing w:line="360" w:lineRule="auto"/>
              <w:jc w:val="both"/>
              <w:rPr>
                <w:rFonts w:hint="eastAsia" w:ascii="Times New Roman" w:hAnsi="Times New Roman" w:cs="Times New Roman"/>
                <w:sz w:val="24"/>
                <w:lang w:eastAsia="zh-CN"/>
              </w:rPr>
            </w:pPr>
          </w:p>
          <w:p w14:paraId="2E47342B">
            <w:pPr>
              <w:spacing w:line="360" w:lineRule="auto"/>
              <w:jc w:val="both"/>
              <w:rPr>
                <w:rFonts w:hint="eastAsia" w:ascii="Times New Roman" w:hAnsi="Times New Roman" w:cs="Times New Roman"/>
                <w:sz w:val="24"/>
                <w:lang w:eastAsia="zh-CN"/>
              </w:rPr>
            </w:pPr>
          </w:p>
          <w:p w14:paraId="5777B247">
            <w:pPr>
              <w:spacing w:line="360" w:lineRule="auto"/>
              <w:jc w:val="both"/>
              <w:rPr>
                <w:rFonts w:hint="eastAsia" w:ascii="Times New Roman" w:hAnsi="Times New Roman" w:cs="Times New Roman"/>
                <w:sz w:val="24"/>
                <w:lang w:eastAsia="zh-CN"/>
              </w:rPr>
            </w:pPr>
          </w:p>
          <w:p w14:paraId="0FEE5D10">
            <w:pPr>
              <w:spacing w:line="360" w:lineRule="auto"/>
              <w:jc w:val="both"/>
              <w:rPr>
                <w:rFonts w:hint="eastAsia" w:ascii="Times New Roman" w:hAnsi="Times New Roman" w:cs="Times New Roman"/>
                <w:sz w:val="24"/>
                <w:lang w:eastAsia="zh-CN"/>
              </w:rPr>
            </w:pPr>
          </w:p>
          <w:p w14:paraId="50E97FF1">
            <w:pPr>
              <w:spacing w:line="360" w:lineRule="auto"/>
              <w:jc w:val="both"/>
              <w:rPr>
                <w:rFonts w:hint="eastAsia" w:ascii="Times New Roman" w:hAnsi="Times New Roman" w:cs="Times New Roman"/>
                <w:sz w:val="24"/>
                <w:lang w:eastAsia="zh-CN"/>
              </w:rPr>
            </w:pPr>
          </w:p>
          <w:p w14:paraId="53C1522E">
            <w:pPr>
              <w:spacing w:line="360" w:lineRule="auto"/>
              <w:jc w:val="both"/>
              <w:rPr>
                <w:rFonts w:hint="eastAsia" w:ascii="Times New Roman" w:hAnsi="Times New Roman" w:cs="Times New Roman"/>
                <w:sz w:val="24"/>
                <w:lang w:eastAsia="zh-CN"/>
              </w:rPr>
            </w:pPr>
          </w:p>
          <w:p w14:paraId="63C2D890">
            <w:pPr>
              <w:spacing w:line="360" w:lineRule="auto"/>
              <w:jc w:val="both"/>
              <w:rPr>
                <w:rFonts w:hint="eastAsia" w:ascii="Times New Roman" w:hAnsi="Times New Roman" w:cs="Times New Roman"/>
                <w:sz w:val="24"/>
                <w:lang w:eastAsia="zh-CN"/>
              </w:rPr>
            </w:pPr>
          </w:p>
          <w:p w14:paraId="10E43CBE">
            <w:pPr>
              <w:spacing w:line="360" w:lineRule="auto"/>
              <w:jc w:val="both"/>
              <w:rPr>
                <w:rFonts w:hint="eastAsia" w:ascii="Times New Roman" w:hAnsi="Times New Roman" w:cs="Times New Roman"/>
                <w:sz w:val="24"/>
                <w:lang w:eastAsia="zh-CN"/>
              </w:rPr>
            </w:pPr>
          </w:p>
          <w:p w14:paraId="361EF179">
            <w:pPr>
              <w:spacing w:line="360" w:lineRule="auto"/>
              <w:jc w:val="both"/>
              <w:rPr>
                <w:rFonts w:hint="eastAsia" w:ascii="Times New Roman" w:hAnsi="Times New Roman" w:cs="Times New Roman"/>
                <w:sz w:val="24"/>
                <w:lang w:eastAsia="zh-CN"/>
              </w:rPr>
            </w:pPr>
          </w:p>
          <w:p w14:paraId="0F5CA454">
            <w:pPr>
              <w:spacing w:line="360" w:lineRule="auto"/>
              <w:jc w:val="both"/>
              <w:rPr>
                <w:rFonts w:hint="eastAsia" w:ascii="Times New Roman" w:hAnsi="Times New Roman" w:cs="Times New Roman" w:eastAsiaTheme="minorEastAsia"/>
                <w:sz w:val="24"/>
                <w:lang w:eastAsia="zh-CN"/>
              </w:rPr>
            </w:pPr>
          </w:p>
        </w:tc>
      </w:tr>
    </w:tbl>
    <w:p w14:paraId="315D7370">
      <w:pPr>
        <w:pStyle w:val="14"/>
        <w:sectPr>
          <w:pgSz w:w="11906" w:h="16838"/>
          <w:pgMar w:top="1417" w:right="1417" w:bottom="1417" w:left="1417" w:header="851" w:footer="992" w:gutter="0"/>
          <w:pgNumType w:fmt="decimal"/>
          <w:cols w:space="425" w:num="1"/>
          <w:docGrid w:type="lines" w:linePitch="312" w:charSpace="0"/>
        </w:sect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4"/>
      </w:tblGrid>
      <w:tr w14:paraId="2CF76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8" w:hRule="atLeast"/>
        </w:trPr>
        <w:tc>
          <w:tcPr>
            <w:tcW w:w="14174" w:type="dxa"/>
          </w:tcPr>
          <w:p w14:paraId="22524322">
            <w:pPr>
              <w:keepNext w:val="0"/>
              <w:keepLines w:val="0"/>
              <w:pageBreakBefore w:val="0"/>
              <w:widowControl w:val="0"/>
              <w:kinsoku/>
              <w:wordWrap/>
              <w:overflowPunct/>
              <w:topLinePunct w:val="0"/>
              <w:autoSpaceDE/>
              <w:autoSpaceDN/>
              <w:bidi w:val="0"/>
              <w:adjustRightInd w:val="0"/>
              <w:snapToGrid/>
              <w:spacing w:line="360" w:lineRule="auto"/>
              <w:jc w:val="center"/>
              <w:textAlignment w:val="auto"/>
              <w:rPr>
                <w:rFonts w:hint="eastAsia" w:ascii="黑体" w:hAnsi="黑体" w:eastAsia="黑体" w:cs="黑体"/>
                <w:b w:val="0"/>
                <w:bCs w:val="0"/>
                <w:color w:val="auto"/>
                <w:kern w:val="0"/>
                <w:sz w:val="21"/>
                <w:szCs w:val="21"/>
              </w:rPr>
            </w:pPr>
            <w:r>
              <w:rPr>
                <w:rFonts w:hint="eastAsia" w:ascii="黑体" w:hAnsi="黑体" w:eastAsia="黑体" w:cs="黑体"/>
                <w:b w:val="0"/>
                <w:bCs w:val="0"/>
                <w:color w:val="auto"/>
                <w:kern w:val="0"/>
                <w:sz w:val="21"/>
                <w:szCs w:val="21"/>
              </w:rPr>
              <w:t>表</w:t>
            </w:r>
            <w:r>
              <w:rPr>
                <w:rFonts w:hint="default" w:ascii="Times New Roman" w:hAnsi="Times New Roman" w:eastAsia="黑体" w:cs="Times New Roman"/>
                <w:b w:val="0"/>
                <w:bCs w:val="0"/>
                <w:color w:val="auto"/>
                <w:kern w:val="0"/>
                <w:sz w:val="21"/>
                <w:szCs w:val="21"/>
              </w:rPr>
              <w:t xml:space="preserve">4-1 </w:t>
            </w:r>
            <w:r>
              <w:rPr>
                <w:rFonts w:hint="eastAsia" w:ascii="黑体" w:hAnsi="黑体" w:eastAsia="黑体" w:cs="黑体"/>
                <w:b w:val="0"/>
                <w:bCs w:val="0"/>
                <w:color w:val="auto"/>
                <w:kern w:val="0"/>
                <w:sz w:val="21"/>
                <w:szCs w:val="21"/>
              </w:rPr>
              <w:t>项目大气污染物有组织排放汇总一览表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833"/>
              <w:gridCol w:w="508"/>
              <w:gridCol w:w="740"/>
              <w:gridCol w:w="1108"/>
              <w:gridCol w:w="1005"/>
              <w:gridCol w:w="801"/>
              <w:gridCol w:w="424"/>
              <w:gridCol w:w="636"/>
              <w:gridCol w:w="608"/>
              <w:gridCol w:w="600"/>
              <w:gridCol w:w="650"/>
              <w:gridCol w:w="684"/>
              <w:gridCol w:w="803"/>
              <w:gridCol w:w="803"/>
              <w:gridCol w:w="782"/>
              <w:gridCol w:w="707"/>
              <w:gridCol w:w="783"/>
              <w:gridCol w:w="707"/>
              <w:gridCol w:w="758"/>
            </w:tblGrid>
            <w:tr w14:paraId="1C5772C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98" w:type="pct"/>
                  <w:vMerge w:val="restart"/>
                  <w:noWrap w:val="0"/>
                  <w:vAlign w:val="center"/>
                </w:tcPr>
                <w:p w14:paraId="318EA832">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排放源编号</w:t>
                  </w:r>
                </w:p>
              </w:tc>
              <w:tc>
                <w:tcPr>
                  <w:tcW w:w="182" w:type="pct"/>
                  <w:vMerge w:val="restart"/>
                  <w:noWrap w:val="0"/>
                  <w:vAlign w:val="center"/>
                </w:tcPr>
                <w:p w14:paraId="1A4B7725">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污染源</w:t>
                  </w:r>
                </w:p>
              </w:tc>
              <w:tc>
                <w:tcPr>
                  <w:tcW w:w="1310" w:type="pct"/>
                  <w:gridSpan w:val="4"/>
                  <w:noWrap w:val="0"/>
                  <w:vAlign w:val="center"/>
                </w:tcPr>
                <w:p w14:paraId="5803D9DC">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产生情况</w:t>
                  </w:r>
                </w:p>
              </w:tc>
              <w:tc>
                <w:tcPr>
                  <w:tcW w:w="1046" w:type="pct"/>
                  <w:gridSpan w:val="5"/>
                  <w:noWrap w:val="0"/>
                  <w:vAlign w:val="center"/>
                </w:tcPr>
                <w:p w14:paraId="16CE71DF">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治理设施</w:t>
                  </w:r>
                </w:p>
              </w:tc>
              <w:tc>
                <w:tcPr>
                  <w:tcW w:w="1101" w:type="pct"/>
                  <w:gridSpan w:val="4"/>
                  <w:noWrap w:val="0"/>
                  <w:vAlign w:val="center"/>
                </w:tcPr>
                <w:p w14:paraId="74B7FBAC">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排放情况</w:t>
                  </w:r>
                </w:p>
              </w:tc>
              <w:tc>
                <w:tcPr>
                  <w:tcW w:w="534" w:type="pct"/>
                  <w:gridSpan w:val="2"/>
                  <w:noWrap w:val="0"/>
                  <w:vAlign w:val="center"/>
                </w:tcPr>
                <w:p w14:paraId="2DF5D89C">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执行标准</w:t>
                  </w:r>
                </w:p>
              </w:tc>
              <w:tc>
                <w:tcPr>
                  <w:tcW w:w="253" w:type="pct"/>
                  <w:vMerge w:val="restart"/>
                  <w:noWrap w:val="0"/>
                  <w:vAlign w:val="center"/>
                </w:tcPr>
                <w:p w14:paraId="77BF85AF">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达标情况</w:t>
                  </w:r>
                </w:p>
              </w:tc>
              <w:tc>
                <w:tcPr>
                  <w:tcW w:w="271" w:type="pct"/>
                  <w:vMerge w:val="restart"/>
                  <w:noWrap w:val="0"/>
                  <w:vAlign w:val="center"/>
                </w:tcPr>
                <w:p w14:paraId="4FB79EED">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工作时间/h</w:t>
                  </w:r>
                </w:p>
              </w:tc>
            </w:tr>
            <w:tr w14:paraId="3573A5E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98" w:type="pct"/>
                  <w:vMerge w:val="continue"/>
                  <w:noWrap w:val="0"/>
                  <w:vAlign w:val="center"/>
                </w:tcPr>
                <w:p w14:paraId="510D3F04">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p>
              </w:tc>
              <w:tc>
                <w:tcPr>
                  <w:tcW w:w="182" w:type="pct"/>
                  <w:vMerge w:val="continue"/>
                  <w:noWrap w:val="0"/>
                  <w:vAlign w:val="center"/>
                </w:tcPr>
                <w:p w14:paraId="1E4E3039">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p>
              </w:tc>
              <w:tc>
                <w:tcPr>
                  <w:tcW w:w="265" w:type="pct"/>
                  <w:noWrap w:val="0"/>
                  <w:vAlign w:val="center"/>
                </w:tcPr>
                <w:p w14:paraId="372B166D">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污染物</w:t>
                  </w:r>
                </w:p>
              </w:tc>
              <w:tc>
                <w:tcPr>
                  <w:tcW w:w="397" w:type="pct"/>
                  <w:noWrap w:val="0"/>
                  <w:vAlign w:val="center"/>
                </w:tcPr>
                <w:p w14:paraId="653F8C75">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产生量</w:t>
                  </w:r>
                  <w:r>
                    <w:rPr>
                      <w:rFonts w:hint="eastAsia" w:ascii="Times New Roman" w:hAnsi="Times New Roman" w:eastAsia="宋体" w:cs="Times New Roman"/>
                      <w:color w:val="auto"/>
                      <w:sz w:val="21"/>
                      <w:szCs w:val="21"/>
                      <w:lang w:val="en-US" w:eastAsia="zh-CN"/>
                    </w:rPr>
                    <w:t>kg</w:t>
                  </w:r>
                  <w:r>
                    <w:rPr>
                      <w:rFonts w:hint="default" w:ascii="Times New Roman" w:hAnsi="Times New Roman" w:eastAsia="宋体" w:cs="Times New Roman"/>
                      <w:color w:val="auto"/>
                      <w:sz w:val="21"/>
                      <w:szCs w:val="21"/>
                    </w:rPr>
                    <w:t>/a</w:t>
                  </w:r>
                </w:p>
              </w:tc>
              <w:tc>
                <w:tcPr>
                  <w:tcW w:w="360" w:type="pct"/>
                  <w:noWrap w:val="0"/>
                  <w:vAlign w:val="center"/>
                </w:tcPr>
                <w:p w14:paraId="24B5964E">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速率g/h</w:t>
                  </w:r>
                </w:p>
              </w:tc>
              <w:tc>
                <w:tcPr>
                  <w:tcW w:w="287" w:type="pct"/>
                  <w:noWrap w:val="0"/>
                  <w:vAlign w:val="center"/>
                </w:tcPr>
                <w:p w14:paraId="72B715CB">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浓度mg/m</w:t>
                  </w:r>
                  <w:r>
                    <w:rPr>
                      <w:rFonts w:hint="default" w:ascii="Times New Roman" w:hAnsi="Times New Roman" w:eastAsia="宋体" w:cs="Times New Roman"/>
                      <w:color w:val="auto"/>
                      <w:sz w:val="21"/>
                      <w:szCs w:val="21"/>
                      <w:vertAlign w:val="superscript"/>
                    </w:rPr>
                    <w:t>3</w:t>
                  </w:r>
                </w:p>
              </w:tc>
              <w:tc>
                <w:tcPr>
                  <w:tcW w:w="152" w:type="pct"/>
                  <w:noWrap w:val="0"/>
                  <w:vAlign w:val="center"/>
                </w:tcPr>
                <w:p w14:paraId="226F5CD3">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治理工艺</w:t>
                  </w:r>
                </w:p>
              </w:tc>
              <w:tc>
                <w:tcPr>
                  <w:tcW w:w="228" w:type="pct"/>
                  <w:noWrap w:val="0"/>
                  <w:vAlign w:val="center"/>
                </w:tcPr>
                <w:p w14:paraId="4A5CA54B">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风机风量m</w:t>
                  </w:r>
                  <w:r>
                    <w:rPr>
                      <w:rFonts w:hint="eastAsia" w:ascii="Times New Roman" w:hAnsi="Times New Roman" w:eastAsia="宋体" w:cs="Times New Roman"/>
                      <w:color w:val="auto"/>
                      <w:sz w:val="21"/>
                      <w:szCs w:val="21"/>
                      <w:vertAlign w:val="superscript"/>
                      <w:lang w:val="en-US" w:eastAsia="zh-CN"/>
                    </w:rPr>
                    <w:t>3</w:t>
                  </w:r>
                  <w:r>
                    <w:rPr>
                      <w:rFonts w:hint="eastAsia" w:ascii="Times New Roman" w:hAnsi="Times New Roman" w:eastAsia="宋体" w:cs="Times New Roman"/>
                      <w:color w:val="auto"/>
                      <w:sz w:val="21"/>
                      <w:szCs w:val="21"/>
                      <w:lang w:val="en-US" w:eastAsia="zh-CN"/>
                    </w:rPr>
                    <w:t>/h</w:t>
                  </w:r>
                </w:p>
              </w:tc>
              <w:tc>
                <w:tcPr>
                  <w:tcW w:w="218" w:type="pct"/>
                  <w:noWrap w:val="0"/>
                  <w:vAlign w:val="center"/>
                </w:tcPr>
                <w:p w14:paraId="144E6CF2">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收集</w:t>
                  </w:r>
                </w:p>
                <w:p w14:paraId="15125CFA">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效率%</w:t>
                  </w:r>
                </w:p>
              </w:tc>
              <w:tc>
                <w:tcPr>
                  <w:tcW w:w="215" w:type="pct"/>
                  <w:shd w:val="clear" w:color="auto" w:fill="auto"/>
                  <w:noWrap w:val="0"/>
                  <w:vAlign w:val="center"/>
                </w:tcPr>
                <w:p w14:paraId="47B2FB45">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去除率%</w:t>
                  </w:r>
                </w:p>
              </w:tc>
              <w:tc>
                <w:tcPr>
                  <w:tcW w:w="233" w:type="pct"/>
                  <w:noWrap w:val="0"/>
                  <w:vAlign w:val="center"/>
                </w:tcPr>
                <w:p w14:paraId="2FA7CA60">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是否为可行技术</w:t>
                  </w:r>
                </w:p>
              </w:tc>
              <w:tc>
                <w:tcPr>
                  <w:tcW w:w="245" w:type="pct"/>
                  <w:noWrap w:val="0"/>
                  <w:vAlign w:val="center"/>
                </w:tcPr>
                <w:p w14:paraId="7B57C306">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污染物</w:t>
                  </w:r>
                </w:p>
              </w:tc>
              <w:tc>
                <w:tcPr>
                  <w:tcW w:w="288" w:type="pct"/>
                  <w:shd w:val="clear" w:color="auto" w:fill="auto"/>
                  <w:noWrap w:val="0"/>
                  <w:vAlign w:val="center"/>
                </w:tcPr>
                <w:p w14:paraId="4814FF95">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排放量</w:t>
                  </w:r>
                  <w:r>
                    <w:rPr>
                      <w:rFonts w:hint="eastAsia" w:ascii="Times New Roman" w:hAnsi="Times New Roman" w:eastAsia="宋体" w:cs="Times New Roman"/>
                      <w:color w:val="auto"/>
                      <w:sz w:val="21"/>
                      <w:szCs w:val="21"/>
                      <w:lang w:val="en-US" w:eastAsia="zh-CN"/>
                    </w:rPr>
                    <w:t>kg</w:t>
                  </w:r>
                  <w:r>
                    <w:rPr>
                      <w:rFonts w:hint="default" w:ascii="Times New Roman" w:hAnsi="Times New Roman" w:eastAsia="宋体" w:cs="Times New Roman"/>
                      <w:color w:val="auto"/>
                      <w:sz w:val="21"/>
                      <w:szCs w:val="21"/>
                    </w:rPr>
                    <w:t>/a</w:t>
                  </w:r>
                </w:p>
              </w:tc>
              <w:tc>
                <w:tcPr>
                  <w:tcW w:w="288" w:type="pct"/>
                  <w:shd w:val="clear" w:color="auto" w:fill="auto"/>
                  <w:noWrap w:val="0"/>
                  <w:vAlign w:val="center"/>
                </w:tcPr>
                <w:p w14:paraId="05C7E1C5">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速率g/h</w:t>
                  </w:r>
                </w:p>
              </w:tc>
              <w:tc>
                <w:tcPr>
                  <w:tcW w:w="280" w:type="pct"/>
                  <w:shd w:val="clear" w:color="auto" w:fill="auto"/>
                  <w:noWrap w:val="0"/>
                  <w:vAlign w:val="center"/>
                </w:tcPr>
                <w:p w14:paraId="3890BD39">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浓度mg/m</w:t>
                  </w:r>
                  <w:r>
                    <w:rPr>
                      <w:rFonts w:hint="default" w:ascii="Times New Roman" w:hAnsi="Times New Roman" w:eastAsia="宋体" w:cs="Times New Roman"/>
                      <w:color w:val="auto"/>
                      <w:sz w:val="21"/>
                      <w:szCs w:val="21"/>
                      <w:vertAlign w:val="superscript"/>
                    </w:rPr>
                    <w:t>3</w:t>
                  </w:r>
                </w:p>
              </w:tc>
              <w:tc>
                <w:tcPr>
                  <w:tcW w:w="253" w:type="pct"/>
                  <w:noWrap w:val="0"/>
                  <w:vAlign w:val="center"/>
                </w:tcPr>
                <w:p w14:paraId="39CDDF4E">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速率kg/h</w:t>
                  </w:r>
                </w:p>
              </w:tc>
              <w:tc>
                <w:tcPr>
                  <w:tcW w:w="280" w:type="pct"/>
                  <w:noWrap w:val="0"/>
                  <w:vAlign w:val="center"/>
                </w:tcPr>
                <w:p w14:paraId="655B6F82">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浓度mg/m</w:t>
                  </w:r>
                  <w:r>
                    <w:rPr>
                      <w:rFonts w:hint="default" w:ascii="Times New Roman" w:hAnsi="Times New Roman" w:eastAsia="宋体" w:cs="Times New Roman"/>
                      <w:color w:val="auto"/>
                      <w:sz w:val="21"/>
                      <w:szCs w:val="21"/>
                      <w:vertAlign w:val="superscript"/>
                    </w:rPr>
                    <w:t>3</w:t>
                  </w:r>
                </w:p>
              </w:tc>
              <w:tc>
                <w:tcPr>
                  <w:tcW w:w="253" w:type="pct"/>
                  <w:vMerge w:val="continue"/>
                  <w:noWrap w:val="0"/>
                  <w:vAlign w:val="center"/>
                </w:tcPr>
                <w:p w14:paraId="6F5C20F0">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p>
              </w:tc>
              <w:tc>
                <w:tcPr>
                  <w:tcW w:w="271" w:type="pct"/>
                  <w:vMerge w:val="continue"/>
                  <w:noWrap w:val="0"/>
                  <w:vAlign w:val="center"/>
                </w:tcPr>
                <w:p w14:paraId="25392BCB">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p>
              </w:tc>
            </w:tr>
            <w:tr w14:paraId="34B6E9DA">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98" w:type="pct"/>
                  <w:vMerge w:val="restart"/>
                  <w:noWrap w:val="0"/>
                  <w:vAlign w:val="center"/>
                </w:tcPr>
                <w:p w14:paraId="62650F56">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DA001</w:t>
                  </w:r>
                </w:p>
              </w:tc>
              <w:tc>
                <w:tcPr>
                  <w:tcW w:w="182" w:type="pct"/>
                  <w:vMerge w:val="restart"/>
                  <w:noWrap w:val="0"/>
                  <w:vAlign w:val="center"/>
                </w:tcPr>
                <w:p w14:paraId="0B7CE054">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回流焊</w:t>
                  </w:r>
                </w:p>
              </w:tc>
              <w:tc>
                <w:tcPr>
                  <w:tcW w:w="265" w:type="pct"/>
                  <w:noWrap w:val="0"/>
                  <w:vAlign w:val="center"/>
                </w:tcPr>
                <w:p w14:paraId="0C728B07">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c>
                <w:tcPr>
                  <w:tcW w:w="397" w:type="pct"/>
                  <w:noWrap w:val="0"/>
                  <w:vAlign w:val="center"/>
                </w:tcPr>
                <w:p w14:paraId="1B731954">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0.1729</w:t>
                  </w:r>
                </w:p>
              </w:tc>
              <w:tc>
                <w:tcPr>
                  <w:tcW w:w="360" w:type="pct"/>
                  <w:noWrap w:val="0"/>
                  <w:vAlign w:val="center"/>
                </w:tcPr>
                <w:p w14:paraId="16D21A7E">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0.072</w:t>
                  </w:r>
                </w:p>
              </w:tc>
              <w:tc>
                <w:tcPr>
                  <w:tcW w:w="287" w:type="pct"/>
                  <w:noWrap w:val="0"/>
                  <w:vAlign w:val="center"/>
                </w:tcPr>
                <w:p w14:paraId="5F11B02D">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0.012</w:t>
                  </w:r>
                </w:p>
              </w:tc>
              <w:tc>
                <w:tcPr>
                  <w:tcW w:w="152" w:type="pct"/>
                  <w:vMerge w:val="restart"/>
                  <w:noWrap w:val="0"/>
                  <w:vAlign w:val="center"/>
                </w:tcPr>
                <w:p w14:paraId="2308567D">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滤筒除尘器</w:t>
                  </w:r>
                  <w:r>
                    <w:rPr>
                      <w:rFonts w:hint="default" w:ascii="Times New Roman" w:hAnsi="Times New Roman" w:eastAsia="宋体"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二级</w:t>
                  </w:r>
                  <w:r>
                    <w:rPr>
                      <w:rFonts w:hint="default" w:ascii="Times New Roman" w:hAnsi="Times New Roman" w:eastAsia="宋体" w:cs="Times New Roman"/>
                      <w:color w:val="auto"/>
                      <w:sz w:val="21"/>
                      <w:szCs w:val="21"/>
                      <w:highlight w:val="none"/>
                      <w:lang w:val="en-US" w:eastAsia="zh-CN"/>
                    </w:rPr>
                    <w:t>活性炭吸附</w:t>
                  </w:r>
                </w:p>
              </w:tc>
              <w:tc>
                <w:tcPr>
                  <w:tcW w:w="228" w:type="pct"/>
                  <w:vMerge w:val="restart"/>
                  <w:noWrap w:val="0"/>
                  <w:vAlign w:val="center"/>
                </w:tcPr>
                <w:p w14:paraId="766082A8">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90</w:t>
                  </w:r>
                  <w:r>
                    <w:rPr>
                      <w:rFonts w:hint="default" w:ascii="Times New Roman" w:hAnsi="Times New Roman" w:eastAsia="宋体" w:cs="Times New Roman"/>
                      <w:color w:val="auto"/>
                      <w:sz w:val="21"/>
                      <w:szCs w:val="21"/>
                      <w:highlight w:val="none"/>
                      <w:lang w:val="en-US" w:eastAsia="zh-CN"/>
                    </w:rPr>
                    <w:t>00</w:t>
                  </w:r>
                </w:p>
              </w:tc>
              <w:tc>
                <w:tcPr>
                  <w:tcW w:w="218" w:type="pct"/>
                  <w:vMerge w:val="restart"/>
                  <w:noWrap w:val="0"/>
                  <w:vAlign w:val="center"/>
                </w:tcPr>
                <w:p w14:paraId="3F364860">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95</w:t>
                  </w:r>
                </w:p>
              </w:tc>
              <w:tc>
                <w:tcPr>
                  <w:tcW w:w="215" w:type="pct"/>
                  <w:shd w:val="clear" w:color="auto" w:fill="auto"/>
                  <w:noWrap w:val="0"/>
                  <w:vAlign w:val="center"/>
                </w:tcPr>
                <w:p w14:paraId="1A1586F7">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lang w:val="en-US" w:eastAsia="zh-CN"/>
                    </w:rPr>
                    <w:t>0</w:t>
                  </w:r>
                </w:p>
              </w:tc>
              <w:tc>
                <w:tcPr>
                  <w:tcW w:w="233" w:type="pct"/>
                  <w:noWrap w:val="0"/>
                  <w:vAlign w:val="center"/>
                </w:tcPr>
                <w:p w14:paraId="2F80A6EF">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是</w:t>
                  </w:r>
                </w:p>
              </w:tc>
              <w:tc>
                <w:tcPr>
                  <w:tcW w:w="245" w:type="pct"/>
                  <w:vMerge w:val="restart"/>
                  <w:noWrap w:val="0"/>
                  <w:vAlign w:val="center"/>
                </w:tcPr>
                <w:p w14:paraId="77201B76">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i w:val="0"/>
                      <w:iCs w:val="0"/>
                      <w:color w:val="auto"/>
                      <w:kern w:val="2"/>
                      <w:sz w:val="21"/>
                      <w:szCs w:val="21"/>
                      <w:u w:val="none"/>
                      <w:lang w:val="en-US" w:eastAsia="zh-CN" w:bidi="ar-SA"/>
                    </w:rPr>
                  </w:pPr>
                  <w:r>
                    <w:rPr>
                      <w:rFonts w:hint="eastAsia" w:ascii="Times New Roman" w:hAnsi="Times New Roman" w:eastAsia="宋体" w:cs="Times New Roman"/>
                      <w:color w:val="auto"/>
                      <w:sz w:val="21"/>
                      <w:szCs w:val="21"/>
                      <w:highlight w:val="none"/>
                      <w:lang w:val="en-US" w:eastAsia="zh-CN"/>
                    </w:rPr>
                    <w:t>颗粒物</w:t>
                  </w:r>
                </w:p>
              </w:tc>
              <w:tc>
                <w:tcPr>
                  <w:tcW w:w="288" w:type="pct"/>
                  <w:vMerge w:val="restart"/>
                  <w:noWrap w:val="0"/>
                  <w:vAlign w:val="center"/>
                </w:tcPr>
                <w:p w14:paraId="1A15C833">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0.021</w:t>
                  </w:r>
                </w:p>
              </w:tc>
              <w:tc>
                <w:tcPr>
                  <w:tcW w:w="288" w:type="pct"/>
                  <w:vMerge w:val="restart"/>
                  <w:noWrap w:val="0"/>
                  <w:vAlign w:val="center"/>
                </w:tcPr>
                <w:p w14:paraId="13664B98">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0.009</w:t>
                  </w:r>
                </w:p>
              </w:tc>
              <w:tc>
                <w:tcPr>
                  <w:tcW w:w="280" w:type="pct"/>
                  <w:vMerge w:val="restart"/>
                  <w:noWrap w:val="0"/>
                  <w:vAlign w:val="center"/>
                </w:tcPr>
                <w:p w14:paraId="5B828411">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0.00097</w:t>
                  </w:r>
                </w:p>
              </w:tc>
              <w:tc>
                <w:tcPr>
                  <w:tcW w:w="707" w:type="dxa"/>
                  <w:vMerge w:val="restart"/>
                  <w:noWrap w:val="0"/>
                  <w:vAlign w:val="center"/>
                </w:tcPr>
                <w:p w14:paraId="661A9E8E">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cs="Times New Roman"/>
                      <w:bCs/>
                      <w:sz w:val="21"/>
                      <w:szCs w:val="21"/>
                      <w:lang w:val="en-US" w:eastAsia="zh-CN"/>
                    </w:rPr>
                    <w:t>2.86</w:t>
                  </w:r>
                </w:p>
              </w:tc>
              <w:tc>
                <w:tcPr>
                  <w:tcW w:w="280" w:type="pct"/>
                  <w:vMerge w:val="restart"/>
                  <w:noWrap w:val="0"/>
                  <w:vAlign w:val="center"/>
                </w:tcPr>
                <w:p w14:paraId="65C83A7A">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120</w:t>
                  </w:r>
                </w:p>
              </w:tc>
              <w:tc>
                <w:tcPr>
                  <w:tcW w:w="253" w:type="pct"/>
                  <w:vMerge w:val="restart"/>
                  <w:noWrap w:val="0"/>
                  <w:vAlign w:val="center"/>
                </w:tcPr>
                <w:p w14:paraId="2014B446">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达标</w:t>
                  </w:r>
                </w:p>
              </w:tc>
              <w:tc>
                <w:tcPr>
                  <w:tcW w:w="271" w:type="pct"/>
                  <w:vMerge w:val="restart"/>
                  <w:noWrap w:val="0"/>
                  <w:vAlign w:val="center"/>
                </w:tcPr>
                <w:p w14:paraId="10196BE3">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2400</w:t>
                  </w:r>
                </w:p>
              </w:tc>
            </w:tr>
            <w:tr w14:paraId="4847358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98" w:type="pct"/>
                  <w:vMerge w:val="continue"/>
                  <w:noWrap w:val="0"/>
                  <w:vAlign w:val="center"/>
                </w:tcPr>
                <w:p w14:paraId="7AB71287">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rPr>
                  </w:pPr>
                </w:p>
              </w:tc>
              <w:tc>
                <w:tcPr>
                  <w:tcW w:w="182" w:type="pct"/>
                  <w:vMerge w:val="continue"/>
                  <w:noWrap w:val="0"/>
                  <w:vAlign w:val="center"/>
                </w:tcPr>
                <w:p w14:paraId="6A1ADBF3">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65" w:type="pct"/>
                  <w:noWrap w:val="0"/>
                  <w:vAlign w:val="center"/>
                </w:tcPr>
                <w:p w14:paraId="46F49C94">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锡及其化合物</w:t>
                  </w:r>
                </w:p>
              </w:tc>
              <w:tc>
                <w:tcPr>
                  <w:tcW w:w="397" w:type="pct"/>
                  <w:noWrap w:val="0"/>
                  <w:vAlign w:val="center"/>
                </w:tcPr>
                <w:p w14:paraId="24060BA5">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0.1558</w:t>
                  </w:r>
                </w:p>
              </w:tc>
              <w:tc>
                <w:tcPr>
                  <w:tcW w:w="360" w:type="pct"/>
                  <w:noWrap w:val="0"/>
                  <w:vAlign w:val="center"/>
                </w:tcPr>
                <w:p w14:paraId="59705666">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0.065</w:t>
                  </w:r>
                </w:p>
              </w:tc>
              <w:tc>
                <w:tcPr>
                  <w:tcW w:w="287" w:type="pct"/>
                  <w:noWrap w:val="0"/>
                  <w:vAlign w:val="center"/>
                </w:tcPr>
                <w:p w14:paraId="17A7248C">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0.011</w:t>
                  </w:r>
                </w:p>
              </w:tc>
              <w:tc>
                <w:tcPr>
                  <w:tcW w:w="152" w:type="pct"/>
                  <w:vMerge w:val="continue"/>
                  <w:noWrap w:val="0"/>
                  <w:vAlign w:val="center"/>
                </w:tcPr>
                <w:p w14:paraId="41A303B6">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28" w:type="pct"/>
                  <w:vMerge w:val="continue"/>
                  <w:noWrap w:val="0"/>
                  <w:vAlign w:val="center"/>
                </w:tcPr>
                <w:p w14:paraId="76DF3378">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18" w:type="pct"/>
                  <w:vMerge w:val="continue"/>
                  <w:noWrap w:val="0"/>
                  <w:vAlign w:val="center"/>
                </w:tcPr>
                <w:p w14:paraId="07BEE1FD">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15" w:type="pct"/>
                  <w:shd w:val="clear" w:color="auto" w:fill="auto"/>
                  <w:noWrap w:val="0"/>
                  <w:vAlign w:val="center"/>
                </w:tcPr>
                <w:p w14:paraId="5A303DA6">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lang w:val="en-US" w:eastAsia="zh-CN"/>
                    </w:rPr>
                    <w:t>0</w:t>
                  </w:r>
                </w:p>
              </w:tc>
              <w:tc>
                <w:tcPr>
                  <w:tcW w:w="233" w:type="pct"/>
                  <w:noWrap w:val="0"/>
                  <w:vAlign w:val="center"/>
                </w:tcPr>
                <w:p w14:paraId="79BCC203">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是</w:t>
                  </w:r>
                </w:p>
              </w:tc>
              <w:tc>
                <w:tcPr>
                  <w:tcW w:w="245" w:type="pct"/>
                  <w:vMerge w:val="continue"/>
                  <w:noWrap w:val="0"/>
                  <w:vAlign w:val="center"/>
                </w:tcPr>
                <w:p w14:paraId="006C6D59">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i w:val="0"/>
                      <w:iCs w:val="0"/>
                      <w:color w:val="auto"/>
                      <w:kern w:val="2"/>
                      <w:sz w:val="21"/>
                      <w:szCs w:val="21"/>
                      <w:u w:val="none"/>
                      <w:lang w:val="en-US" w:eastAsia="zh-CN" w:bidi="ar-SA"/>
                    </w:rPr>
                  </w:pPr>
                </w:p>
              </w:tc>
              <w:tc>
                <w:tcPr>
                  <w:tcW w:w="288" w:type="pct"/>
                  <w:vMerge w:val="continue"/>
                  <w:noWrap w:val="0"/>
                  <w:vAlign w:val="center"/>
                </w:tcPr>
                <w:p w14:paraId="48409BB5">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88" w:type="pct"/>
                  <w:vMerge w:val="continue"/>
                  <w:noWrap w:val="0"/>
                  <w:vAlign w:val="center"/>
                </w:tcPr>
                <w:p w14:paraId="64DC0DD0">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80" w:type="pct"/>
                  <w:vMerge w:val="continue"/>
                  <w:noWrap w:val="0"/>
                  <w:vAlign w:val="center"/>
                </w:tcPr>
                <w:p w14:paraId="57C91567">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53" w:type="pct"/>
                  <w:vMerge w:val="continue"/>
                  <w:noWrap w:val="0"/>
                  <w:vAlign w:val="center"/>
                </w:tcPr>
                <w:p w14:paraId="288E87DA">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0"/>
                      <w:sz w:val="21"/>
                      <w:szCs w:val="21"/>
                      <w:lang w:val="en-US" w:eastAsia="zh-CN" w:bidi="ar"/>
                    </w:rPr>
                  </w:pPr>
                </w:p>
              </w:tc>
              <w:tc>
                <w:tcPr>
                  <w:tcW w:w="280" w:type="pct"/>
                  <w:vMerge w:val="continue"/>
                  <w:noWrap w:val="0"/>
                  <w:vAlign w:val="center"/>
                </w:tcPr>
                <w:p w14:paraId="250F6288">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0"/>
                      <w:sz w:val="21"/>
                      <w:szCs w:val="21"/>
                      <w:lang w:val="en-US" w:eastAsia="zh-CN" w:bidi="ar"/>
                    </w:rPr>
                  </w:pPr>
                </w:p>
              </w:tc>
              <w:tc>
                <w:tcPr>
                  <w:tcW w:w="253" w:type="pct"/>
                  <w:vMerge w:val="continue"/>
                  <w:noWrap w:val="0"/>
                  <w:vAlign w:val="center"/>
                </w:tcPr>
                <w:p w14:paraId="1E8AB384">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0"/>
                      <w:sz w:val="21"/>
                      <w:szCs w:val="21"/>
                    </w:rPr>
                  </w:pPr>
                </w:p>
              </w:tc>
              <w:tc>
                <w:tcPr>
                  <w:tcW w:w="271" w:type="pct"/>
                  <w:vMerge w:val="continue"/>
                  <w:noWrap w:val="0"/>
                  <w:vAlign w:val="center"/>
                </w:tcPr>
                <w:p w14:paraId="499071F9">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0"/>
                      <w:sz w:val="21"/>
                      <w:szCs w:val="21"/>
                    </w:rPr>
                  </w:pPr>
                </w:p>
              </w:tc>
            </w:tr>
            <w:tr w14:paraId="171E2DC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98" w:type="pct"/>
                  <w:vMerge w:val="continue"/>
                  <w:noWrap w:val="0"/>
                  <w:vAlign w:val="center"/>
                </w:tcPr>
                <w:p w14:paraId="50AD8825">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rPr>
                  </w:pPr>
                </w:p>
              </w:tc>
              <w:tc>
                <w:tcPr>
                  <w:tcW w:w="182" w:type="pct"/>
                  <w:vMerge w:val="continue"/>
                  <w:noWrap w:val="0"/>
                  <w:vAlign w:val="center"/>
                </w:tcPr>
                <w:p w14:paraId="5A4DF252">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65" w:type="pct"/>
                  <w:noWrap w:val="0"/>
                  <w:vAlign w:val="center"/>
                </w:tcPr>
                <w:p w14:paraId="08F0B8AA">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非甲烷总烃</w:t>
                  </w:r>
                </w:p>
              </w:tc>
              <w:tc>
                <w:tcPr>
                  <w:tcW w:w="1108" w:type="dxa"/>
                  <w:noWrap w:val="0"/>
                  <w:vAlign w:val="center"/>
                </w:tcPr>
                <w:p w14:paraId="257690E8">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55.575</w:t>
                  </w:r>
                </w:p>
              </w:tc>
              <w:tc>
                <w:tcPr>
                  <w:tcW w:w="1005" w:type="dxa"/>
                  <w:noWrap w:val="0"/>
                  <w:vAlign w:val="center"/>
                </w:tcPr>
                <w:p w14:paraId="38A4A7A5">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23.156</w:t>
                  </w:r>
                </w:p>
              </w:tc>
              <w:tc>
                <w:tcPr>
                  <w:tcW w:w="801" w:type="dxa"/>
                  <w:noWrap w:val="0"/>
                  <w:vAlign w:val="center"/>
                </w:tcPr>
                <w:p w14:paraId="0AF9AF7B">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3.86</w:t>
                  </w:r>
                </w:p>
              </w:tc>
              <w:tc>
                <w:tcPr>
                  <w:tcW w:w="152" w:type="pct"/>
                  <w:vMerge w:val="continue"/>
                  <w:noWrap w:val="0"/>
                  <w:vAlign w:val="center"/>
                </w:tcPr>
                <w:p w14:paraId="0994CF76">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28" w:type="pct"/>
                  <w:vMerge w:val="continue"/>
                  <w:noWrap w:val="0"/>
                  <w:vAlign w:val="center"/>
                </w:tcPr>
                <w:p w14:paraId="1B4B9909">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18" w:type="pct"/>
                  <w:vMerge w:val="continue"/>
                  <w:noWrap w:val="0"/>
                  <w:vAlign w:val="center"/>
                </w:tcPr>
                <w:p w14:paraId="48AB797B">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15" w:type="pct"/>
                  <w:shd w:val="clear" w:color="auto" w:fill="auto"/>
                  <w:noWrap w:val="0"/>
                  <w:vAlign w:val="center"/>
                </w:tcPr>
                <w:p w14:paraId="61144D87">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lang w:val="en-US" w:eastAsia="zh-CN"/>
                    </w:rPr>
                    <w:t>0</w:t>
                  </w:r>
                </w:p>
              </w:tc>
              <w:tc>
                <w:tcPr>
                  <w:tcW w:w="233" w:type="pct"/>
                  <w:noWrap w:val="0"/>
                  <w:vAlign w:val="center"/>
                </w:tcPr>
                <w:p w14:paraId="6B682AEE">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是</w:t>
                  </w:r>
                </w:p>
              </w:tc>
              <w:tc>
                <w:tcPr>
                  <w:tcW w:w="245" w:type="pct"/>
                  <w:vMerge w:val="restart"/>
                  <w:noWrap w:val="0"/>
                  <w:vAlign w:val="center"/>
                </w:tcPr>
                <w:p w14:paraId="731C8E4E">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锡及</w:t>
                  </w:r>
                </w:p>
                <w:p w14:paraId="016D6823">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highlight w:val="none"/>
                    </w:rPr>
                    <w:t>其化合物</w:t>
                  </w:r>
                </w:p>
              </w:tc>
              <w:tc>
                <w:tcPr>
                  <w:tcW w:w="288" w:type="pct"/>
                  <w:vMerge w:val="restart"/>
                  <w:noWrap w:val="0"/>
                  <w:vAlign w:val="center"/>
                </w:tcPr>
                <w:p w14:paraId="188198A7">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0.019</w:t>
                  </w:r>
                </w:p>
              </w:tc>
              <w:tc>
                <w:tcPr>
                  <w:tcW w:w="288" w:type="pct"/>
                  <w:vMerge w:val="restart"/>
                  <w:noWrap w:val="0"/>
                  <w:vAlign w:val="center"/>
                </w:tcPr>
                <w:p w14:paraId="014DFC80">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0.008</w:t>
                  </w:r>
                </w:p>
              </w:tc>
              <w:tc>
                <w:tcPr>
                  <w:tcW w:w="280" w:type="pct"/>
                  <w:vMerge w:val="restart"/>
                  <w:noWrap w:val="0"/>
                  <w:vAlign w:val="center"/>
                </w:tcPr>
                <w:p w14:paraId="079B8103">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0.00088</w:t>
                  </w:r>
                </w:p>
              </w:tc>
              <w:tc>
                <w:tcPr>
                  <w:tcW w:w="707" w:type="dxa"/>
                  <w:vMerge w:val="restart"/>
                  <w:noWrap w:val="0"/>
                  <w:vAlign w:val="center"/>
                </w:tcPr>
                <w:p w14:paraId="26C9FD32">
                  <w:pPr>
                    <w:keepNext w:val="0"/>
                    <w:keepLines w:val="0"/>
                    <w:pageBreakBefore w:val="0"/>
                    <w:widowControl w:val="0"/>
                    <w:tabs>
                      <w:tab w:val="left" w:pos="809"/>
                      <w:tab w:val="center" w:pos="4643"/>
                    </w:tabs>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cs="Times New Roman"/>
                      <w:bCs/>
                      <w:sz w:val="21"/>
                      <w:szCs w:val="21"/>
                      <w:lang w:val="en-US" w:eastAsia="zh-CN"/>
                    </w:rPr>
                    <w:t>0.218</w:t>
                  </w:r>
                </w:p>
              </w:tc>
              <w:tc>
                <w:tcPr>
                  <w:tcW w:w="280" w:type="pct"/>
                  <w:vMerge w:val="restart"/>
                  <w:noWrap w:val="0"/>
                  <w:vAlign w:val="center"/>
                </w:tcPr>
                <w:p w14:paraId="45B9EDE1">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8.5</w:t>
                  </w:r>
                </w:p>
              </w:tc>
              <w:tc>
                <w:tcPr>
                  <w:tcW w:w="253" w:type="pct"/>
                  <w:vMerge w:val="restart"/>
                  <w:noWrap w:val="0"/>
                  <w:vAlign w:val="center"/>
                </w:tcPr>
                <w:p w14:paraId="4FD35AD8">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达标</w:t>
                  </w:r>
                </w:p>
              </w:tc>
              <w:tc>
                <w:tcPr>
                  <w:tcW w:w="271" w:type="pct"/>
                  <w:vMerge w:val="restart"/>
                  <w:noWrap w:val="0"/>
                  <w:vAlign w:val="center"/>
                </w:tcPr>
                <w:p w14:paraId="5243FED4">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2400</w:t>
                  </w:r>
                </w:p>
              </w:tc>
            </w:tr>
            <w:tr w14:paraId="51A3460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98" w:type="pct"/>
                  <w:vMerge w:val="continue"/>
                  <w:noWrap w:val="0"/>
                  <w:vAlign w:val="center"/>
                </w:tcPr>
                <w:p w14:paraId="1E9B8142">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rPr>
                  </w:pPr>
                </w:p>
              </w:tc>
              <w:tc>
                <w:tcPr>
                  <w:tcW w:w="182" w:type="pct"/>
                  <w:vMerge w:val="restart"/>
                  <w:noWrap w:val="0"/>
                  <w:vAlign w:val="center"/>
                </w:tcPr>
                <w:p w14:paraId="38E82CA8">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手工</w:t>
                  </w:r>
                </w:p>
                <w:p w14:paraId="6F7EFF0A">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焊接</w:t>
                  </w:r>
                </w:p>
              </w:tc>
              <w:tc>
                <w:tcPr>
                  <w:tcW w:w="265" w:type="pct"/>
                  <w:noWrap w:val="0"/>
                  <w:vAlign w:val="center"/>
                </w:tcPr>
                <w:p w14:paraId="00224AE6">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c>
                <w:tcPr>
                  <w:tcW w:w="397" w:type="pct"/>
                  <w:noWrap w:val="0"/>
                  <w:vAlign w:val="center"/>
                </w:tcPr>
                <w:p w14:paraId="32C1E352">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0.036</w:t>
                  </w:r>
                </w:p>
              </w:tc>
              <w:tc>
                <w:tcPr>
                  <w:tcW w:w="360" w:type="pct"/>
                  <w:noWrap w:val="0"/>
                  <w:vAlign w:val="center"/>
                </w:tcPr>
                <w:p w14:paraId="4C39F23C">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0.015</w:t>
                  </w:r>
                </w:p>
              </w:tc>
              <w:tc>
                <w:tcPr>
                  <w:tcW w:w="287" w:type="pct"/>
                  <w:noWrap w:val="0"/>
                  <w:vAlign w:val="center"/>
                </w:tcPr>
                <w:p w14:paraId="54395113">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0.005</w:t>
                  </w:r>
                </w:p>
              </w:tc>
              <w:tc>
                <w:tcPr>
                  <w:tcW w:w="152" w:type="pct"/>
                  <w:vMerge w:val="continue"/>
                  <w:noWrap w:val="0"/>
                  <w:vAlign w:val="center"/>
                </w:tcPr>
                <w:p w14:paraId="43D2A668">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28" w:type="pct"/>
                  <w:vMerge w:val="continue"/>
                  <w:noWrap w:val="0"/>
                  <w:vAlign w:val="center"/>
                </w:tcPr>
                <w:p w14:paraId="05AB77C0">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18" w:type="pct"/>
                  <w:vMerge w:val="restart"/>
                  <w:noWrap w:val="0"/>
                  <w:vAlign w:val="center"/>
                </w:tcPr>
                <w:p w14:paraId="1E1FD0CF">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90</w:t>
                  </w:r>
                </w:p>
              </w:tc>
              <w:tc>
                <w:tcPr>
                  <w:tcW w:w="215" w:type="pct"/>
                  <w:shd w:val="clear" w:color="auto" w:fill="auto"/>
                  <w:noWrap w:val="0"/>
                  <w:vAlign w:val="center"/>
                </w:tcPr>
                <w:p w14:paraId="65FFB53F">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lang w:val="en-US" w:eastAsia="zh-CN"/>
                    </w:rPr>
                    <w:t>0</w:t>
                  </w:r>
                </w:p>
              </w:tc>
              <w:tc>
                <w:tcPr>
                  <w:tcW w:w="233" w:type="pct"/>
                  <w:noWrap w:val="0"/>
                  <w:vAlign w:val="center"/>
                </w:tcPr>
                <w:p w14:paraId="37D929DE">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是</w:t>
                  </w:r>
                </w:p>
              </w:tc>
              <w:tc>
                <w:tcPr>
                  <w:tcW w:w="245" w:type="pct"/>
                  <w:vMerge w:val="continue"/>
                  <w:noWrap w:val="0"/>
                  <w:vAlign w:val="center"/>
                </w:tcPr>
                <w:p w14:paraId="27E60020">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i w:val="0"/>
                      <w:iCs w:val="0"/>
                      <w:color w:val="auto"/>
                      <w:kern w:val="0"/>
                      <w:sz w:val="21"/>
                      <w:szCs w:val="21"/>
                      <w:u w:val="none"/>
                      <w:lang w:val="en-US" w:eastAsia="zh-CN" w:bidi="ar"/>
                    </w:rPr>
                  </w:pPr>
                </w:p>
              </w:tc>
              <w:tc>
                <w:tcPr>
                  <w:tcW w:w="288" w:type="pct"/>
                  <w:vMerge w:val="continue"/>
                  <w:noWrap w:val="0"/>
                  <w:vAlign w:val="center"/>
                </w:tcPr>
                <w:p w14:paraId="285FD608">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88" w:type="pct"/>
                  <w:vMerge w:val="continue"/>
                  <w:noWrap w:val="0"/>
                  <w:vAlign w:val="center"/>
                </w:tcPr>
                <w:p w14:paraId="3FF81372">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80" w:type="pct"/>
                  <w:vMerge w:val="continue"/>
                  <w:noWrap w:val="0"/>
                  <w:vAlign w:val="center"/>
                </w:tcPr>
                <w:p w14:paraId="00A9A782">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53" w:type="pct"/>
                  <w:vMerge w:val="continue"/>
                  <w:noWrap w:val="0"/>
                  <w:vAlign w:val="center"/>
                </w:tcPr>
                <w:p w14:paraId="3394165D">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0"/>
                      <w:sz w:val="21"/>
                      <w:szCs w:val="21"/>
                      <w:lang w:val="en-US" w:eastAsia="zh-CN" w:bidi="ar"/>
                    </w:rPr>
                  </w:pPr>
                </w:p>
              </w:tc>
              <w:tc>
                <w:tcPr>
                  <w:tcW w:w="280" w:type="pct"/>
                  <w:vMerge w:val="continue"/>
                  <w:noWrap w:val="0"/>
                  <w:vAlign w:val="center"/>
                </w:tcPr>
                <w:p w14:paraId="52AC6E96">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0"/>
                      <w:sz w:val="21"/>
                      <w:szCs w:val="21"/>
                      <w:lang w:val="en-US" w:eastAsia="zh-CN" w:bidi="ar"/>
                    </w:rPr>
                  </w:pPr>
                </w:p>
              </w:tc>
              <w:tc>
                <w:tcPr>
                  <w:tcW w:w="253" w:type="pct"/>
                  <w:vMerge w:val="continue"/>
                  <w:noWrap w:val="0"/>
                  <w:vAlign w:val="center"/>
                </w:tcPr>
                <w:p w14:paraId="33CF3FEE">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0"/>
                      <w:sz w:val="21"/>
                      <w:szCs w:val="21"/>
                    </w:rPr>
                  </w:pPr>
                </w:p>
              </w:tc>
              <w:tc>
                <w:tcPr>
                  <w:tcW w:w="271" w:type="pct"/>
                  <w:vMerge w:val="continue"/>
                  <w:noWrap w:val="0"/>
                  <w:vAlign w:val="center"/>
                </w:tcPr>
                <w:p w14:paraId="7E6FDC58">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0"/>
                      <w:sz w:val="21"/>
                      <w:szCs w:val="21"/>
                    </w:rPr>
                  </w:pPr>
                </w:p>
              </w:tc>
            </w:tr>
            <w:tr w14:paraId="12BF3B6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98" w:type="pct"/>
                  <w:vMerge w:val="continue"/>
                  <w:noWrap w:val="0"/>
                  <w:vAlign w:val="center"/>
                </w:tcPr>
                <w:p w14:paraId="153DDD74">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rPr>
                  </w:pPr>
                </w:p>
              </w:tc>
              <w:tc>
                <w:tcPr>
                  <w:tcW w:w="182" w:type="pct"/>
                  <w:vMerge w:val="continue"/>
                  <w:noWrap w:val="0"/>
                  <w:vAlign w:val="center"/>
                </w:tcPr>
                <w:p w14:paraId="3657E6B5">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65" w:type="pct"/>
                  <w:noWrap w:val="0"/>
                  <w:vAlign w:val="center"/>
                </w:tcPr>
                <w:p w14:paraId="07DE9BEF">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锡及其化合物</w:t>
                  </w:r>
                </w:p>
              </w:tc>
              <w:tc>
                <w:tcPr>
                  <w:tcW w:w="397" w:type="pct"/>
                  <w:noWrap w:val="0"/>
                  <w:vAlign w:val="center"/>
                </w:tcPr>
                <w:p w14:paraId="3FF311E8">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0.035</w:t>
                  </w:r>
                </w:p>
              </w:tc>
              <w:tc>
                <w:tcPr>
                  <w:tcW w:w="360" w:type="pct"/>
                  <w:shd w:val="clear" w:color="auto" w:fill="auto"/>
                  <w:noWrap w:val="0"/>
                  <w:vAlign w:val="center"/>
                </w:tcPr>
                <w:p w14:paraId="0FC5A744">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0.0146</w:t>
                  </w:r>
                </w:p>
              </w:tc>
              <w:tc>
                <w:tcPr>
                  <w:tcW w:w="287" w:type="pct"/>
                  <w:shd w:val="clear" w:color="auto" w:fill="auto"/>
                  <w:noWrap w:val="0"/>
                  <w:vAlign w:val="center"/>
                </w:tcPr>
                <w:p w14:paraId="6E349C09">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0.0049</w:t>
                  </w:r>
                </w:p>
              </w:tc>
              <w:tc>
                <w:tcPr>
                  <w:tcW w:w="152" w:type="pct"/>
                  <w:vMerge w:val="continue"/>
                  <w:noWrap w:val="0"/>
                  <w:vAlign w:val="center"/>
                </w:tcPr>
                <w:p w14:paraId="0A762E66">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28" w:type="pct"/>
                  <w:vMerge w:val="continue"/>
                  <w:noWrap w:val="0"/>
                  <w:vAlign w:val="center"/>
                </w:tcPr>
                <w:p w14:paraId="1B6F91E6">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18" w:type="pct"/>
                  <w:vMerge w:val="continue"/>
                  <w:noWrap w:val="0"/>
                  <w:vAlign w:val="center"/>
                </w:tcPr>
                <w:p w14:paraId="0CC5B1BE">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15" w:type="pct"/>
                  <w:shd w:val="clear" w:color="auto" w:fill="auto"/>
                  <w:noWrap w:val="0"/>
                  <w:vAlign w:val="center"/>
                </w:tcPr>
                <w:p w14:paraId="0871A5DC">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lang w:val="en-US" w:eastAsia="zh-CN"/>
                    </w:rPr>
                    <w:t>0</w:t>
                  </w:r>
                </w:p>
              </w:tc>
              <w:tc>
                <w:tcPr>
                  <w:tcW w:w="233" w:type="pct"/>
                  <w:noWrap w:val="0"/>
                  <w:vAlign w:val="center"/>
                </w:tcPr>
                <w:p w14:paraId="7A235CCA">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是</w:t>
                  </w:r>
                </w:p>
              </w:tc>
              <w:tc>
                <w:tcPr>
                  <w:tcW w:w="245" w:type="pct"/>
                  <w:vMerge w:val="restart"/>
                  <w:noWrap w:val="0"/>
                  <w:vAlign w:val="center"/>
                </w:tcPr>
                <w:p w14:paraId="76CAC926">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highlight w:val="none"/>
                      <w:lang w:val="en-US" w:eastAsia="zh-CN"/>
                    </w:rPr>
                    <w:t>非甲烷总烃</w:t>
                  </w:r>
                </w:p>
              </w:tc>
              <w:tc>
                <w:tcPr>
                  <w:tcW w:w="803" w:type="dxa"/>
                  <w:vMerge w:val="restart"/>
                  <w:noWrap w:val="0"/>
                  <w:vAlign w:val="center"/>
                </w:tcPr>
                <w:p w14:paraId="1814E837">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6.458</w:t>
                  </w:r>
                </w:p>
              </w:tc>
              <w:tc>
                <w:tcPr>
                  <w:tcW w:w="803" w:type="dxa"/>
                  <w:vMerge w:val="restart"/>
                  <w:noWrap w:val="0"/>
                  <w:vAlign w:val="center"/>
                </w:tcPr>
                <w:p w14:paraId="2A263F29">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2.69</w:t>
                  </w:r>
                </w:p>
              </w:tc>
              <w:tc>
                <w:tcPr>
                  <w:tcW w:w="782" w:type="dxa"/>
                  <w:vMerge w:val="restart"/>
                  <w:noWrap w:val="0"/>
                  <w:vAlign w:val="center"/>
                </w:tcPr>
                <w:p w14:paraId="7F849132">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0.299</w:t>
                  </w:r>
                </w:p>
              </w:tc>
              <w:tc>
                <w:tcPr>
                  <w:tcW w:w="253" w:type="pct"/>
                  <w:vMerge w:val="restart"/>
                  <w:noWrap w:val="0"/>
                  <w:vAlign w:val="center"/>
                </w:tcPr>
                <w:p w14:paraId="55023699">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3.0</w:t>
                  </w:r>
                </w:p>
              </w:tc>
              <w:tc>
                <w:tcPr>
                  <w:tcW w:w="280" w:type="pct"/>
                  <w:vMerge w:val="restart"/>
                  <w:noWrap w:val="0"/>
                  <w:vAlign w:val="center"/>
                </w:tcPr>
                <w:p w14:paraId="0AE20115">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60</w:t>
                  </w:r>
                </w:p>
              </w:tc>
              <w:tc>
                <w:tcPr>
                  <w:tcW w:w="253" w:type="pct"/>
                  <w:vMerge w:val="restart"/>
                  <w:noWrap w:val="0"/>
                  <w:vAlign w:val="center"/>
                </w:tcPr>
                <w:p w14:paraId="3159FE23">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0"/>
                      <w:sz w:val="21"/>
                      <w:szCs w:val="21"/>
                    </w:rPr>
                  </w:pPr>
                  <w:r>
                    <w:rPr>
                      <w:rFonts w:hint="eastAsia" w:ascii="Times New Roman" w:hAnsi="Times New Roman" w:eastAsia="宋体" w:cs="Times New Roman"/>
                      <w:color w:val="auto"/>
                      <w:kern w:val="0"/>
                      <w:sz w:val="21"/>
                      <w:szCs w:val="21"/>
                      <w:lang w:val="en-US" w:eastAsia="zh-CN"/>
                    </w:rPr>
                    <w:t>达标</w:t>
                  </w:r>
                </w:p>
              </w:tc>
              <w:tc>
                <w:tcPr>
                  <w:tcW w:w="271" w:type="pct"/>
                  <w:vMerge w:val="restart"/>
                  <w:noWrap w:val="0"/>
                  <w:vAlign w:val="center"/>
                </w:tcPr>
                <w:p w14:paraId="26293ACD">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2400</w:t>
                  </w:r>
                </w:p>
              </w:tc>
            </w:tr>
            <w:tr w14:paraId="16B7EFB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98" w:type="pct"/>
                  <w:vMerge w:val="continue"/>
                  <w:noWrap w:val="0"/>
                  <w:vAlign w:val="center"/>
                </w:tcPr>
                <w:p w14:paraId="7146AEC6">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rPr>
                  </w:pPr>
                </w:p>
              </w:tc>
              <w:tc>
                <w:tcPr>
                  <w:tcW w:w="182" w:type="pct"/>
                  <w:noWrap w:val="0"/>
                  <w:vAlign w:val="center"/>
                </w:tcPr>
                <w:p w14:paraId="1D7F6161">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擦拭</w:t>
                  </w:r>
                </w:p>
              </w:tc>
              <w:tc>
                <w:tcPr>
                  <w:tcW w:w="265" w:type="pct"/>
                  <w:noWrap w:val="0"/>
                  <w:vAlign w:val="center"/>
                </w:tcPr>
                <w:p w14:paraId="18B00B67">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非甲烷总烃</w:t>
                  </w:r>
                </w:p>
              </w:tc>
              <w:tc>
                <w:tcPr>
                  <w:tcW w:w="397" w:type="pct"/>
                  <w:noWrap w:val="0"/>
                  <w:vAlign w:val="center"/>
                </w:tcPr>
                <w:p w14:paraId="6D6F22B8">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9</w:t>
                  </w:r>
                </w:p>
              </w:tc>
              <w:tc>
                <w:tcPr>
                  <w:tcW w:w="360" w:type="pct"/>
                  <w:noWrap w:val="0"/>
                  <w:vAlign w:val="center"/>
                </w:tcPr>
                <w:p w14:paraId="14E910F3">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3.75</w:t>
                  </w:r>
                </w:p>
              </w:tc>
              <w:tc>
                <w:tcPr>
                  <w:tcW w:w="287" w:type="pct"/>
                  <w:noWrap w:val="0"/>
                  <w:vAlign w:val="center"/>
                </w:tcPr>
                <w:p w14:paraId="450E54D7">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1.25</w:t>
                  </w:r>
                </w:p>
              </w:tc>
              <w:tc>
                <w:tcPr>
                  <w:tcW w:w="152" w:type="pct"/>
                  <w:vMerge w:val="continue"/>
                  <w:noWrap w:val="0"/>
                  <w:vAlign w:val="center"/>
                </w:tcPr>
                <w:p w14:paraId="2D617601">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28" w:type="pct"/>
                  <w:vMerge w:val="continue"/>
                  <w:noWrap w:val="0"/>
                  <w:vAlign w:val="center"/>
                </w:tcPr>
                <w:p w14:paraId="5EF10C26">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18" w:type="pct"/>
                  <w:noWrap w:val="0"/>
                  <w:vAlign w:val="center"/>
                </w:tcPr>
                <w:p w14:paraId="25477DE7">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90</w:t>
                  </w:r>
                </w:p>
              </w:tc>
              <w:tc>
                <w:tcPr>
                  <w:tcW w:w="215" w:type="pct"/>
                  <w:shd w:val="clear" w:color="auto" w:fill="auto"/>
                  <w:noWrap w:val="0"/>
                  <w:vAlign w:val="center"/>
                </w:tcPr>
                <w:p w14:paraId="0DBFA7C0">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lang w:val="en-US" w:eastAsia="zh-CN"/>
                    </w:rPr>
                    <w:t>0</w:t>
                  </w:r>
                </w:p>
              </w:tc>
              <w:tc>
                <w:tcPr>
                  <w:tcW w:w="233" w:type="pct"/>
                  <w:noWrap w:val="0"/>
                  <w:vAlign w:val="center"/>
                </w:tcPr>
                <w:p w14:paraId="331EA355">
                  <w:pPr>
                    <w:keepNext w:val="0"/>
                    <w:keepLines w:val="0"/>
                    <w:pageBreakBefore w:val="0"/>
                    <w:kinsoku/>
                    <w:wordWrap/>
                    <w:overflowPunct/>
                    <w:topLinePunct w:val="0"/>
                    <w:autoSpaceDE/>
                    <w:autoSpaceDN/>
                    <w:bidi w:val="0"/>
                    <w:adjustRightInd/>
                    <w:snapToGrid/>
                    <w:spacing w:line="360" w:lineRule="exact"/>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是</w:t>
                  </w:r>
                </w:p>
              </w:tc>
              <w:tc>
                <w:tcPr>
                  <w:tcW w:w="245" w:type="pct"/>
                  <w:vMerge w:val="continue"/>
                  <w:noWrap w:val="0"/>
                  <w:vAlign w:val="center"/>
                </w:tcPr>
                <w:p w14:paraId="4957FB53">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i w:val="0"/>
                      <w:iCs w:val="0"/>
                      <w:color w:val="auto"/>
                      <w:kern w:val="0"/>
                      <w:sz w:val="21"/>
                      <w:szCs w:val="21"/>
                      <w:u w:val="none"/>
                      <w:lang w:val="en-US" w:eastAsia="zh-CN" w:bidi="ar"/>
                    </w:rPr>
                  </w:pPr>
                </w:p>
              </w:tc>
              <w:tc>
                <w:tcPr>
                  <w:tcW w:w="288" w:type="pct"/>
                  <w:vMerge w:val="continue"/>
                  <w:noWrap w:val="0"/>
                  <w:vAlign w:val="center"/>
                </w:tcPr>
                <w:p w14:paraId="4C7156FD">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88" w:type="pct"/>
                  <w:vMerge w:val="continue"/>
                  <w:noWrap w:val="0"/>
                  <w:vAlign w:val="center"/>
                </w:tcPr>
                <w:p w14:paraId="642549ED">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80" w:type="pct"/>
                  <w:vMerge w:val="continue"/>
                  <w:noWrap w:val="0"/>
                  <w:vAlign w:val="center"/>
                </w:tcPr>
                <w:p w14:paraId="188DD24F">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highlight w:val="none"/>
                      <w:lang w:val="en-US" w:eastAsia="zh-CN"/>
                    </w:rPr>
                  </w:pPr>
                </w:p>
              </w:tc>
              <w:tc>
                <w:tcPr>
                  <w:tcW w:w="253" w:type="pct"/>
                  <w:vMerge w:val="continue"/>
                  <w:noWrap w:val="0"/>
                  <w:vAlign w:val="center"/>
                </w:tcPr>
                <w:p w14:paraId="12754AC7">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0"/>
                      <w:sz w:val="21"/>
                      <w:szCs w:val="21"/>
                      <w:lang w:val="en-US" w:eastAsia="zh-CN" w:bidi="ar"/>
                    </w:rPr>
                  </w:pPr>
                </w:p>
              </w:tc>
              <w:tc>
                <w:tcPr>
                  <w:tcW w:w="280" w:type="pct"/>
                  <w:vMerge w:val="continue"/>
                  <w:noWrap w:val="0"/>
                  <w:vAlign w:val="center"/>
                </w:tcPr>
                <w:p w14:paraId="17D713FE">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0"/>
                      <w:sz w:val="21"/>
                      <w:szCs w:val="21"/>
                      <w:lang w:val="en-US" w:eastAsia="zh-CN" w:bidi="ar"/>
                    </w:rPr>
                  </w:pPr>
                </w:p>
              </w:tc>
              <w:tc>
                <w:tcPr>
                  <w:tcW w:w="253" w:type="pct"/>
                  <w:vMerge w:val="continue"/>
                  <w:noWrap w:val="0"/>
                  <w:vAlign w:val="center"/>
                </w:tcPr>
                <w:p w14:paraId="2006CF69">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0"/>
                      <w:sz w:val="21"/>
                      <w:szCs w:val="21"/>
                    </w:rPr>
                  </w:pPr>
                </w:p>
              </w:tc>
              <w:tc>
                <w:tcPr>
                  <w:tcW w:w="271" w:type="pct"/>
                  <w:vMerge w:val="continue"/>
                  <w:noWrap w:val="0"/>
                  <w:vAlign w:val="center"/>
                </w:tcPr>
                <w:p w14:paraId="5F322888">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0"/>
                      <w:sz w:val="21"/>
                      <w:szCs w:val="21"/>
                    </w:rPr>
                  </w:pPr>
                </w:p>
              </w:tc>
            </w:tr>
          </w:tbl>
          <w:p w14:paraId="5D9FFAC9">
            <w:pPr>
              <w:keepNext w:val="0"/>
              <w:keepLines w:val="0"/>
              <w:pageBreakBefore w:val="0"/>
              <w:widowControl w:val="0"/>
              <w:kinsoku/>
              <w:wordWrap/>
              <w:overflowPunct/>
              <w:topLinePunct/>
              <w:autoSpaceDE w:val="0"/>
              <w:autoSpaceDN/>
              <w:bidi w:val="0"/>
              <w:adjustRightInd w:val="0"/>
              <w:snapToGrid/>
              <w:spacing w:line="360" w:lineRule="auto"/>
              <w:ind w:leftChars="0"/>
              <w:jc w:val="center"/>
              <w:textAlignment w:val="auto"/>
              <w:rPr>
                <w:rFonts w:hint="eastAsia" w:ascii="Times New Roman" w:hAnsi="Times New Roman" w:eastAsia="黑体" w:cs="Times New Roman"/>
                <w:b w:val="0"/>
                <w:bCs w:val="0"/>
                <w:snapToGrid w:val="0"/>
                <w:color w:val="000000" w:themeColor="text1"/>
                <w:kern w:val="0"/>
                <w:sz w:val="21"/>
                <w:szCs w:val="21"/>
                <w:lang w:eastAsia="zh-CN"/>
                <w14:textFill>
                  <w14:solidFill>
                    <w14:schemeClr w14:val="tx1"/>
                  </w14:solidFill>
                </w14:textFill>
              </w:rPr>
            </w:pPr>
            <w:r>
              <w:rPr>
                <w:rFonts w:hint="eastAsia" w:ascii="Times New Roman" w:hAnsi="Times New Roman" w:eastAsia="黑体" w:cs="Times New Roman"/>
                <w:b w:val="0"/>
                <w:bCs w:val="0"/>
                <w:snapToGrid w:val="0"/>
                <w:color w:val="000000" w:themeColor="text1"/>
                <w:kern w:val="0"/>
                <w:sz w:val="21"/>
                <w:szCs w:val="21"/>
                <w:lang w:eastAsia="zh-CN"/>
                <w14:textFill>
                  <w14:solidFill>
                    <w14:schemeClr w14:val="tx1"/>
                  </w14:solidFill>
                </w14:textFill>
              </w:rPr>
              <w:t>.</w:t>
            </w:r>
          </w:p>
          <w:p w14:paraId="50C46D71">
            <w:pPr>
              <w:keepNext w:val="0"/>
              <w:keepLines w:val="0"/>
              <w:pageBreakBefore w:val="0"/>
              <w:widowControl w:val="0"/>
              <w:kinsoku/>
              <w:wordWrap/>
              <w:overflowPunct/>
              <w:topLinePunct/>
              <w:autoSpaceDE w:val="0"/>
              <w:autoSpaceDN/>
              <w:bidi w:val="0"/>
              <w:adjustRightInd w:val="0"/>
              <w:snapToGrid/>
              <w:spacing w:line="360" w:lineRule="auto"/>
              <w:ind w:leftChars="0"/>
              <w:jc w:val="center"/>
              <w:textAlignment w:val="auto"/>
              <w:rPr>
                <w:rFonts w:hint="default" w:ascii="Times New Roman" w:hAnsi="Times New Roman" w:eastAsia="黑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黑体" w:cs="Times New Roman"/>
                <w:b w:val="0"/>
                <w:bCs w:val="0"/>
                <w:snapToGrid w:val="0"/>
                <w:color w:val="000000" w:themeColor="text1"/>
                <w:kern w:val="0"/>
                <w:sz w:val="21"/>
                <w:szCs w:val="21"/>
                <w14:textFill>
                  <w14:solidFill>
                    <w14:schemeClr w14:val="tx1"/>
                  </w14:solidFill>
                </w14:textFill>
              </w:rPr>
              <w:t>表4</w:t>
            </w:r>
            <w:r>
              <w:rPr>
                <w:rFonts w:hint="default" w:ascii="Times New Roman" w:hAnsi="Times New Roman" w:eastAsia="黑体" w:cs="Times New Roman"/>
                <w:b w:val="0"/>
                <w:bCs w:val="0"/>
                <w:snapToGrid w:val="0"/>
                <w:color w:val="000000" w:themeColor="text1"/>
                <w:kern w:val="0"/>
                <w:sz w:val="21"/>
                <w:szCs w:val="21"/>
                <w:lang w:val="en-US" w:eastAsia="zh-CN"/>
                <w14:textFill>
                  <w14:solidFill>
                    <w14:schemeClr w14:val="tx1"/>
                  </w14:solidFill>
                </w14:textFill>
              </w:rPr>
              <w:t>-2</w:t>
            </w:r>
            <w:r>
              <w:rPr>
                <w:rFonts w:hint="default" w:ascii="Times New Roman" w:hAnsi="Times New Roman" w:eastAsia="黑体" w:cs="Times New Roman"/>
                <w:b w:val="0"/>
                <w:bCs w:val="0"/>
                <w:snapToGrid w:val="0"/>
                <w:color w:val="000000" w:themeColor="text1"/>
                <w:kern w:val="0"/>
                <w:sz w:val="21"/>
                <w:szCs w:val="21"/>
                <w14:textFill>
                  <w14:solidFill>
                    <w14:schemeClr w14:val="tx1"/>
                  </w14:solidFill>
                </w14:textFill>
              </w:rPr>
              <w:t xml:space="preserve">  </w:t>
            </w:r>
            <w:r>
              <w:rPr>
                <w:rFonts w:hint="default" w:ascii="Times New Roman" w:hAnsi="Times New Roman" w:eastAsia="黑体" w:cs="Times New Roman"/>
                <w:b w:val="0"/>
                <w:bCs w:val="0"/>
                <w:snapToGrid w:val="0"/>
                <w:color w:val="000000" w:themeColor="text1"/>
                <w:kern w:val="0"/>
                <w:sz w:val="21"/>
                <w:szCs w:val="21"/>
                <w:lang w:eastAsia="zh-CN"/>
                <w14:textFill>
                  <w14:solidFill>
                    <w14:schemeClr w14:val="tx1"/>
                  </w14:solidFill>
                </w14:textFill>
              </w:rPr>
              <w:t>项目</w:t>
            </w:r>
            <w:r>
              <w:rPr>
                <w:rFonts w:hint="eastAsia" w:ascii="黑体" w:hAnsi="黑体" w:eastAsia="黑体" w:cs="黑体"/>
                <w:b w:val="0"/>
                <w:bCs w:val="0"/>
                <w:color w:val="auto"/>
                <w:kern w:val="0"/>
                <w:sz w:val="21"/>
                <w:szCs w:val="21"/>
              </w:rPr>
              <w:t>大气污染物</w:t>
            </w:r>
            <w:r>
              <w:rPr>
                <w:rFonts w:hint="eastAsia" w:ascii="黑体" w:hAnsi="黑体" w:eastAsia="黑体" w:cs="黑体"/>
                <w:b w:val="0"/>
                <w:bCs w:val="0"/>
                <w:color w:val="auto"/>
                <w:kern w:val="0"/>
                <w:sz w:val="21"/>
                <w:szCs w:val="21"/>
                <w:lang w:val="en-US" w:eastAsia="zh-CN"/>
              </w:rPr>
              <w:t>无</w:t>
            </w:r>
            <w:r>
              <w:rPr>
                <w:rFonts w:hint="eastAsia" w:ascii="黑体" w:hAnsi="黑体" w:eastAsia="黑体" w:cs="黑体"/>
                <w:b w:val="0"/>
                <w:bCs w:val="0"/>
                <w:color w:val="auto"/>
                <w:kern w:val="0"/>
                <w:sz w:val="21"/>
                <w:szCs w:val="21"/>
              </w:rPr>
              <w:t>组织排放汇总一览表</w:t>
            </w:r>
          </w:p>
          <w:tbl>
            <w:tblPr>
              <w:tblStyle w:val="24"/>
              <w:tblpPr w:leftFromText="180" w:rightFromText="180" w:vertAnchor="text" w:tblpXSpec="center" w:tblpY="1"/>
              <w:tblOverlap w:val="never"/>
              <w:tblW w:w="4998"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06"/>
              <w:gridCol w:w="1987"/>
              <w:gridCol w:w="1549"/>
              <w:gridCol w:w="1800"/>
              <w:gridCol w:w="1491"/>
              <w:gridCol w:w="1675"/>
              <w:gridCol w:w="1697"/>
              <w:gridCol w:w="1937"/>
            </w:tblGrid>
            <w:tr w14:paraId="4C627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rPr>
              <w:tc>
                <w:tcPr>
                  <w:tcW w:w="647" w:type="pct"/>
                  <w:noWrap w:val="0"/>
                  <w:vAlign w:val="center"/>
                </w:tcPr>
                <w:p w14:paraId="7E9AA117">
                  <w:pPr>
                    <w:keepNext w:val="0"/>
                    <w:keepLines w:val="0"/>
                    <w:pageBreakBefore w:val="0"/>
                    <w:kinsoku/>
                    <w:wordWrap/>
                    <w:overflowPunct/>
                    <w:topLinePunct/>
                    <w:autoSpaceDE w:val="0"/>
                    <w:autoSpaceDN/>
                    <w:bidi w:val="0"/>
                    <w:adjustRightInd w:val="0"/>
                    <w:snapToGrid/>
                    <w:spacing w:line="360" w:lineRule="exact"/>
                    <w:ind w:leftChars="0"/>
                    <w:jc w:val="center"/>
                    <w:rPr>
                      <w:rFonts w:hint="default" w:ascii="Times New Roman" w:hAnsi="Times New Roman" w:cs="Times New Roman"/>
                      <w:b w:val="0"/>
                      <w:bCs w:val="0"/>
                      <w:snapToGrid w:val="0"/>
                      <w:color w:val="000000" w:themeColor="text1"/>
                      <w:sz w:val="21"/>
                      <w:szCs w:val="21"/>
                      <w14:textFill>
                        <w14:solidFill>
                          <w14:schemeClr w14:val="tx1"/>
                        </w14:solidFill>
                      </w14:textFill>
                    </w:rPr>
                  </w:pPr>
                  <w:r>
                    <w:rPr>
                      <w:rFonts w:hint="default" w:ascii="Times New Roman" w:hAnsi="Times New Roman" w:cs="Times New Roman"/>
                      <w:b w:val="0"/>
                      <w:bCs w:val="0"/>
                      <w:snapToGrid w:val="0"/>
                      <w:color w:val="000000" w:themeColor="text1"/>
                      <w:sz w:val="21"/>
                      <w:szCs w:val="21"/>
                      <w14:textFill>
                        <w14:solidFill>
                          <w14:schemeClr w14:val="tx1"/>
                        </w14:solidFill>
                      </w14:textFill>
                    </w:rPr>
                    <w:t>来源</w:t>
                  </w:r>
                </w:p>
              </w:tc>
              <w:tc>
                <w:tcPr>
                  <w:tcW w:w="712" w:type="pct"/>
                  <w:noWrap w:val="0"/>
                  <w:vAlign w:val="center"/>
                </w:tcPr>
                <w:p w14:paraId="22E606E7">
                  <w:pPr>
                    <w:keepNext w:val="0"/>
                    <w:keepLines w:val="0"/>
                    <w:pageBreakBefore w:val="0"/>
                    <w:kinsoku/>
                    <w:wordWrap/>
                    <w:overflowPunct/>
                    <w:topLinePunct/>
                    <w:autoSpaceDE w:val="0"/>
                    <w:autoSpaceDN/>
                    <w:bidi w:val="0"/>
                    <w:adjustRightInd w:val="0"/>
                    <w:snapToGrid/>
                    <w:spacing w:line="360" w:lineRule="exact"/>
                    <w:ind w:leftChars="0"/>
                    <w:jc w:val="center"/>
                    <w:rPr>
                      <w:rFonts w:hint="default" w:ascii="Times New Roman" w:hAnsi="Times New Roman" w:cs="Times New Roman"/>
                      <w:b w:val="0"/>
                      <w:bCs w:val="0"/>
                      <w:snapToGrid w:val="0"/>
                      <w:color w:val="000000" w:themeColor="text1"/>
                      <w:sz w:val="21"/>
                      <w:szCs w:val="21"/>
                      <w14:textFill>
                        <w14:solidFill>
                          <w14:schemeClr w14:val="tx1"/>
                        </w14:solidFill>
                      </w14:textFill>
                    </w:rPr>
                  </w:pPr>
                  <w:r>
                    <w:rPr>
                      <w:rFonts w:hint="default" w:ascii="Times New Roman" w:hAnsi="Times New Roman" w:cs="Times New Roman"/>
                      <w:b w:val="0"/>
                      <w:bCs w:val="0"/>
                      <w:snapToGrid w:val="0"/>
                      <w:color w:val="000000" w:themeColor="text1"/>
                      <w:sz w:val="21"/>
                      <w:szCs w:val="21"/>
                      <w14:textFill>
                        <w14:solidFill>
                          <w14:schemeClr w14:val="tx1"/>
                        </w14:solidFill>
                      </w14:textFill>
                    </w:rPr>
                    <w:t>污染物名称</w:t>
                  </w:r>
                </w:p>
              </w:tc>
              <w:tc>
                <w:tcPr>
                  <w:tcW w:w="555" w:type="pct"/>
                  <w:noWrap w:val="0"/>
                  <w:vAlign w:val="center"/>
                </w:tcPr>
                <w:p w14:paraId="0AB8A208">
                  <w:pPr>
                    <w:keepNext w:val="0"/>
                    <w:keepLines w:val="0"/>
                    <w:pageBreakBefore w:val="0"/>
                    <w:kinsoku/>
                    <w:wordWrap/>
                    <w:overflowPunct/>
                    <w:topLinePunct/>
                    <w:autoSpaceDE w:val="0"/>
                    <w:autoSpaceDN/>
                    <w:bidi w:val="0"/>
                    <w:adjustRightInd w:val="0"/>
                    <w:snapToGrid/>
                    <w:spacing w:line="360" w:lineRule="exact"/>
                    <w:ind w:leftChars="0"/>
                    <w:jc w:val="center"/>
                    <w:rPr>
                      <w:rFonts w:hint="default" w:ascii="Times New Roman" w:hAnsi="Times New Roman" w:cs="Times New Roman"/>
                      <w:b w:val="0"/>
                      <w:bCs w:val="0"/>
                      <w:snapToGrid w:val="0"/>
                      <w:color w:val="000000" w:themeColor="text1"/>
                      <w:sz w:val="21"/>
                      <w:szCs w:val="21"/>
                      <w14:textFill>
                        <w14:solidFill>
                          <w14:schemeClr w14:val="tx1"/>
                        </w14:solidFill>
                      </w14:textFill>
                    </w:rPr>
                  </w:pPr>
                  <w:r>
                    <w:rPr>
                      <w:rFonts w:hint="default" w:ascii="Times New Roman" w:hAnsi="Times New Roman" w:cs="Times New Roman"/>
                      <w:b w:val="0"/>
                      <w:bCs w:val="0"/>
                      <w:snapToGrid w:val="0"/>
                      <w:color w:val="000000" w:themeColor="text1"/>
                      <w:sz w:val="21"/>
                      <w:szCs w:val="21"/>
                      <w14:textFill>
                        <w14:solidFill>
                          <w14:schemeClr w14:val="tx1"/>
                        </w14:solidFill>
                      </w14:textFill>
                    </w:rPr>
                    <w:t>产生量</w:t>
                  </w:r>
                  <w:r>
                    <w:rPr>
                      <w:rFonts w:hint="eastAsia" w:ascii="Times New Roman" w:hAnsi="Times New Roman" w:cs="Times New Roman"/>
                      <w:b w:val="0"/>
                      <w:bCs w:val="0"/>
                      <w:snapToGrid w:val="0"/>
                      <w:color w:val="000000" w:themeColor="text1"/>
                      <w:sz w:val="21"/>
                      <w:szCs w:val="21"/>
                      <w:lang w:val="en-US" w:eastAsia="zh-CN"/>
                      <w14:textFill>
                        <w14:solidFill>
                          <w14:schemeClr w14:val="tx1"/>
                        </w14:solidFill>
                      </w14:textFill>
                    </w:rPr>
                    <w:t>kg</w:t>
                  </w:r>
                  <w:r>
                    <w:rPr>
                      <w:rFonts w:hint="default" w:ascii="Times New Roman" w:hAnsi="Times New Roman" w:cs="Times New Roman"/>
                      <w:b w:val="0"/>
                      <w:bCs w:val="0"/>
                      <w:snapToGrid w:val="0"/>
                      <w:color w:val="000000" w:themeColor="text1"/>
                      <w:sz w:val="21"/>
                      <w:szCs w:val="21"/>
                      <w14:textFill>
                        <w14:solidFill>
                          <w14:schemeClr w14:val="tx1"/>
                        </w14:solidFill>
                      </w14:textFill>
                    </w:rPr>
                    <w:t>/a</w:t>
                  </w:r>
                </w:p>
              </w:tc>
              <w:tc>
                <w:tcPr>
                  <w:tcW w:w="645" w:type="pct"/>
                  <w:noWrap w:val="0"/>
                  <w:vAlign w:val="center"/>
                </w:tcPr>
                <w:p w14:paraId="32FA7FF4">
                  <w:pPr>
                    <w:keepNext w:val="0"/>
                    <w:keepLines w:val="0"/>
                    <w:pageBreakBefore w:val="0"/>
                    <w:kinsoku/>
                    <w:wordWrap/>
                    <w:overflowPunct/>
                    <w:topLinePunct/>
                    <w:autoSpaceDE w:val="0"/>
                    <w:autoSpaceDN/>
                    <w:bidi w:val="0"/>
                    <w:adjustRightInd w:val="0"/>
                    <w:snapToGrid/>
                    <w:spacing w:line="360" w:lineRule="exact"/>
                    <w:ind w:leftChars="0"/>
                    <w:jc w:val="center"/>
                    <w:rPr>
                      <w:rFonts w:hint="default" w:ascii="Times New Roman" w:hAnsi="Times New Roman" w:cs="Times New Roman"/>
                      <w:b w:val="0"/>
                      <w:bCs w:val="0"/>
                      <w:snapToGrid w:val="0"/>
                      <w:color w:val="000000" w:themeColor="text1"/>
                      <w:sz w:val="21"/>
                      <w:szCs w:val="21"/>
                      <w14:textFill>
                        <w14:solidFill>
                          <w14:schemeClr w14:val="tx1"/>
                        </w14:solidFill>
                      </w14:textFill>
                    </w:rPr>
                  </w:pPr>
                  <w:r>
                    <w:rPr>
                      <w:rFonts w:hint="default" w:ascii="Times New Roman" w:hAnsi="Times New Roman" w:cs="Times New Roman"/>
                      <w:b w:val="0"/>
                      <w:bCs w:val="0"/>
                      <w:snapToGrid w:val="0"/>
                      <w:color w:val="000000" w:themeColor="text1"/>
                      <w:sz w:val="21"/>
                      <w:szCs w:val="21"/>
                      <w14:textFill>
                        <w14:solidFill>
                          <w14:schemeClr w14:val="tx1"/>
                        </w14:solidFill>
                      </w14:textFill>
                    </w:rPr>
                    <w:t>产生速率g/h</w:t>
                  </w:r>
                </w:p>
              </w:tc>
              <w:tc>
                <w:tcPr>
                  <w:tcW w:w="534" w:type="pct"/>
                  <w:noWrap w:val="0"/>
                  <w:vAlign w:val="center"/>
                </w:tcPr>
                <w:p w14:paraId="20C63D15">
                  <w:pPr>
                    <w:keepNext w:val="0"/>
                    <w:keepLines w:val="0"/>
                    <w:pageBreakBefore w:val="0"/>
                    <w:kinsoku/>
                    <w:wordWrap/>
                    <w:overflowPunct/>
                    <w:topLinePunct/>
                    <w:autoSpaceDE w:val="0"/>
                    <w:autoSpaceDN/>
                    <w:bidi w:val="0"/>
                    <w:adjustRightInd w:val="0"/>
                    <w:snapToGrid/>
                    <w:spacing w:line="360" w:lineRule="exact"/>
                    <w:ind w:leftChars="0"/>
                    <w:jc w:val="center"/>
                    <w:rPr>
                      <w:rFonts w:hint="default" w:ascii="Times New Roman" w:hAnsi="Times New Roman" w:cs="Times New Roman"/>
                      <w:b w:val="0"/>
                      <w:bCs w:val="0"/>
                      <w:snapToGrid w:val="0"/>
                      <w:color w:val="000000" w:themeColor="text1"/>
                      <w:sz w:val="21"/>
                      <w:szCs w:val="21"/>
                      <w14:textFill>
                        <w14:solidFill>
                          <w14:schemeClr w14:val="tx1"/>
                        </w14:solidFill>
                      </w14:textFill>
                    </w:rPr>
                  </w:pPr>
                  <w:r>
                    <w:rPr>
                      <w:rFonts w:hint="default" w:ascii="Times New Roman" w:hAnsi="Times New Roman" w:cs="Times New Roman"/>
                      <w:b w:val="0"/>
                      <w:bCs w:val="0"/>
                      <w:snapToGrid w:val="0"/>
                      <w:color w:val="000000" w:themeColor="text1"/>
                      <w:sz w:val="21"/>
                      <w:szCs w:val="21"/>
                      <w14:textFill>
                        <w14:solidFill>
                          <w14:schemeClr w14:val="tx1"/>
                        </w14:solidFill>
                      </w14:textFill>
                    </w:rPr>
                    <w:t>排放量</w:t>
                  </w:r>
                  <w:r>
                    <w:rPr>
                      <w:rFonts w:hint="eastAsia" w:ascii="Times New Roman" w:hAnsi="Times New Roman" w:cs="Times New Roman"/>
                      <w:b w:val="0"/>
                      <w:bCs w:val="0"/>
                      <w:snapToGrid w:val="0"/>
                      <w:color w:val="000000" w:themeColor="text1"/>
                      <w:sz w:val="21"/>
                      <w:szCs w:val="21"/>
                      <w:lang w:val="en-US" w:eastAsia="zh-CN"/>
                      <w14:textFill>
                        <w14:solidFill>
                          <w14:schemeClr w14:val="tx1"/>
                        </w14:solidFill>
                      </w14:textFill>
                    </w:rPr>
                    <w:t>kg</w:t>
                  </w:r>
                  <w:r>
                    <w:rPr>
                      <w:rFonts w:hint="default" w:ascii="Times New Roman" w:hAnsi="Times New Roman" w:cs="Times New Roman"/>
                      <w:b w:val="0"/>
                      <w:bCs w:val="0"/>
                      <w:snapToGrid w:val="0"/>
                      <w:color w:val="000000" w:themeColor="text1"/>
                      <w:sz w:val="21"/>
                      <w:szCs w:val="21"/>
                      <w14:textFill>
                        <w14:solidFill>
                          <w14:schemeClr w14:val="tx1"/>
                        </w14:solidFill>
                      </w14:textFill>
                    </w:rPr>
                    <w:t>/a</w:t>
                  </w:r>
                </w:p>
              </w:tc>
              <w:tc>
                <w:tcPr>
                  <w:tcW w:w="600" w:type="pct"/>
                  <w:noWrap w:val="0"/>
                  <w:vAlign w:val="center"/>
                </w:tcPr>
                <w:p w14:paraId="6D16FE9F">
                  <w:pPr>
                    <w:keepNext w:val="0"/>
                    <w:keepLines w:val="0"/>
                    <w:pageBreakBefore w:val="0"/>
                    <w:kinsoku/>
                    <w:wordWrap/>
                    <w:overflowPunct/>
                    <w:topLinePunct/>
                    <w:autoSpaceDE w:val="0"/>
                    <w:autoSpaceDN/>
                    <w:bidi w:val="0"/>
                    <w:adjustRightInd w:val="0"/>
                    <w:snapToGrid/>
                    <w:spacing w:line="360" w:lineRule="exact"/>
                    <w:ind w:leftChars="0"/>
                    <w:jc w:val="center"/>
                    <w:rPr>
                      <w:rFonts w:hint="default" w:ascii="Times New Roman" w:hAnsi="Times New Roman" w:cs="Times New Roman"/>
                      <w:b w:val="0"/>
                      <w:bCs w:val="0"/>
                      <w:snapToGrid w:val="0"/>
                      <w:color w:val="000000" w:themeColor="text1"/>
                      <w:sz w:val="21"/>
                      <w:szCs w:val="21"/>
                      <w14:textFill>
                        <w14:solidFill>
                          <w14:schemeClr w14:val="tx1"/>
                        </w14:solidFill>
                      </w14:textFill>
                    </w:rPr>
                  </w:pPr>
                  <w:r>
                    <w:rPr>
                      <w:rFonts w:hint="default" w:ascii="Times New Roman" w:hAnsi="Times New Roman" w:cs="Times New Roman"/>
                      <w:b w:val="0"/>
                      <w:bCs w:val="0"/>
                      <w:snapToGrid w:val="0"/>
                      <w:color w:val="000000" w:themeColor="text1"/>
                      <w:sz w:val="21"/>
                      <w:szCs w:val="21"/>
                      <w14:textFill>
                        <w14:solidFill>
                          <w14:schemeClr w14:val="tx1"/>
                        </w14:solidFill>
                      </w14:textFill>
                    </w:rPr>
                    <w:t>排放速率g/h</w:t>
                  </w:r>
                </w:p>
              </w:tc>
              <w:tc>
                <w:tcPr>
                  <w:tcW w:w="608" w:type="pct"/>
                  <w:noWrap w:val="0"/>
                  <w:vAlign w:val="center"/>
                </w:tcPr>
                <w:p w14:paraId="54DE7FDE">
                  <w:pPr>
                    <w:keepNext w:val="0"/>
                    <w:keepLines w:val="0"/>
                    <w:pageBreakBefore w:val="0"/>
                    <w:kinsoku/>
                    <w:wordWrap/>
                    <w:overflowPunct/>
                    <w:topLinePunct/>
                    <w:autoSpaceDE w:val="0"/>
                    <w:autoSpaceDN/>
                    <w:bidi w:val="0"/>
                    <w:adjustRightInd w:val="0"/>
                    <w:snapToGrid/>
                    <w:spacing w:line="360" w:lineRule="exact"/>
                    <w:ind w:leftChars="0"/>
                    <w:jc w:val="center"/>
                    <w:rPr>
                      <w:rFonts w:hint="default" w:ascii="Times New Roman" w:hAnsi="Times New Roman" w:cs="Times New Roman"/>
                      <w:b w:val="0"/>
                      <w:bCs w:val="0"/>
                      <w:snapToGrid w:val="0"/>
                      <w:color w:val="000000" w:themeColor="text1"/>
                      <w:sz w:val="21"/>
                      <w:szCs w:val="21"/>
                      <w14:textFill>
                        <w14:solidFill>
                          <w14:schemeClr w14:val="tx1"/>
                        </w14:solidFill>
                      </w14:textFill>
                    </w:rPr>
                  </w:pPr>
                  <w:r>
                    <w:rPr>
                      <w:rFonts w:hint="default" w:ascii="Times New Roman" w:hAnsi="Times New Roman" w:cs="Times New Roman"/>
                      <w:b w:val="0"/>
                      <w:bCs w:val="0"/>
                      <w:snapToGrid w:val="0"/>
                      <w:color w:val="000000" w:themeColor="text1"/>
                      <w:sz w:val="21"/>
                      <w:szCs w:val="21"/>
                      <w14:textFill>
                        <w14:solidFill>
                          <w14:schemeClr w14:val="tx1"/>
                        </w14:solidFill>
                      </w14:textFill>
                    </w:rPr>
                    <w:t>面源面积m</w:t>
                  </w:r>
                  <w:r>
                    <w:rPr>
                      <w:rFonts w:hint="default" w:ascii="Times New Roman" w:hAnsi="Times New Roman" w:cs="Times New Roman"/>
                      <w:b w:val="0"/>
                      <w:bCs w:val="0"/>
                      <w:snapToGrid w:val="0"/>
                      <w:color w:val="000000" w:themeColor="text1"/>
                      <w:sz w:val="21"/>
                      <w:szCs w:val="21"/>
                      <w:vertAlign w:val="superscript"/>
                      <w14:textFill>
                        <w14:solidFill>
                          <w14:schemeClr w14:val="tx1"/>
                        </w14:solidFill>
                      </w14:textFill>
                    </w:rPr>
                    <w:t>2</w:t>
                  </w:r>
                </w:p>
              </w:tc>
              <w:tc>
                <w:tcPr>
                  <w:tcW w:w="694" w:type="pct"/>
                  <w:noWrap w:val="0"/>
                  <w:vAlign w:val="center"/>
                </w:tcPr>
                <w:p w14:paraId="0F54CAB4">
                  <w:pPr>
                    <w:keepNext w:val="0"/>
                    <w:keepLines w:val="0"/>
                    <w:pageBreakBefore w:val="0"/>
                    <w:kinsoku/>
                    <w:wordWrap/>
                    <w:overflowPunct/>
                    <w:topLinePunct/>
                    <w:autoSpaceDE w:val="0"/>
                    <w:autoSpaceDN/>
                    <w:bidi w:val="0"/>
                    <w:adjustRightInd w:val="0"/>
                    <w:snapToGrid/>
                    <w:spacing w:line="360" w:lineRule="exact"/>
                    <w:ind w:leftChars="0"/>
                    <w:jc w:val="center"/>
                    <w:rPr>
                      <w:rFonts w:hint="default" w:ascii="Times New Roman" w:hAnsi="Times New Roman" w:cs="Times New Roman"/>
                      <w:b w:val="0"/>
                      <w:bCs w:val="0"/>
                      <w:snapToGrid w:val="0"/>
                      <w:color w:val="000000" w:themeColor="text1"/>
                      <w:sz w:val="21"/>
                      <w:szCs w:val="21"/>
                      <w14:textFill>
                        <w14:solidFill>
                          <w14:schemeClr w14:val="tx1"/>
                        </w14:solidFill>
                      </w14:textFill>
                    </w:rPr>
                  </w:pPr>
                  <w:r>
                    <w:rPr>
                      <w:rFonts w:hint="default" w:ascii="Times New Roman" w:hAnsi="Times New Roman" w:cs="Times New Roman"/>
                      <w:b w:val="0"/>
                      <w:bCs w:val="0"/>
                      <w:snapToGrid w:val="0"/>
                      <w:color w:val="000000" w:themeColor="text1"/>
                      <w:sz w:val="21"/>
                      <w:szCs w:val="21"/>
                      <w14:textFill>
                        <w14:solidFill>
                          <w14:schemeClr w14:val="tx1"/>
                        </w14:solidFill>
                      </w14:textFill>
                    </w:rPr>
                    <w:t>面源高度m</w:t>
                  </w:r>
                </w:p>
              </w:tc>
            </w:tr>
            <w:tr w14:paraId="3CB07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rPr>
              <w:tc>
                <w:tcPr>
                  <w:tcW w:w="647" w:type="pct"/>
                  <w:vMerge w:val="restart"/>
                  <w:noWrap w:val="0"/>
                  <w:vAlign w:val="center"/>
                </w:tcPr>
                <w:p w14:paraId="039C06EF">
                  <w:pPr>
                    <w:keepNext w:val="0"/>
                    <w:keepLines w:val="0"/>
                    <w:pageBreakBefore w:val="0"/>
                    <w:kinsoku/>
                    <w:wordWrap/>
                    <w:overflowPunct/>
                    <w:topLinePunct/>
                    <w:autoSpaceDE w:val="0"/>
                    <w:autoSpaceDN/>
                    <w:bidi w:val="0"/>
                    <w:adjustRightInd w:val="0"/>
                    <w:snapToGrid/>
                    <w:spacing w:line="360" w:lineRule="exact"/>
                    <w:ind w:leftChars="0"/>
                    <w:jc w:val="center"/>
                    <w:rPr>
                      <w:rFonts w:hint="default" w:ascii="Times New Roman" w:hAnsi="Times New Roman" w:cs="Times New Roman"/>
                      <w:b w:val="0"/>
                      <w:bCs w:val="0"/>
                      <w:snapToGrid w:val="0"/>
                      <w:color w:val="000000" w:themeColor="text1"/>
                      <w:kern w:val="0"/>
                      <w:sz w:val="21"/>
                      <w:szCs w:val="21"/>
                      <w:lang w:val="en-US" w:eastAsia="zh-CN"/>
                      <w14:textFill>
                        <w14:solidFill>
                          <w14:schemeClr w14:val="tx1"/>
                        </w14:solidFill>
                      </w14:textFill>
                    </w:rPr>
                  </w:pPr>
                  <w:r>
                    <w:rPr>
                      <w:rFonts w:hint="default" w:ascii="Times New Roman" w:hAnsi="Times New Roman" w:cs="Times New Roman"/>
                      <w:b w:val="0"/>
                      <w:bCs w:val="0"/>
                      <w:snapToGrid w:val="0"/>
                      <w:color w:val="000000" w:themeColor="text1"/>
                      <w:kern w:val="0"/>
                      <w:sz w:val="21"/>
                      <w:szCs w:val="21"/>
                      <w:lang w:val="en-US" w:eastAsia="zh-CN"/>
                      <w14:textFill>
                        <w14:solidFill>
                          <w14:schemeClr w14:val="tx1"/>
                        </w14:solidFill>
                      </w14:textFill>
                    </w:rPr>
                    <w:t>生产</w:t>
                  </w:r>
                  <w:r>
                    <w:rPr>
                      <w:rFonts w:hint="eastAsia" w:ascii="Times New Roman" w:hAnsi="Times New Roman" w:cs="Times New Roman"/>
                      <w:b w:val="0"/>
                      <w:bCs w:val="0"/>
                      <w:snapToGrid w:val="0"/>
                      <w:color w:val="000000" w:themeColor="text1"/>
                      <w:kern w:val="0"/>
                      <w:sz w:val="21"/>
                      <w:szCs w:val="21"/>
                      <w:lang w:val="en-US" w:eastAsia="zh-CN"/>
                      <w14:textFill>
                        <w14:solidFill>
                          <w14:schemeClr w14:val="tx1"/>
                        </w14:solidFill>
                      </w14:textFill>
                    </w:rPr>
                    <w:t>区</w:t>
                  </w:r>
                </w:p>
              </w:tc>
              <w:tc>
                <w:tcPr>
                  <w:tcW w:w="712" w:type="pct"/>
                  <w:noWrap w:val="0"/>
                  <w:vAlign w:val="center"/>
                </w:tcPr>
                <w:p w14:paraId="4B3B4E00">
                  <w:pPr>
                    <w:keepNext w:val="0"/>
                    <w:keepLines w:val="0"/>
                    <w:pageBreakBefore w:val="0"/>
                    <w:kinsoku/>
                    <w:wordWrap/>
                    <w:overflowPunct/>
                    <w:autoSpaceDN/>
                    <w:bidi w:val="0"/>
                    <w:snapToGrid/>
                    <w:spacing w:line="360" w:lineRule="exact"/>
                    <w:jc w:val="center"/>
                    <w:rPr>
                      <w:rFonts w:hint="default" w:ascii="Times New Roman" w:hAnsi="Times New Roman"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cs="Times New Roman"/>
                      <w:b w:val="0"/>
                      <w:bCs w:val="0"/>
                      <w:color w:val="000000" w:themeColor="text1"/>
                      <w:sz w:val="21"/>
                      <w:szCs w:val="21"/>
                      <w:lang w:eastAsia="zh-CN"/>
                      <w14:textFill>
                        <w14:solidFill>
                          <w14:schemeClr w14:val="tx1"/>
                        </w14:solidFill>
                      </w14:textFill>
                    </w:rPr>
                    <w:t>颗粒物</w:t>
                  </w:r>
                </w:p>
              </w:tc>
              <w:tc>
                <w:tcPr>
                  <w:tcW w:w="555" w:type="pct"/>
                  <w:noWrap w:val="0"/>
                  <w:vAlign w:val="center"/>
                </w:tcPr>
                <w:p w14:paraId="37A0AFCD">
                  <w:pPr>
                    <w:keepNext w:val="0"/>
                    <w:keepLines w:val="0"/>
                    <w:pageBreakBefore w:val="0"/>
                    <w:widowControl/>
                    <w:suppressLineNumbers w:val="0"/>
                    <w:kinsoku/>
                    <w:wordWrap/>
                    <w:overflowPunct/>
                    <w:autoSpaceDN/>
                    <w:bidi w:val="0"/>
                    <w:snapToGrid/>
                    <w:spacing w:line="360" w:lineRule="exact"/>
                    <w:jc w:val="center"/>
                    <w:textAlignment w:val="center"/>
                    <w:rPr>
                      <w:rFonts w:hint="default" w:ascii="Times New Roman" w:hAnsi="Times New Roman" w:cs="Times New Roman"/>
                      <w:b w:val="0"/>
                      <w:bCs w:val="0"/>
                      <w:snapToGrid w:val="0"/>
                      <w:color w:val="000000" w:themeColor="text1"/>
                      <w:kern w:val="0"/>
                      <w:sz w:val="21"/>
                      <w:szCs w:val="21"/>
                      <w:lang w:val="en-US" w:eastAsia="zh-CN"/>
                      <w14:textFill>
                        <w14:solidFill>
                          <w14:schemeClr w14:val="tx1"/>
                        </w14:solidFill>
                      </w14:textFill>
                    </w:rPr>
                  </w:pPr>
                  <w:r>
                    <w:rPr>
                      <w:rFonts w:hint="eastAsia" w:ascii="Times New Roman" w:hAnsi="Times New Roman" w:cs="Times New Roman"/>
                      <w:b w:val="0"/>
                      <w:bCs w:val="0"/>
                      <w:snapToGrid w:val="0"/>
                      <w:color w:val="000000" w:themeColor="text1"/>
                      <w:kern w:val="0"/>
                      <w:sz w:val="21"/>
                      <w:szCs w:val="21"/>
                      <w:lang w:val="en-US" w:eastAsia="zh-CN"/>
                      <w14:textFill>
                        <w14:solidFill>
                          <w14:schemeClr w14:val="tx1"/>
                        </w14:solidFill>
                      </w14:textFill>
                    </w:rPr>
                    <w:t>0.0133</w:t>
                  </w:r>
                </w:p>
              </w:tc>
              <w:tc>
                <w:tcPr>
                  <w:tcW w:w="645" w:type="pct"/>
                  <w:noWrap w:val="0"/>
                  <w:vAlign w:val="center"/>
                </w:tcPr>
                <w:p w14:paraId="2BA224EB">
                  <w:pPr>
                    <w:keepNext w:val="0"/>
                    <w:keepLines w:val="0"/>
                    <w:pageBreakBefore w:val="0"/>
                    <w:widowControl/>
                    <w:suppressLineNumbers w:val="0"/>
                    <w:kinsoku/>
                    <w:wordWrap/>
                    <w:overflowPunct/>
                    <w:autoSpaceDN/>
                    <w:bidi w:val="0"/>
                    <w:snapToGrid/>
                    <w:spacing w:line="360" w:lineRule="exact"/>
                    <w:jc w:val="center"/>
                    <w:textAlignment w:val="center"/>
                    <w:rPr>
                      <w:rFonts w:hint="default" w:ascii="Times New Roman" w:hAnsi="Times New Roman" w:cs="Times New Roman"/>
                      <w:b w:val="0"/>
                      <w:bCs w:val="0"/>
                      <w:snapToGrid w:val="0"/>
                      <w:color w:val="000000" w:themeColor="text1"/>
                      <w:kern w:val="0"/>
                      <w:sz w:val="21"/>
                      <w:szCs w:val="21"/>
                      <w:lang w:val="en-US" w:eastAsia="zh-CN"/>
                      <w14:textFill>
                        <w14:solidFill>
                          <w14:schemeClr w14:val="tx1"/>
                        </w14:solidFill>
                      </w14:textFill>
                    </w:rPr>
                  </w:pPr>
                  <w:r>
                    <w:rPr>
                      <w:rFonts w:hint="eastAsia" w:ascii="Times New Roman" w:hAnsi="Times New Roman" w:cs="Times New Roman"/>
                      <w:b w:val="0"/>
                      <w:bCs w:val="0"/>
                      <w:snapToGrid w:val="0"/>
                      <w:color w:val="000000" w:themeColor="text1"/>
                      <w:kern w:val="0"/>
                      <w:sz w:val="21"/>
                      <w:szCs w:val="21"/>
                      <w:lang w:val="en-US" w:eastAsia="zh-CN"/>
                      <w14:textFill>
                        <w14:solidFill>
                          <w14:schemeClr w14:val="tx1"/>
                        </w14:solidFill>
                      </w14:textFill>
                    </w:rPr>
                    <w:t>0.0055</w:t>
                  </w:r>
                </w:p>
              </w:tc>
              <w:tc>
                <w:tcPr>
                  <w:tcW w:w="1491" w:type="dxa"/>
                  <w:noWrap w:val="0"/>
                  <w:vAlign w:val="center"/>
                </w:tcPr>
                <w:p w14:paraId="3914ADCA">
                  <w:pPr>
                    <w:keepNext w:val="0"/>
                    <w:keepLines w:val="0"/>
                    <w:pageBreakBefore w:val="0"/>
                    <w:widowControl/>
                    <w:suppressLineNumbers w:val="0"/>
                    <w:kinsoku/>
                    <w:wordWrap/>
                    <w:overflowPunct/>
                    <w:autoSpaceDN/>
                    <w:bidi w:val="0"/>
                    <w:snapToGrid/>
                    <w:spacing w:line="360" w:lineRule="exact"/>
                    <w:jc w:val="center"/>
                    <w:textAlignment w:val="center"/>
                    <w:rPr>
                      <w:rFonts w:hint="default" w:ascii="Times New Roman" w:hAnsi="Times New Roman" w:cs="Times New Roman"/>
                      <w:b w:val="0"/>
                      <w:bCs w:val="0"/>
                      <w:snapToGrid w:val="0"/>
                      <w:color w:val="000000" w:themeColor="text1"/>
                      <w:kern w:val="0"/>
                      <w:sz w:val="21"/>
                      <w:szCs w:val="21"/>
                      <w:lang w:val="en-US" w:eastAsia="zh-CN"/>
                      <w14:textFill>
                        <w14:solidFill>
                          <w14:schemeClr w14:val="tx1"/>
                        </w14:solidFill>
                      </w14:textFill>
                    </w:rPr>
                  </w:pPr>
                  <w:r>
                    <w:rPr>
                      <w:rFonts w:hint="eastAsia" w:ascii="Times New Roman" w:hAnsi="Times New Roman" w:cs="Times New Roman"/>
                      <w:b w:val="0"/>
                      <w:bCs w:val="0"/>
                      <w:snapToGrid w:val="0"/>
                      <w:color w:val="000000" w:themeColor="text1"/>
                      <w:kern w:val="0"/>
                      <w:sz w:val="21"/>
                      <w:szCs w:val="21"/>
                      <w:lang w:val="en-US" w:eastAsia="zh-CN"/>
                      <w14:textFill>
                        <w14:solidFill>
                          <w14:schemeClr w14:val="tx1"/>
                        </w14:solidFill>
                      </w14:textFill>
                    </w:rPr>
                    <w:t>0.0133</w:t>
                  </w:r>
                </w:p>
              </w:tc>
              <w:tc>
                <w:tcPr>
                  <w:tcW w:w="1674" w:type="dxa"/>
                  <w:noWrap w:val="0"/>
                  <w:vAlign w:val="center"/>
                </w:tcPr>
                <w:p w14:paraId="729690A2">
                  <w:pPr>
                    <w:keepNext w:val="0"/>
                    <w:keepLines w:val="0"/>
                    <w:pageBreakBefore w:val="0"/>
                    <w:widowControl/>
                    <w:suppressLineNumbers w:val="0"/>
                    <w:kinsoku/>
                    <w:wordWrap/>
                    <w:overflowPunct/>
                    <w:autoSpaceDN/>
                    <w:bidi w:val="0"/>
                    <w:snapToGrid/>
                    <w:spacing w:line="360" w:lineRule="exact"/>
                    <w:jc w:val="center"/>
                    <w:textAlignment w:val="center"/>
                    <w:rPr>
                      <w:rFonts w:hint="default" w:ascii="Times New Roman" w:hAnsi="Times New Roman" w:cs="Times New Roman"/>
                      <w:b w:val="0"/>
                      <w:bCs w:val="0"/>
                      <w:snapToGrid w:val="0"/>
                      <w:color w:val="000000" w:themeColor="text1"/>
                      <w:kern w:val="0"/>
                      <w:sz w:val="21"/>
                      <w:szCs w:val="21"/>
                      <w:lang w:val="en-US" w:eastAsia="zh-CN"/>
                      <w14:textFill>
                        <w14:solidFill>
                          <w14:schemeClr w14:val="tx1"/>
                        </w14:solidFill>
                      </w14:textFill>
                    </w:rPr>
                  </w:pPr>
                  <w:r>
                    <w:rPr>
                      <w:rFonts w:hint="eastAsia" w:ascii="Times New Roman" w:hAnsi="Times New Roman" w:cs="Times New Roman"/>
                      <w:b w:val="0"/>
                      <w:bCs w:val="0"/>
                      <w:snapToGrid w:val="0"/>
                      <w:color w:val="000000" w:themeColor="text1"/>
                      <w:kern w:val="0"/>
                      <w:sz w:val="21"/>
                      <w:szCs w:val="21"/>
                      <w:lang w:val="en-US" w:eastAsia="zh-CN"/>
                      <w14:textFill>
                        <w14:solidFill>
                          <w14:schemeClr w14:val="tx1"/>
                        </w14:solidFill>
                      </w14:textFill>
                    </w:rPr>
                    <w:t>0.0055</w:t>
                  </w:r>
                </w:p>
              </w:tc>
              <w:tc>
                <w:tcPr>
                  <w:tcW w:w="608" w:type="pct"/>
                  <w:vMerge w:val="restart"/>
                  <w:noWrap w:val="0"/>
                  <w:vAlign w:val="center"/>
                </w:tcPr>
                <w:p w14:paraId="3923D04D">
                  <w:pPr>
                    <w:keepNext w:val="0"/>
                    <w:keepLines w:val="0"/>
                    <w:pageBreakBefore w:val="0"/>
                    <w:kinsoku/>
                    <w:wordWrap/>
                    <w:overflowPunct/>
                    <w:topLinePunct/>
                    <w:autoSpaceDE w:val="0"/>
                    <w:autoSpaceDN/>
                    <w:bidi w:val="0"/>
                    <w:adjustRightInd w:val="0"/>
                    <w:snapToGrid/>
                    <w:spacing w:line="360" w:lineRule="exact"/>
                    <w:ind w:leftChars="0"/>
                    <w:jc w:val="center"/>
                    <w:rPr>
                      <w:rFonts w:hint="default" w:ascii="Times New Roman" w:hAnsi="Times New Roman" w:cs="Times New Roman"/>
                      <w:b w:val="0"/>
                      <w:bCs w:val="0"/>
                      <w:snapToGrid w:val="0"/>
                      <w:color w:val="000000" w:themeColor="text1"/>
                      <w:kern w:val="0"/>
                      <w:sz w:val="21"/>
                      <w:szCs w:val="21"/>
                      <w:lang w:val="en-US" w:eastAsia="zh-CN"/>
                      <w14:textFill>
                        <w14:solidFill>
                          <w14:schemeClr w14:val="tx1"/>
                        </w14:solidFill>
                      </w14:textFill>
                    </w:rPr>
                  </w:pPr>
                  <w:r>
                    <w:rPr>
                      <w:rFonts w:hint="eastAsia" w:ascii="Times New Roman" w:hAnsi="Times New Roman" w:cs="Times New Roman"/>
                      <w:b w:val="0"/>
                      <w:bCs w:val="0"/>
                      <w:snapToGrid w:val="0"/>
                      <w:color w:val="000000" w:themeColor="text1"/>
                      <w:kern w:val="0"/>
                      <w:sz w:val="21"/>
                      <w:szCs w:val="21"/>
                      <w:lang w:val="en-US" w:eastAsia="zh-CN"/>
                      <w14:textFill>
                        <w14:solidFill>
                          <w14:schemeClr w14:val="tx1"/>
                        </w14:solidFill>
                      </w14:textFill>
                    </w:rPr>
                    <w:t>1288</w:t>
                  </w:r>
                </w:p>
              </w:tc>
              <w:tc>
                <w:tcPr>
                  <w:tcW w:w="694" w:type="pct"/>
                  <w:vMerge w:val="restart"/>
                  <w:noWrap w:val="0"/>
                  <w:vAlign w:val="center"/>
                </w:tcPr>
                <w:p w14:paraId="07B1C3DB">
                  <w:pPr>
                    <w:keepNext w:val="0"/>
                    <w:keepLines w:val="0"/>
                    <w:pageBreakBefore w:val="0"/>
                    <w:kinsoku/>
                    <w:wordWrap/>
                    <w:overflowPunct/>
                    <w:topLinePunct/>
                    <w:autoSpaceDE w:val="0"/>
                    <w:autoSpaceDN/>
                    <w:bidi w:val="0"/>
                    <w:adjustRightInd w:val="0"/>
                    <w:snapToGrid/>
                    <w:spacing w:line="360" w:lineRule="exact"/>
                    <w:ind w:leftChars="0"/>
                    <w:jc w:val="center"/>
                    <w:rPr>
                      <w:rFonts w:hint="default" w:ascii="Times New Roman" w:hAnsi="Times New Roman" w:cs="Times New Roman"/>
                      <w:b w:val="0"/>
                      <w:bCs w:val="0"/>
                      <w:snapToGrid w:val="0"/>
                      <w:color w:val="000000" w:themeColor="text1"/>
                      <w:kern w:val="0"/>
                      <w:sz w:val="21"/>
                      <w:szCs w:val="21"/>
                      <w:lang w:val="en-US" w:eastAsia="zh-CN"/>
                      <w14:textFill>
                        <w14:solidFill>
                          <w14:schemeClr w14:val="tx1"/>
                        </w14:solidFill>
                      </w14:textFill>
                    </w:rPr>
                  </w:pPr>
                  <w:r>
                    <w:rPr>
                      <w:rFonts w:hint="eastAsia" w:ascii="Times New Roman" w:hAnsi="Times New Roman" w:cs="Times New Roman"/>
                      <w:b w:val="0"/>
                      <w:bCs w:val="0"/>
                      <w:snapToGrid w:val="0"/>
                      <w:color w:val="000000" w:themeColor="text1"/>
                      <w:kern w:val="0"/>
                      <w:sz w:val="21"/>
                      <w:szCs w:val="21"/>
                      <w:lang w:val="en-US" w:eastAsia="zh-CN"/>
                      <w14:textFill>
                        <w14:solidFill>
                          <w14:schemeClr w14:val="tx1"/>
                        </w14:solidFill>
                      </w14:textFill>
                    </w:rPr>
                    <w:t>4</w:t>
                  </w:r>
                </w:p>
              </w:tc>
            </w:tr>
            <w:tr w14:paraId="44080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rPr>
              <w:tc>
                <w:tcPr>
                  <w:tcW w:w="647" w:type="pct"/>
                  <w:vMerge w:val="continue"/>
                  <w:noWrap w:val="0"/>
                  <w:vAlign w:val="center"/>
                </w:tcPr>
                <w:p w14:paraId="07BCC3AA">
                  <w:pPr>
                    <w:keepNext w:val="0"/>
                    <w:keepLines w:val="0"/>
                    <w:pageBreakBefore w:val="0"/>
                    <w:kinsoku/>
                    <w:wordWrap/>
                    <w:overflowPunct/>
                    <w:topLinePunct/>
                    <w:autoSpaceDE w:val="0"/>
                    <w:autoSpaceDN/>
                    <w:bidi w:val="0"/>
                    <w:adjustRightInd w:val="0"/>
                    <w:snapToGrid/>
                    <w:spacing w:line="360" w:lineRule="exact"/>
                    <w:ind w:leftChars="0"/>
                    <w:jc w:val="center"/>
                    <w:rPr>
                      <w:rFonts w:hint="default" w:ascii="Times New Roman" w:hAnsi="Times New Roman" w:cs="Times New Roman"/>
                      <w:snapToGrid w:val="0"/>
                      <w:color w:val="000000" w:themeColor="text1"/>
                      <w:kern w:val="0"/>
                      <w:sz w:val="21"/>
                      <w:szCs w:val="21"/>
                      <w:lang w:eastAsia="zh-CN"/>
                      <w14:textFill>
                        <w14:solidFill>
                          <w14:schemeClr w14:val="tx1"/>
                        </w14:solidFill>
                      </w14:textFill>
                    </w:rPr>
                  </w:pPr>
                </w:p>
              </w:tc>
              <w:tc>
                <w:tcPr>
                  <w:tcW w:w="712" w:type="pct"/>
                  <w:shd w:val="clear" w:color="auto" w:fill="auto"/>
                  <w:noWrap w:val="0"/>
                  <w:vAlign w:val="center"/>
                </w:tcPr>
                <w:p w14:paraId="122DC279">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锡及其化合物</w:t>
                  </w:r>
                </w:p>
              </w:tc>
              <w:tc>
                <w:tcPr>
                  <w:tcW w:w="555" w:type="pct"/>
                  <w:noWrap w:val="0"/>
                  <w:vAlign w:val="center"/>
                </w:tcPr>
                <w:p w14:paraId="76E54A5C">
                  <w:pPr>
                    <w:keepNext w:val="0"/>
                    <w:keepLines w:val="0"/>
                    <w:pageBreakBefore w:val="0"/>
                    <w:widowControl/>
                    <w:suppressLineNumbers w:val="0"/>
                    <w:kinsoku/>
                    <w:wordWrap/>
                    <w:overflowPunct/>
                    <w:autoSpaceDN/>
                    <w:bidi w:val="0"/>
                    <w:snapToGrid/>
                    <w:spacing w:line="360" w:lineRule="exact"/>
                    <w:jc w:val="center"/>
                    <w:textAlignment w:val="center"/>
                    <w:rPr>
                      <w:rFonts w:hint="default" w:ascii="Times New Roman" w:hAnsi="Times New Roman" w:cs="Times New Roman"/>
                      <w:snapToGrid w:val="0"/>
                      <w:color w:val="000000" w:themeColor="text1"/>
                      <w:kern w:val="0"/>
                      <w:sz w:val="21"/>
                      <w:szCs w:val="21"/>
                      <w:lang w:val="en-US" w:eastAsia="zh-CN"/>
                      <w14:textFill>
                        <w14:solidFill>
                          <w14:schemeClr w14:val="tx1"/>
                        </w14:solidFill>
                      </w14:textFill>
                    </w:rPr>
                  </w:pPr>
                  <w:r>
                    <w:rPr>
                      <w:rFonts w:hint="eastAsia" w:ascii="Times New Roman" w:hAnsi="Times New Roman" w:cs="Times New Roman"/>
                      <w:snapToGrid w:val="0"/>
                      <w:color w:val="000000" w:themeColor="text1"/>
                      <w:kern w:val="0"/>
                      <w:sz w:val="21"/>
                      <w:szCs w:val="21"/>
                      <w:lang w:val="en-US" w:eastAsia="zh-CN"/>
                      <w14:textFill>
                        <w14:solidFill>
                          <w14:schemeClr w14:val="tx1"/>
                        </w14:solidFill>
                      </w14:textFill>
                    </w:rPr>
                    <w:t>0.0122</w:t>
                  </w:r>
                </w:p>
              </w:tc>
              <w:tc>
                <w:tcPr>
                  <w:tcW w:w="645" w:type="pct"/>
                  <w:noWrap w:val="0"/>
                  <w:vAlign w:val="center"/>
                </w:tcPr>
                <w:p w14:paraId="3B53170C">
                  <w:pPr>
                    <w:keepNext w:val="0"/>
                    <w:keepLines w:val="0"/>
                    <w:pageBreakBefore w:val="0"/>
                    <w:widowControl/>
                    <w:suppressLineNumbers w:val="0"/>
                    <w:kinsoku/>
                    <w:wordWrap/>
                    <w:overflowPunct/>
                    <w:autoSpaceDN/>
                    <w:bidi w:val="0"/>
                    <w:snapToGrid/>
                    <w:spacing w:line="360" w:lineRule="exact"/>
                    <w:jc w:val="center"/>
                    <w:textAlignment w:val="center"/>
                    <w:rPr>
                      <w:rFonts w:hint="default" w:ascii="Times New Roman" w:hAnsi="Times New Roman" w:cs="Times New Roman"/>
                      <w:snapToGrid w:val="0"/>
                      <w:color w:val="000000" w:themeColor="text1"/>
                      <w:kern w:val="0"/>
                      <w:sz w:val="21"/>
                      <w:szCs w:val="21"/>
                      <w:lang w:val="en-US" w:eastAsia="zh-CN"/>
                      <w14:textFill>
                        <w14:solidFill>
                          <w14:schemeClr w14:val="tx1"/>
                        </w14:solidFill>
                      </w14:textFill>
                    </w:rPr>
                  </w:pPr>
                  <w:r>
                    <w:rPr>
                      <w:rFonts w:hint="eastAsia" w:ascii="Times New Roman" w:hAnsi="Times New Roman" w:cs="Times New Roman"/>
                      <w:snapToGrid w:val="0"/>
                      <w:color w:val="000000" w:themeColor="text1"/>
                      <w:kern w:val="0"/>
                      <w:sz w:val="21"/>
                      <w:szCs w:val="21"/>
                      <w:lang w:val="en-US" w:eastAsia="zh-CN"/>
                      <w14:textFill>
                        <w14:solidFill>
                          <w14:schemeClr w14:val="tx1"/>
                        </w14:solidFill>
                      </w14:textFill>
                    </w:rPr>
                    <w:t>0.0051</w:t>
                  </w:r>
                </w:p>
              </w:tc>
              <w:tc>
                <w:tcPr>
                  <w:tcW w:w="1491" w:type="dxa"/>
                  <w:noWrap w:val="0"/>
                  <w:vAlign w:val="center"/>
                </w:tcPr>
                <w:p w14:paraId="3809476E">
                  <w:pPr>
                    <w:keepNext w:val="0"/>
                    <w:keepLines w:val="0"/>
                    <w:pageBreakBefore w:val="0"/>
                    <w:widowControl/>
                    <w:suppressLineNumbers w:val="0"/>
                    <w:kinsoku/>
                    <w:wordWrap/>
                    <w:overflowPunct/>
                    <w:autoSpaceDN/>
                    <w:bidi w:val="0"/>
                    <w:snapToGrid/>
                    <w:spacing w:line="360" w:lineRule="exact"/>
                    <w:jc w:val="center"/>
                    <w:textAlignment w:val="center"/>
                    <w:rPr>
                      <w:rFonts w:hint="default" w:ascii="Times New Roman" w:hAnsi="Times New Roman" w:cs="Times New Roman"/>
                      <w:snapToGrid w:val="0"/>
                      <w:color w:val="000000" w:themeColor="text1"/>
                      <w:kern w:val="0"/>
                      <w:sz w:val="21"/>
                      <w:szCs w:val="21"/>
                      <w:lang w:val="en-US" w:eastAsia="zh-CN"/>
                      <w14:textFill>
                        <w14:solidFill>
                          <w14:schemeClr w14:val="tx1"/>
                        </w14:solidFill>
                      </w14:textFill>
                    </w:rPr>
                  </w:pPr>
                  <w:r>
                    <w:rPr>
                      <w:rFonts w:hint="eastAsia" w:ascii="Times New Roman" w:hAnsi="Times New Roman" w:cs="Times New Roman"/>
                      <w:snapToGrid w:val="0"/>
                      <w:color w:val="000000" w:themeColor="text1"/>
                      <w:kern w:val="0"/>
                      <w:sz w:val="21"/>
                      <w:szCs w:val="21"/>
                      <w:lang w:val="en-US" w:eastAsia="zh-CN"/>
                      <w14:textFill>
                        <w14:solidFill>
                          <w14:schemeClr w14:val="tx1"/>
                        </w14:solidFill>
                      </w14:textFill>
                    </w:rPr>
                    <w:t>0.0122</w:t>
                  </w:r>
                </w:p>
              </w:tc>
              <w:tc>
                <w:tcPr>
                  <w:tcW w:w="1674" w:type="dxa"/>
                  <w:noWrap w:val="0"/>
                  <w:vAlign w:val="center"/>
                </w:tcPr>
                <w:p w14:paraId="4C52444A">
                  <w:pPr>
                    <w:keepNext w:val="0"/>
                    <w:keepLines w:val="0"/>
                    <w:pageBreakBefore w:val="0"/>
                    <w:widowControl/>
                    <w:suppressLineNumbers w:val="0"/>
                    <w:kinsoku/>
                    <w:wordWrap/>
                    <w:overflowPunct/>
                    <w:autoSpaceDN/>
                    <w:bidi w:val="0"/>
                    <w:snapToGrid/>
                    <w:spacing w:line="360" w:lineRule="exact"/>
                    <w:jc w:val="center"/>
                    <w:textAlignment w:val="center"/>
                    <w:rPr>
                      <w:rFonts w:hint="default" w:ascii="Times New Roman" w:hAnsi="Times New Roman" w:cs="Times New Roman"/>
                      <w:snapToGrid w:val="0"/>
                      <w:color w:val="000000" w:themeColor="text1"/>
                      <w:kern w:val="0"/>
                      <w:sz w:val="21"/>
                      <w:szCs w:val="21"/>
                      <w:lang w:val="en-US" w:eastAsia="zh-CN"/>
                      <w14:textFill>
                        <w14:solidFill>
                          <w14:schemeClr w14:val="tx1"/>
                        </w14:solidFill>
                      </w14:textFill>
                    </w:rPr>
                  </w:pPr>
                  <w:r>
                    <w:rPr>
                      <w:rFonts w:hint="eastAsia" w:ascii="Times New Roman" w:hAnsi="Times New Roman" w:cs="Times New Roman"/>
                      <w:snapToGrid w:val="0"/>
                      <w:color w:val="000000" w:themeColor="text1"/>
                      <w:kern w:val="0"/>
                      <w:sz w:val="21"/>
                      <w:szCs w:val="21"/>
                      <w:lang w:val="en-US" w:eastAsia="zh-CN"/>
                      <w14:textFill>
                        <w14:solidFill>
                          <w14:schemeClr w14:val="tx1"/>
                        </w14:solidFill>
                      </w14:textFill>
                    </w:rPr>
                    <w:t>0.0051</w:t>
                  </w:r>
                </w:p>
              </w:tc>
              <w:tc>
                <w:tcPr>
                  <w:tcW w:w="608" w:type="pct"/>
                  <w:vMerge w:val="continue"/>
                  <w:noWrap w:val="0"/>
                  <w:vAlign w:val="center"/>
                </w:tcPr>
                <w:p w14:paraId="2B308A6E">
                  <w:pPr>
                    <w:keepNext w:val="0"/>
                    <w:keepLines w:val="0"/>
                    <w:pageBreakBefore w:val="0"/>
                    <w:kinsoku/>
                    <w:wordWrap/>
                    <w:overflowPunct/>
                    <w:topLinePunct/>
                    <w:autoSpaceDE w:val="0"/>
                    <w:autoSpaceDN/>
                    <w:bidi w:val="0"/>
                    <w:adjustRightInd w:val="0"/>
                    <w:snapToGrid/>
                    <w:spacing w:line="360" w:lineRule="exact"/>
                    <w:ind w:leftChars="0"/>
                    <w:jc w:val="center"/>
                    <w:rPr>
                      <w:rFonts w:hint="default" w:ascii="Times New Roman" w:hAnsi="Times New Roman" w:cs="Times New Roman"/>
                      <w:snapToGrid w:val="0"/>
                      <w:color w:val="000000" w:themeColor="text1"/>
                      <w:kern w:val="0"/>
                      <w:sz w:val="21"/>
                      <w:szCs w:val="21"/>
                      <w:lang w:val="en-US" w:eastAsia="zh-CN"/>
                      <w14:textFill>
                        <w14:solidFill>
                          <w14:schemeClr w14:val="tx1"/>
                        </w14:solidFill>
                      </w14:textFill>
                    </w:rPr>
                  </w:pPr>
                </w:p>
              </w:tc>
              <w:tc>
                <w:tcPr>
                  <w:tcW w:w="694" w:type="pct"/>
                  <w:vMerge w:val="continue"/>
                  <w:noWrap w:val="0"/>
                  <w:vAlign w:val="center"/>
                </w:tcPr>
                <w:p w14:paraId="3CB32B17">
                  <w:pPr>
                    <w:keepNext w:val="0"/>
                    <w:keepLines w:val="0"/>
                    <w:pageBreakBefore w:val="0"/>
                    <w:kinsoku/>
                    <w:wordWrap/>
                    <w:overflowPunct/>
                    <w:topLinePunct/>
                    <w:autoSpaceDE w:val="0"/>
                    <w:autoSpaceDN/>
                    <w:bidi w:val="0"/>
                    <w:adjustRightInd w:val="0"/>
                    <w:snapToGrid/>
                    <w:spacing w:line="360" w:lineRule="exact"/>
                    <w:ind w:leftChars="0"/>
                    <w:jc w:val="center"/>
                    <w:rPr>
                      <w:rFonts w:hint="default" w:ascii="Times New Roman" w:hAnsi="Times New Roman" w:cs="Times New Roman"/>
                      <w:snapToGrid w:val="0"/>
                      <w:color w:val="000000" w:themeColor="text1"/>
                      <w:kern w:val="0"/>
                      <w:sz w:val="21"/>
                      <w:szCs w:val="21"/>
                      <w:lang w:val="en-US" w:eastAsia="zh-CN"/>
                      <w14:textFill>
                        <w14:solidFill>
                          <w14:schemeClr w14:val="tx1"/>
                        </w14:solidFill>
                      </w14:textFill>
                    </w:rPr>
                  </w:pPr>
                </w:p>
              </w:tc>
            </w:tr>
            <w:tr w14:paraId="73ED1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rPr>
              <w:tc>
                <w:tcPr>
                  <w:tcW w:w="647" w:type="pct"/>
                  <w:vMerge w:val="continue"/>
                  <w:noWrap w:val="0"/>
                  <w:vAlign w:val="center"/>
                </w:tcPr>
                <w:p w14:paraId="3EB7327C">
                  <w:pPr>
                    <w:keepNext w:val="0"/>
                    <w:keepLines w:val="0"/>
                    <w:pageBreakBefore w:val="0"/>
                    <w:kinsoku/>
                    <w:wordWrap/>
                    <w:overflowPunct/>
                    <w:topLinePunct/>
                    <w:autoSpaceDE w:val="0"/>
                    <w:autoSpaceDN/>
                    <w:bidi w:val="0"/>
                    <w:adjustRightInd w:val="0"/>
                    <w:snapToGrid/>
                    <w:spacing w:line="360" w:lineRule="exact"/>
                    <w:ind w:leftChars="0"/>
                    <w:jc w:val="center"/>
                    <w:rPr>
                      <w:rFonts w:hint="default" w:ascii="Times New Roman" w:hAnsi="Times New Roman" w:cs="Times New Roman"/>
                      <w:snapToGrid w:val="0"/>
                      <w:color w:val="000000" w:themeColor="text1"/>
                      <w:kern w:val="0"/>
                      <w:sz w:val="21"/>
                      <w:szCs w:val="21"/>
                      <w:lang w:eastAsia="zh-CN"/>
                      <w14:textFill>
                        <w14:solidFill>
                          <w14:schemeClr w14:val="tx1"/>
                        </w14:solidFill>
                      </w14:textFill>
                    </w:rPr>
                  </w:pPr>
                </w:p>
              </w:tc>
              <w:tc>
                <w:tcPr>
                  <w:tcW w:w="712" w:type="pct"/>
                  <w:shd w:val="clear" w:color="auto" w:fill="auto"/>
                  <w:noWrap w:val="0"/>
                  <w:vAlign w:val="center"/>
                </w:tcPr>
                <w:p w14:paraId="1430D719">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非甲烷总烃</w:t>
                  </w:r>
                </w:p>
              </w:tc>
              <w:tc>
                <w:tcPr>
                  <w:tcW w:w="1549" w:type="dxa"/>
                  <w:noWrap w:val="0"/>
                  <w:vAlign w:val="center"/>
                </w:tcPr>
                <w:p w14:paraId="77347595">
                  <w:pPr>
                    <w:keepNext w:val="0"/>
                    <w:keepLines w:val="0"/>
                    <w:pageBreakBefore w:val="0"/>
                    <w:widowControl/>
                    <w:suppressLineNumbers w:val="0"/>
                    <w:kinsoku/>
                    <w:wordWrap/>
                    <w:overflowPunct/>
                    <w:autoSpaceDN/>
                    <w:bidi w:val="0"/>
                    <w:snapToGrid/>
                    <w:spacing w:line="360" w:lineRule="exact"/>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3.925</w:t>
                  </w:r>
                </w:p>
              </w:tc>
              <w:tc>
                <w:tcPr>
                  <w:tcW w:w="1800" w:type="dxa"/>
                  <w:noWrap w:val="0"/>
                  <w:vAlign w:val="center"/>
                </w:tcPr>
                <w:p w14:paraId="40A7561E">
                  <w:pPr>
                    <w:keepNext w:val="0"/>
                    <w:keepLines w:val="0"/>
                    <w:pageBreakBefore w:val="0"/>
                    <w:widowControl/>
                    <w:suppressLineNumbers w:val="0"/>
                    <w:kinsoku/>
                    <w:wordWrap/>
                    <w:overflowPunct/>
                    <w:autoSpaceDN/>
                    <w:bidi w:val="0"/>
                    <w:snapToGrid/>
                    <w:spacing w:line="360" w:lineRule="exact"/>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1.635</w:t>
                  </w:r>
                </w:p>
              </w:tc>
              <w:tc>
                <w:tcPr>
                  <w:tcW w:w="1491" w:type="dxa"/>
                  <w:noWrap w:val="0"/>
                  <w:vAlign w:val="center"/>
                </w:tcPr>
                <w:p w14:paraId="4BA8EB9F">
                  <w:pPr>
                    <w:keepNext w:val="0"/>
                    <w:keepLines w:val="0"/>
                    <w:pageBreakBefore w:val="0"/>
                    <w:widowControl/>
                    <w:suppressLineNumbers w:val="0"/>
                    <w:kinsoku/>
                    <w:wordWrap/>
                    <w:overflowPunct/>
                    <w:autoSpaceDN/>
                    <w:bidi w:val="0"/>
                    <w:snapToGrid/>
                    <w:spacing w:line="360" w:lineRule="exact"/>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3.925</w:t>
                  </w:r>
                </w:p>
              </w:tc>
              <w:tc>
                <w:tcPr>
                  <w:tcW w:w="1674" w:type="dxa"/>
                  <w:noWrap w:val="0"/>
                  <w:vAlign w:val="center"/>
                </w:tcPr>
                <w:p w14:paraId="2FFB3CBD">
                  <w:pPr>
                    <w:keepNext w:val="0"/>
                    <w:keepLines w:val="0"/>
                    <w:pageBreakBefore w:val="0"/>
                    <w:widowControl/>
                    <w:suppressLineNumbers w:val="0"/>
                    <w:kinsoku/>
                    <w:wordWrap/>
                    <w:overflowPunct/>
                    <w:autoSpaceDN/>
                    <w:bidi w:val="0"/>
                    <w:snapToGrid/>
                    <w:spacing w:line="360" w:lineRule="exact"/>
                    <w:jc w:val="center"/>
                    <w:textAlignment w:val="cente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pPr>
                  <w:r>
                    <w:rPr>
                      <w:rFonts w:hint="eastAsia"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1.635</w:t>
                  </w:r>
                </w:p>
              </w:tc>
              <w:tc>
                <w:tcPr>
                  <w:tcW w:w="608" w:type="pct"/>
                  <w:vMerge w:val="continue"/>
                  <w:noWrap w:val="0"/>
                  <w:vAlign w:val="center"/>
                </w:tcPr>
                <w:p w14:paraId="2A2E7B44">
                  <w:pPr>
                    <w:keepNext w:val="0"/>
                    <w:keepLines w:val="0"/>
                    <w:pageBreakBefore w:val="0"/>
                    <w:kinsoku/>
                    <w:wordWrap/>
                    <w:overflowPunct/>
                    <w:topLinePunct/>
                    <w:autoSpaceDE w:val="0"/>
                    <w:autoSpaceDN/>
                    <w:bidi w:val="0"/>
                    <w:adjustRightInd w:val="0"/>
                    <w:snapToGrid/>
                    <w:spacing w:line="360" w:lineRule="exact"/>
                    <w:ind w:leftChars="0"/>
                    <w:jc w:val="center"/>
                    <w:rPr>
                      <w:rFonts w:hint="default" w:ascii="Times New Roman" w:hAnsi="Times New Roman" w:cs="Times New Roman"/>
                      <w:snapToGrid w:val="0"/>
                      <w:color w:val="000000" w:themeColor="text1"/>
                      <w:kern w:val="0"/>
                      <w:sz w:val="21"/>
                      <w:szCs w:val="21"/>
                      <w:lang w:val="en-US" w:eastAsia="zh-CN"/>
                      <w14:textFill>
                        <w14:solidFill>
                          <w14:schemeClr w14:val="tx1"/>
                        </w14:solidFill>
                      </w14:textFill>
                    </w:rPr>
                  </w:pPr>
                </w:p>
              </w:tc>
              <w:tc>
                <w:tcPr>
                  <w:tcW w:w="694" w:type="pct"/>
                  <w:vMerge w:val="continue"/>
                  <w:noWrap w:val="0"/>
                  <w:vAlign w:val="center"/>
                </w:tcPr>
                <w:p w14:paraId="70140D54">
                  <w:pPr>
                    <w:keepNext w:val="0"/>
                    <w:keepLines w:val="0"/>
                    <w:pageBreakBefore w:val="0"/>
                    <w:kinsoku/>
                    <w:wordWrap/>
                    <w:overflowPunct/>
                    <w:topLinePunct/>
                    <w:autoSpaceDE w:val="0"/>
                    <w:autoSpaceDN/>
                    <w:bidi w:val="0"/>
                    <w:adjustRightInd w:val="0"/>
                    <w:snapToGrid/>
                    <w:spacing w:line="360" w:lineRule="exact"/>
                    <w:ind w:leftChars="0"/>
                    <w:jc w:val="center"/>
                    <w:rPr>
                      <w:rFonts w:hint="default" w:ascii="Times New Roman" w:hAnsi="Times New Roman" w:cs="Times New Roman"/>
                      <w:snapToGrid w:val="0"/>
                      <w:color w:val="000000" w:themeColor="text1"/>
                      <w:kern w:val="0"/>
                      <w:sz w:val="21"/>
                      <w:szCs w:val="21"/>
                      <w:lang w:val="en-US" w:eastAsia="zh-CN"/>
                      <w14:textFill>
                        <w14:solidFill>
                          <w14:schemeClr w14:val="tx1"/>
                        </w14:solidFill>
                      </w14:textFill>
                    </w:rPr>
                  </w:pPr>
                </w:p>
              </w:tc>
            </w:tr>
          </w:tbl>
          <w:p w14:paraId="2D33839A">
            <w:pPr>
              <w:rPr>
                <w:rFonts w:hint="eastAsia"/>
                <w:vertAlign w:val="baseline"/>
                <w:lang w:eastAsia="zh-CN"/>
              </w:rPr>
            </w:pPr>
          </w:p>
          <w:p w14:paraId="2D3D06F0">
            <w:pPr>
              <w:rPr>
                <w:rFonts w:hint="eastAsia"/>
                <w:vertAlign w:val="baseline"/>
                <w:lang w:eastAsia="zh-CN"/>
              </w:rPr>
            </w:pPr>
          </w:p>
          <w:p w14:paraId="26121B58">
            <w:pPr>
              <w:rPr>
                <w:rFonts w:hint="eastAsia"/>
                <w:vertAlign w:val="baseline"/>
                <w:lang w:eastAsia="zh-CN"/>
              </w:rPr>
            </w:pPr>
          </w:p>
          <w:p w14:paraId="0E6FEF16">
            <w:pPr>
              <w:rPr>
                <w:rFonts w:hint="eastAsia"/>
                <w:vertAlign w:val="baseline"/>
                <w:lang w:eastAsia="zh-CN"/>
              </w:rPr>
            </w:pPr>
          </w:p>
          <w:p w14:paraId="1DA3993F">
            <w:pPr>
              <w:rPr>
                <w:rFonts w:hint="eastAsia"/>
                <w:vertAlign w:val="baseline"/>
                <w:lang w:eastAsia="zh-CN"/>
              </w:rPr>
            </w:pPr>
          </w:p>
          <w:p w14:paraId="45A4E3CB">
            <w:pPr>
              <w:rPr>
                <w:rFonts w:hint="eastAsia"/>
                <w:vertAlign w:val="baseline"/>
                <w:lang w:eastAsia="zh-CN"/>
              </w:rPr>
            </w:pPr>
          </w:p>
          <w:p w14:paraId="0CABF304">
            <w:pPr>
              <w:rPr>
                <w:rFonts w:hint="eastAsia"/>
                <w:vertAlign w:val="baseline"/>
                <w:lang w:eastAsia="zh-CN"/>
              </w:rPr>
            </w:pPr>
          </w:p>
          <w:p w14:paraId="5D275A77">
            <w:pPr>
              <w:rPr>
                <w:rFonts w:hint="eastAsia"/>
                <w:vertAlign w:val="baseline"/>
                <w:lang w:eastAsia="zh-CN"/>
              </w:rPr>
            </w:pPr>
          </w:p>
          <w:p w14:paraId="572296BE">
            <w:pPr>
              <w:rPr>
                <w:rFonts w:hint="eastAsia"/>
                <w:vertAlign w:val="baseline"/>
                <w:lang w:eastAsia="zh-CN"/>
              </w:rPr>
            </w:pPr>
          </w:p>
          <w:p w14:paraId="060CCDA7">
            <w:pPr>
              <w:rPr>
                <w:rFonts w:hint="eastAsia"/>
                <w:vertAlign w:val="baseline"/>
                <w:lang w:eastAsia="zh-CN"/>
              </w:rPr>
            </w:pPr>
          </w:p>
          <w:p w14:paraId="2D41CF9F">
            <w:pPr>
              <w:rPr>
                <w:rFonts w:hint="eastAsia"/>
                <w:vertAlign w:val="baseline"/>
                <w:lang w:eastAsia="zh-CN"/>
              </w:rPr>
            </w:pPr>
          </w:p>
          <w:p w14:paraId="59012ED6">
            <w:pPr>
              <w:rPr>
                <w:rFonts w:hint="eastAsia"/>
                <w:vertAlign w:val="baseline"/>
                <w:lang w:eastAsia="zh-CN"/>
              </w:rPr>
            </w:pPr>
          </w:p>
          <w:p w14:paraId="43387E46">
            <w:pPr>
              <w:rPr>
                <w:rFonts w:hint="eastAsia"/>
                <w:vertAlign w:val="baseline"/>
                <w:lang w:eastAsia="zh-CN"/>
              </w:rPr>
            </w:pPr>
          </w:p>
          <w:p w14:paraId="47C9B187">
            <w:pPr>
              <w:rPr>
                <w:rFonts w:hint="eastAsia"/>
                <w:vertAlign w:val="baseline"/>
                <w:lang w:eastAsia="zh-CN"/>
              </w:rPr>
            </w:pPr>
          </w:p>
          <w:p w14:paraId="4258ADEB">
            <w:pPr>
              <w:rPr>
                <w:rFonts w:hint="eastAsia"/>
                <w:vertAlign w:val="baseline"/>
                <w:lang w:eastAsia="zh-CN"/>
              </w:rPr>
            </w:pPr>
          </w:p>
          <w:p w14:paraId="5C73D092">
            <w:pPr>
              <w:rPr>
                <w:rFonts w:hint="eastAsia"/>
                <w:vertAlign w:val="baseline"/>
                <w:lang w:eastAsia="zh-CN"/>
              </w:rPr>
            </w:pPr>
          </w:p>
          <w:p w14:paraId="79295E1D">
            <w:pPr>
              <w:rPr>
                <w:rFonts w:hint="eastAsia"/>
                <w:vertAlign w:val="baseline"/>
                <w:lang w:eastAsia="zh-CN"/>
              </w:rPr>
            </w:pPr>
          </w:p>
          <w:p w14:paraId="2569ADCD">
            <w:pPr>
              <w:rPr>
                <w:rFonts w:hint="eastAsia"/>
                <w:vertAlign w:val="baseline"/>
                <w:lang w:eastAsia="zh-CN"/>
              </w:rPr>
            </w:pPr>
          </w:p>
          <w:p w14:paraId="38DCC9B1">
            <w:pPr>
              <w:rPr>
                <w:rFonts w:hint="eastAsia"/>
                <w:vertAlign w:val="baseline"/>
                <w:lang w:eastAsia="zh-CN"/>
              </w:rPr>
            </w:pPr>
          </w:p>
          <w:p w14:paraId="6426588C">
            <w:pPr>
              <w:rPr>
                <w:rFonts w:hint="eastAsia"/>
                <w:vertAlign w:val="baseline"/>
                <w:lang w:eastAsia="zh-CN"/>
              </w:rPr>
            </w:pPr>
          </w:p>
          <w:p w14:paraId="0FAF1B8F">
            <w:pPr>
              <w:rPr>
                <w:rFonts w:hint="eastAsia"/>
                <w:vertAlign w:val="baseline"/>
                <w:lang w:eastAsia="zh-CN"/>
              </w:rPr>
            </w:pPr>
          </w:p>
          <w:p w14:paraId="63E18CEA">
            <w:pPr>
              <w:rPr>
                <w:rFonts w:hint="eastAsia" w:eastAsiaTheme="minorEastAsia"/>
                <w:vertAlign w:val="baseline"/>
                <w:lang w:eastAsia="zh-CN"/>
              </w:rPr>
            </w:pPr>
          </w:p>
        </w:tc>
      </w:tr>
    </w:tbl>
    <w:p w14:paraId="1620E4B8">
      <w:pPr>
        <w:sectPr>
          <w:pgSz w:w="16838" w:h="11906" w:orient="landscape"/>
          <w:pgMar w:top="1417" w:right="1417" w:bottom="1417" w:left="1417" w:header="851" w:footer="992" w:gutter="0"/>
          <w:pgNumType w:fmt="decimal"/>
          <w:cols w:space="425" w:num="1"/>
          <w:docGrid w:type="lines" w:linePitch="312" w:charSpace="0"/>
        </w:sectPr>
      </w:pP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8430"/>
      </w:tblGrid>
      <w:tr w14:paraId="563CA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1" w:type="pct"/>
          </w:tcPr>
          <w:p w14:paraId="7F6F1DB6">
            <w:pPr>
              <w:pStyle w:val="5"/>
              <w:ind w:firstLine="0" w:firstLineChars="0"/>
              <w:outlineLvl w:val="9"/>
              <w:rPr>
                <w:vertAlign w:val="baseline"/>
              </w:rPr>
            </w:pPr>
          </w:p>
        </w:tc>
        <w:tc>
          <w:tcPr>
            <w:tcW w:w="4538" w:type="pct"/>
          </w:tcPr>
          <w:p w14:paraId="63E75E79">
            <w:pPr>
              <w:numPr>
                <w:ilvl w:val="0"/>
                <w:numId w:val="0"/>
              </w:numPr>
              <w:spacing w:line="360" w:lineRule="auto"/>
              <w:ind w:firstLine="480" w:firstLineChars="200"/>
              <w:rPr>
                <w:rFonts w:hint="default" w:ascii="Times New Roman" w:hAnsi="Times New Roman" w:eastAsia="宋体" w:cs="Times New Roman"/>
                <w:b w:val="0"/>
                <w:bCs w:val="0"/>
                <w:kern w:val="0"/>
                <w:sz w:val="24"/>
                <w:lang w:val="en-US" w:eastAsia="zh-CN"/>
              </w:rPr>
            </w:pPr>
            <w:r>
              <w:rPr>
                <w:rFonts w:hint="default" w:ascii="Times New Roman" w:hAnsi="Times New Roman" w:eastAsia="宋体" w:cs="Times New Roman"/>
                <w:b w:val="0"/>
                <w:bCs w:val="0"/>
                <w:kern w:val="0"/>
                <w:sz w:val="24"/>
                <w:lang w:val="en-US" w:eastAsia="zh-CN"/>
              </w:rPr>
              <w:t>2、排放口基本情况</w:t>
            </w:r>
          </w:p>
          <w:p w14:paraId="5CF0237F">
            <w:pPr>
              <w:numPr>
                <w:ilvl w:val="0"/>
                <w:numId w:val="0"/>
              </w:numPr>
              <w:spacing w:line="360" w:lineRule="auto"/>
              <w:ind w:firstLine="480" w:firstLineChars="200"/>
              <w:rPr>
                <w:rFonts w:hint="default" w:ascii="Times New Roman" w:hAnsi="Times New Roman" w:eastAsia="宋体" w:cs="Times New Roman"/>
                <w:b w:val="0"/>
                <w:bCs w:val="0"/>
                <w:kern w:val="0"/>
                <w:sz w:val="24"/>
                <w:lang w:val="en-US" w:eastAsia="zh-CN"/>
              </w:rPr>
            </w:pPr>
            <w:r>
              <w:rPr>
                <w:rFonts w:hint="default" w:ascii="Times New Roman" w:hAnsi="Times New Roman" w:eastAsia="宋体" w:cs="Times New Roman"/>
                <w:b w:val="0"/>
                <w:bCs w:val="0"/>
                <w:kern w:val="0"/>
                <w:sz w:val="24"/>
                <w:lang w:val="en-US" w:eastAsia="zh-CN"/>
              </w:rPr>
              <w:t>本项目废气排放口基本情况见表4-</w:t>
            </w:r>
            <w:r>
              <w:rPr>
                <w:rFonts w:hint="eastAsia" w:ascii="Times New Roman" w:hAnsi="Times New Roman" w:eastAsia="宋体" w:cs="Times New Roman"/>
                <w:b w:val="0"/>
                <w:bCs w:val="0"/>
                <w:kern w:val="0"/>
                <w:sz w:val="24"/>
                <w:lang w:val="en-US" w:eastAsia="zh-CN"/>
              </w:rPr>
              <w:t>3</w:t>
            </w:r>
            <w:r>
              <w:rPr>
                <w:rFonts w:hint="default" w:ascii="Times New Roman" w:hAnsi="Times New Roman" w:eastAsia="宋体" w:cs="Times New Roman"/>
                <w:b w:val="0"/>
                <w:bCs w:val="0"/>
                <w:kern w:val="0"/>
                <w:sz w:val="24"/>
                <w:lang w:val="en-US" w:eastAsia="zh-CN"/>
              </w:rPr>
              <w:t>。</w:t>
            </w:r>
          </w:p>
          <w:p w14:paraId="5781D29A">
            <w:pPr>
              <w:spacing w:line="360" w:lineRule="auto"/>
              <w:jc w:val="center"/>
              <w:rPr>
                <w:rFonts w:hint="default" w:ascii="Times New Roman" w:hAnsi="Times New Roman" w:eastAsia="黑体" w:cs="Times New Roman"/>
                <w:bCs/>
                <w:sz w:val="21"/>
                <w:szCs w:val="21"/>
              </w:rPr>
            </w:pPr>
            <w:r>
              <w:rPr>
                <w:rFonts w:hint="default" w:ascii="Times New Roman" w:hAnsi="Times New Roman" w:eastAsia="黑体" w:cs="Times New Roman"/>
                <w:bCs/>
                <w:sz w:val="21"/>
                <w:szCs w:val="21"/>
              </w:rPr>
              <w:t>表</w:t>
            </w:r>
            <w:r>
              <w:rPr>
                <w:rFonts w:hint="default" w:ascii="Times New Roman" w:hAnsi="Times New Roman" w:eastAsia="黑体" w:cs="Times New Roman"/>
                <w:bCs/>
                <w:sz w:val="21"/>
                <w:szCs w:val="21"/>
                <w:lang w:val="en-US" w:eastAsia="zh-CN"/>
              </w:rPr>
              <w:t>4-</w:t>
            </w:r>
            <w:r>
              <w:rPr>
                <w:rFonts w:hint="eastAsia" w:ascii="Times New Roman" w:hAnsi="Times New Roman" w:eastAsia="黑体" w:cs="Times New Roman"/>
                <w:bCs/>
                <w:sz w:val="21"/>
                <w:szCs w:val="21"/>
                <w:lang w:val="en-US" w:eastAsia="zh-CN"/>
              </w:rPr>
              <w:t>3</w:t>
            </w:r>
            <w:r>
              <w:rPr>
                <w:rFonts w:hint="default" w:ascii="Times New Roman" w:hAnsi="Times New Roman" w:eastAsia="黑体" w:cs="Times New Roman"/>
                <w:bCs/>
                <w:sz w:val="21"/>
                <w:szCs w:val="21"/>
                <w:lang w:val="en-US" w:eastAsia="zh-CN"/>
              </w:rPr>
              <w:t xml:space="preserve"> </w:t>
            </w:r>
            <w:r>
              <w:rPr>
                <w:rFonts w:hint="default" w:ascii="Times New Roman" w:hAnsi="Times New Roman" w:eastAsia="黑体" w:cs="Times New Roman"/>
                <w:bCs/>
                <w:sz w:val="21"/>
                <w:szCs w:val="21"/>
              </w:rPr>
              <w:t>废气排放口基本情况表</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3"/>
              <w:gridCol w:w="879"/>
              <w:gridCol w:w="662"/>
              <w:gridCol w:w="1004"/>
              <w:gridCol w:w="1443"/>
              <w:gridCol w:w="1393"/>
              <w:gridCol w:w="614"/>
              <w:gridCol w:w="672"/>
              <w:gridCol w:w="667"/>
              <w:gridCol w:w="437"/>
            </w:tblGrid>
            <w:tr w14:paraId="74A7B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263" w:type="pct"/>
                  <w:vMerge w:val="restart"/>
                  <w:vAlign w:val="center"/>
                </w:tcPr>
                <w:p w14:paraId="22C82761">
                  <w:pPr>
                    <w:spacing w:line="360" w:lineRule="exact"/>
                    <w:jc w:val="center"/>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序号</w:t>
                  </w:r>
                </w:p>
              </w:tc>
              <w:tc>
                <w:tcPr>
                  <w:tcW w:w="535" w:type="pct"/>
                  <w:vMerge w:val="restart"/>
                  <w:vAlign w:val="center"/>
                </w:tcPr>
                <w:p w14:paraId="5F1CE4F3">
                  <w:pPr>
                    <w:spacing w:line="360" w:lineRule="exact"/>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排放口编号</w:t>
                  </w:r>
                </w:p>
              </w:tc>
              <w:tc>
                <w:tcPr>
                  <w:tcW w:w="403" w:type="pct"/>
                  <w:vMerge w:val="restart"/>
                  <w:vAlign w:val="center"/>
                </w:tcPr>
                <w:p w14:paraId="5DB5FEF2">
                  <w:pPr>
                    <w:spacing w:line="360" w:lineRule="exact"/>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排放口名称</w:t>
                  </w:r>
                </w:p>
              </w:tc>
              <w:tc>
                <w:tcPr>
                  <w:tcW w:w="611" w:type="pct"/>
                  <w:vMerge w:val="restart"/>
                  <w:vAlign w:val="center"/>
                </w:tcPr>
                <w:p w14:paraId="3CA5BD3F">
                  <w:pPr>
                    <w:spacing w:line="360" w:lineRule="exact"/>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污染物种类</w:t>
                  </w:r>
                </w:p>
              </w:tc>
              <w:tc>
                <w:tcPr>
                  <w:tcW w:w="1728" w:type="pct"/>
                  <w:gridSpan w:val="2"/>
                  <w:vAlign w:val="center"/>
                </w:tcPr>
                <w:p w14:paraId="75C2084E">
                  <w:pPr>
                    <w:spacing w:line="360" w:lineRule="exact"/>
                    <w:jc w:val="center"/>
                    <w:rPr>
                      <w:rFonts w:hint="default" w:ascii="Times New Roman" w:hAnsi="Times New Roman" w:eastAsia="宋体" w:cs="Times New Roman"/>
                      <w:b w:val="0"/>
                      <w:bCs w:val="0"/>
                      <w:sz w:val="21"/>
                      <w:szCs w:val="21"/>
                      <w:lang w:val="en-US" w:eastAsia="zh-CN"/>
                    </w:rPr>
                  </w:pPr>
                  <w:r>
                    <w:rPr>
                      <w:rFonts w:hint="default" w:ascii="Times New Roman" w:hAnsi="Times New Roman" w:cs="Times New Roman"/>
                      <w:color w:val="000000"/>
                      <w:spacing w:val="-2"/>
                    </w:rPr>
                    <w:t>排放口地理位置坐</w:t>
                  </w:r>
                  <w:r>
                    <w:rPr>
                      <w:rFonts w:hint="default" w:ascii="Times New Roman" w:hAnsi="Times New Roman" w:cs="Times New Roman"/>
                      <w:color w:val="000000"/>
                    </w:rPr>
                    <w:t>标</w:t>
                  </w:r>
                </w:p>
              </w:tc>
              <w:tc>
                <w:tcPr>
                  <w:tcW w:w="374" w:type="pct"/>
                  <w:vMerge w:val="restart"/>
                  <w:vAlign w:val="center"/>
                </w:tcPr>
                <w:p w14:paraId="2F846B1A">
                  <w:pPr>
                    <w:autoSpaceDE w:val="0"/>
                    <w:autoSpaceDN w:val="0"/>
                    <w:jc w:val="center"/>
                    <w:rPr>
                      <w:rFonts w:hint="default" w:ascii="Times New Roman" w:hAnsi="Times New Roman" w:eastAsia="宋体" w:cs="Times New Roman"/>
                      <w:b w:val="0"/>
                      <w:bCs w:val="0"/>
                      <w:sz w:val="21"/>
                      <w:szCs w:val="21"/>
                      <w:lang w:val="en-US" w:eastAsia="zh-CN"/>
                    </w:rPr>
                  </w:pPr>
                  <w:r>
                    <w:rPr>
                      <w:rFonts w:hint="default" w:ascii="Times New Roman" w:hAnsi="Times New Roman" w:cs="Times New Roman"/>
                      <w:color w:val="000000"/>
                      <w:spacing w:val="-5"/>
                    </w:rPr>
                    <w:t>排气</w:t>
                  </w:r>
                  <w:r>
                    <w:rPr>
                      <w:rFonts w:hint="default" w:ascii="Times New Roman" w:hAnsi="Times New Roman" w:cs="Times New Roman"/>
                      <w:color w:val="000000"/>
                      <w:spacing w:val="-7"/>
                    </w:rPr>
                    <w:t>筒高</w:t>
                  </w:r>
                  <w:r>
                    <w:rPr>
                      <w:rFonts w:hint="default" w:ascii="Times New Roman" w:hAnsi="Times New Roman" w:cs="Times New Roman"/>
                      <w:color w:val="000000"/>
                      <w:spacing w:val="-5"/>
                    </w:rPr>
                    <w:t>度</w:t>
                  </w:r>
                  <w:r>
                    <w:rPr>
                      <w:rFonts w:hint="default" w:ascii="Times New Roman" w:hAnsi="Times New Roman" w:cs="Times New Roman"/>
                      <w:color w:val="000000"/>
                      <w:spacing w:val="-50"/>
                    </w:rPr>
                    <w:t xml:space="preserve"> </w:t>
                  </w:r>
                </w:p>
              </w:tc>
              <w:tc>
                <w:tcPr>
                  <w:tcW w:w="409" w:type="pct"/>
                  <w:vMerge w:val="restart"/>
                  <w:vAlign w:val="center"/>
                </w:tcPr>
                <w:p w14:paraId="7BD3A420">
                  <w:pPr>
                    <w:autoSpaceDE w:val="0"/>
                    <w:autoSpaceDN w:val="0"/>
                    <w:jc w:val="center"/>
                    <w:rPr>
                      <w:rFonts w:hint="default" w:ascii="Times New Roman" w:hAnsi="Times New Roman" w:eastAsia="宋体" w:cs="Times New Roman"/>
                      <w:b w:val="0"/>
                      <w:bCs w:val="0"/>
                      <w:sz w:val="21"/>
                      <w:szCs w:val="21"/>
                      <w:lang w:val="en-US" w:eastAsia="zh-CN"/>
                    </w:rPr>
                  </w:pPr>
                  <w:r>
                    <w:rPr>
                      <w:rFonts w:hint="default" w:ascii="Times New Roman" w:hAnsi="Times New Roman" w:cs="Times New Roman"/>
                      <w:color w:val="000000"/>
                      <w:spacing w:val="-4"/>
                    </w:rPr>
                    <w:t>排气筒</w:t>
                  </w:r>
                  <w:r>
                    <w:rPr>
                      <w:rFonts w:hint="default" w:ascii="Times New Roman" w:hAnsi="Times New Roman" w:cs="Times New Roman"/>
                      <w:color w:val="000000"/>
                      <w:spacing w:val="-10"/>
                    </w:rPr>
                    <w:t>出口内</w:t>
                  </w:r>
                  <w:r>
                    <w:rPr>
                      <w:rFonts w:hint="default" w:ascii="Times New Roman" w:hAnsi="Times New Roman" w:cs="Times New Roman"/>
                      <w:color w:val="000000"/>
                      <w:spacing w:val="-5"/>
                    </w:rPr>
                    <w:t>径</w:t>
                  </w:r>
                  <w:r>
                    <w:rPr>
                      <w:rFonts w:hint="default" w:ascii="Times New Roman" w:hAnsi="Times New Roman" w:cs="Times New Roman"/>
                      <w:color w:val="000000"/>
                      <w:spacing w:val="-50"/>
                    </w:rPr>
                    <w:t xml:space="preserve"> </w:t>
                  </w:r>
                </w:p>
              </w:tc>
              <w:tc>
                <w:tcPr>
                  <w:tcW w:w="406" w:type="pct"/>
                  <w:vMerge w:val="restart"/>
                  <w:vAlign w:val="center"/>
                </w:tcPr>
                <w:p w14:paraId="5403D9F7">
                  <w:pPr>
                    <w:spacing w:line="360" w:lineRule="exact"/>
                    <w:jc w:val="center"/>
                    <w:rPr>
                      <w:rFonts w:hint="default" w:ascii="Times New Roman" w:hAnsi="Times New Roman" w:eastAsia="宋体" w:cs="Times New Roman"/>
                      <w:b w:val="0"/>
                      <w:bCs w:val="0"/>
                      <w:sz w:val="21"/>
                      <w:szCs w:val="21"/>
                      <w:lang w:val="en-US" w:eastAsia="zh-CN"/>
                    </w:rPr>
                  </w:pPr>
                  <w:r>
                    <w:rPr>
                      <w:rFonts w:hint="default" w:ascii="Times New Roman" w:hAnsi="Times New Roman" w:cs="Times New Roman"/>
                      <w:color w:val="000000"/>
                      <w:spacing w:val="-4"/>
                    </w:rPr>
                    <w:t>排气温</w:t>
                  </w:r>
                  <w:r>
                    <w:rPr>
                      <w:rFonts w:hint="default" w:ascii="Times New Roman" w:hAnsi="Times New Roman" w:cs="Times New Roman"/>
                      <w:color w:val="000000"/>
                      <w:spacing w:val="-5"/>
                    </w:rPr>
                    <w:t>度</w:t>
                  </w:r>
                </w:p>
              </w:tc>
              <w:tc>
                <w:tcPr>
                  <w:tcW w:w="266" w:type="pct"/>
                  <w:vMerge w:val="restart"/>
                  <w:vAlign w:val="center"/>
                </w:tcPr>
                <w:p w14:paraId="6ADF33D7">
                  <w:pPr>
                    <w:autoSpaceDE w:val="0"/>
                    <w:autoSpaceDN w:val="0"/>
                    <w:jc w:val="center"/>
                    <w:rPr>
                      <w:rFonts w:hint="default" w:ascii="Times New Roman" w:hAnsi="Times New Roman" w:cs="Times New Roman"/>
                      <w:color w:val="000000"/>
                    </w:rPr>
                  </w:pPr>
                  <w:r>
                    <w:rPr>
                      <w:rFonts w:hint="default" w:ascii="Times New Roman" w:hAnsi="Times New Roman" w:cs="Times New Roman"/>
                      <w:color w:val="000000"/>
                      <w:spacing w:val="-5"/>
                    </w:rPr>
                    <w:t>排放</w:t>
                  </w:r>
                </w:p>
                <w:p w14:paraId="59964251">
                  <w:pPr>
                    <w:autoSpaceDE w:val="0"/>
                    <w:autoSpaceDN w:val="0"/>
                    <w:jc w:val="center"/>
                    <w:rPr>
                      <w:rFonts w:hint="default" w:ascii="Times New Roman" w:hAnsi="Times New Roman" w:cs="Times New Roman"/>
                      <w:color w:val="000000"/>
                    </w:rPr>
                  </w:pPr>
                  <w:r>
                    <w:rPr>
                      <w:rFonts w:hint="eastAsia" w:ascii="Times New Roman" w:hAnsi="Times New Roman" w:cs="Times New Roman"/>
                      <w:color w:val="000000"/>
                      <w:spacing w:val="-21"/>
                      <w:lang w:val="en-US" w:eastAsia="zh-CN"/>
                    </w:rPr>
                    <w:t>口</w:t>
                  </w:r>
                  <w:r>
                    <w:rPr>
                      <w:rFonts w:hint="default" w:ascii="Times New Roman" w:hAnsi="Times New Roman" w:cs="Times New Roman"/>
                      <w:color w:val="000000"/>
                      <w:spacing w:val="-21"/>
                    </w:rPr>
                    <w:t>类</w:t>
                  </w:r>
                </w:p>
                <w:p w14:paraId="4106499F">
                  <w:pPr>
                    <w:spacing w:line="360" w:lineRule="exact"/>
                    <w:jc w:val="center"/>
                    <w:rPr>
                      <w:rFonts w:hint="default" w:ascii="Times New Roman" w:hAnsi="Times New Roman" w:eastAsia="宋体" w:cs="Times New Roman"/>
                      <w:b w:val="0"/>
                      <w:bCs w:val="0"/>
                      <w:sz w:val="21"/>
                      <w:szCs w:val="21"/>
                      <w:lang w:val="en-US" w:eastAsia="zh-CN"/>
                    </w:rPr>
                  </w:pPr>
                  <w:r>
                    <w:rPr>
                      <w:rFonts w:hint="default" w:ascii="Times New Roman" w:hAnsi="Times New Roman" w:cs="Times New Roman"/>
                      <w:color w:val="000000"/>
                    </w:rPr>
                    <w:t>型</w:t>
                  </w:r>
                </w:p>
              </w:tc>
            </w:tr>
            <w:tr w14:paraId="2CD36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263" w:type="pct"/>
                  <w:vMerge w:val="continue"/>
                  <w:vAlign w:val="center"/>
                </w:tcPr>
                <w:p w14:paraId="492E3AAF">
                  <w:pPr>
                    <w:spacing w:line="360" w:lineRule="exact"/>
                    <w:jc w:val="center"/>
                    <w:rPr>
                      <w:rFonts w:hint="default" w:ascii="Times New Roman" w:hAnsi="Times New Roman" w:cs="Times New Roman"/>
                    </w:rPr>
                  </w:pPr>
                </w:p>
              </w:tc>
              <w:tc>
                <w:tcPr>
                  <w:tcW w:w="535" w:type="pct"/>
                  <w:vMerge w:val="continue"/>
                  <w:vAlign w:val="center"/>
                </w:tcPr>
                <w:p w14:paraId="2648950A">
                  <w:pPr>
                    <w:spacing w:line="360" w:lineRule="exact"/>
                    <w:jc w:val="center"/>
                    <w:rPr>
                      <w:rFonts w:hint="default" w:ascii="Times New Roman" w:hAnsi="Times New Roman" w:cs="Times New Roman"/>
                    </w:rPr>
                  </w:pPr>
                </w:p>
              </w:tc>
              <w:tc>
                <w:tcPr>
                  <w:tcW w:w="403" w:type="pct"/>
                  <w:vMerge w:val="continue"/>
                  <w:vAlign w:val="center"/>
                </w:tcPr>
                <w:p w14:paraId="2C9BE73E">
                  <w:pPr>
                    <w:spacing w:line="360" w:lineRule="exact"/>
                    <w:jc w:val="center"/>
                    <w:rPr>
                      <w:rFonts w:hint="default" w:ascii="Times New Roman" w:hAnsi="Times New Roman" w:cs="Times New Roman"/>
                    </w:rPr>
                  </w:pPr>
                </w:p>
              </w:tc>
              <w:tc>
                <w:tcPr>
                  <w:tcW w:w="611" w:type="pct"/>
                  <w:vMerge w:val="continue"/>
                  <w:vAlign w:val="center"/>
                </w:tcPr>
                <w:p w14:paraId="36FA96D2">
                  <w:pPr>
                    <w:spacing w:line="360" w:lineRule="exact"/>
                    <w:jc w:val="center"/>
                    <w:rPr>
                      <w:rFonts w:hint="default" w:ascii="Times New Roman" w:hAnsi="Times New Roman" w:cs="Times New Roman"/>
                    </w:rPr>
                  </w:pPr>
                </w:p>
              </w:tc>
              <w:tc>
                <w:tcPr>
                  <w:tcW w:w="879" w:type="pct"/>
                  <w:vAlign w:val="center"/>
                </w:tcPr>
                <w:p w14:paraId="7F38D505">
                  <w:pPr>
                    <w:spacing w:line="360" w:lineRule="exact"/>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经度</w:t>
                  </w:r>
                </w:p>
              </w:tc>
              <w:tc>
                <w:tcPr>
                  <w:tcW w:w="848" w:type="pct"/>
                  <w:vAlign w:val="center"/>
                </w:tcPr>
                <w:p w14:paraId="773E5F46">
                  <w:pPr>
                    <w:spacing w:line="360" w:lineRule="exact"/>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纬度</w:t>
                  </w:r>
                </w:p>
              </w:tc>
              <w:tc>
                <w:tcPr>
                  <w:tcW w:w="374" w:type="pct"/>
                  <w:vMerge w:val="continue"/>
                  <w:vAlign w:val="center"/>
                </w:tcPr>
                <w:p w14:paraId="20E387B9">
                  <w:pPr>
                    <w:spacing w:line="360" w:lineRule="exact"/>
                    <w:jc w:val="center"/>
                    <w:rPr>
                      <w:rFonts w:hint="default" w:ascii="Times New Roman" w:hAnsi="Times New Roman" w:eastAsia="宋体" w:cs="Times New Roman"/>
                      <w:b w:val="0"/>
                      <w:bCs w:val="0"/>
                      <w:sz w:val="21"/>
                      <w:szCs w:val="21"/>
                      <w:lang w:val="en-US" w:eastAsia="zh-CN"/>
                    </w:rPr>
                  </w:pPr>
                </w:p>
              </w:tc>
              <w:tc>
                <w:tcPr>
                  <w:tcW w:w="409" w:type="pct"/>
                  <w:vMerge w:val="continue"/>
                  <w:vAlign w:val="center"/>
                </w:tcPr>
                <w:p w14:paraId="736E8AD0">
                  <w:pPr>
                    <w:spacing w:line="360" w:lineRule="exact"/>
                    <w:jc w:val="center"/>
                    <w:rPr>
                      <w:rFonts w:hint="default" w:ascii="Times New Roman" w:hAnsi="Times New Roman" w:eastAsia="宋体" w:cs="Times New Roman"/>
                      <w:b w:val="0"/>
                      <w:bCs w:val="0"/>
                      <w:sz w:val="21"/>
                      <w:szCs w:val="21"/>
                      <w:lang w:val="en-US" w:eastAsia="zh-CN"/>
                    </w:rPr>
                  </w:pPr>
                </w:p>
              </w:tc>
              <w:tc>
                <w:tcPr>
                  <w:tcW w:w="406" w:type="pct"/>
                  <w:vMerge w:val="continue"/>
                  <w:vAlign w:val="center"/>
                </w:tcPr>
                <w:p w14:paraId="32E7B6E5">
                  <w:pPr>
                    <w:spacing w:line="360" w:lineRule="exact"/>
                    <w:jc w:val="center"/>
                    <w:rPr>
                      <w:rFonts w:hint="default" w:ascii="Times New Roman" w:hAnsi="Times New Roman" w:eastAsia="宋体" w:cs="Times New Roman"/>
                      <w:b w:val="0"/>
                      <w:bCs w:val="0"/>
                      <w:sz w:val="21"/>
                      <w:szCs w:val="21"/>
                      <w:lang w:val="en-US" w:eastAsia="zh-CN"/>
                    </w:rPr>
                  </w:pPr>
                </w:p>
              </w:tc>
              <w:tc>
                <w:tcPr>
                  <w:tcW w:w="266" w:type="pct"/>
                  <w:vMerge w:val="continue"/>
                  <w:vAlign w:val="center"/>
                </w:tcPr>
                <w:p w14:paraId="3DE5AA8D">
                  <w:pPr>
                    <w:spacing w:line="360" w:lineRule="exact"/>
                    <w:jc w:val="center"/>
                    <w:rPr>
                      <w:rFonts w:hint="default" w:ascii="Times New Roman" w:hAnsi="Times New Roman" w:eastAsia="宋体" w:cs="Times New Roman"/>
                      <w:b w:val="0"/>
                      <w:bCs w:val="0"/>
                      <w:sz w:val="21"/>
                      <w:szCs w:val="21"/>
                      <w:lang w:val="en-US" w:eastAsia="zh-CN"/>
                    </w:rPr>
                  </w:pPr>
                </w:p>
              </w:tc>
            </w:tr>
            <w:tr w14:paraId="1A5A0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 w:type="pct"/>
                  <w:vMerge w:val="restart"/>
                  <w:vAlign w:val="center"/>
                </w:tcPr>
                <w:p w14:paraId="18DFD60B">
                  <w:pPr>
                    <w:spacing w:line="360" w:lineRule="exact"/>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1</w:t>
                  </w:r>
                </w:p>
              </w:tc>
              <w:tc>
                <w:tcPr>
                  <w:tcW w:w="535" w:type="pct"/>
                  <w:vMerge w:val="restart"/>
                  <w:vAlign w:val="center"/>
                </w:tcPr>
                <w:p w14:paraId="6EBD2D96">
                  <w:pPr>
                    <w:spacing w:line="360" w:lineRule="exact"/>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DA001</w:t>
                  </w:r>
                </w:p>
              </w:tc>
              <w:tc>
                <w:tcPr>
                  <w:tcW w:w="403" w:type="pct"/>
                  <w:vMerge w:val="restart"/>
                  <w:vAlign w:val="center"/>
                </w:tcPr>
                <w:p w14:paraId="705FC68F">
                  <w:pPr>
                    <w:spacing w:line="360" w:lineRule="exact"/>
                    <w:jc w:val="center"/>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生产</w:t>
                  </w:r>
                </w:p>
                <w:p w14:paraId="7C5846C2">
                  <w:pPr>
                    <w:spacing w:line="360" w:lineRule="exact"/>
                    <w:jc w:val="center"/>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车间</w:t>
                  </w:r>
                </w:p>
              </w:tc>
              <w:tc>
                <w:tcPr>
                  <w:tcW w:w="611" w:type="pct"/>
                  <w:vAlign w:val="center"/>
                </w:tcPr>
                <w:p w14:paraId="68AA4FD0">
                  <w:pPr>
                    <w:keepNext w:val="0"/>
                    <w:keepLines w:val="0"/>
                    <w:pageBreakBefore w:val="0"/>
                    <w:kinsoku/>
                    <w:wordWrap/>
                    <w:overflowPunct/>
                    <w:autoSpaceDN/>
                    <w:bidi w:val="0"/>
                    <w:snapToGrid/>
                    <w:spacing w:line="360" w:lineRule="exact"/>
                    <w:jc w:val="center"/>
                    <w:rPr>
                      <w:rFonts w:hint="default" w:ascii="Times New Roman" w:hAnsi="Times New Roman" w:eastAsia="宋体" w:cs="Times New Roman"/>
                      <w:bCs/>
                      <w:kern w:val="2"/>
                      <w:sz w:val="21"/>
                      <w:szCs w:val="21"/>
                      <w:lang w:val="en-US" w:eastAsia="zh-CN" w:bidi="ar-SA"/>
                    </w:rPr>
                  </w:pPr>
                  <w:r>
                    <w:rPr>
                      <w:rFonts w:hint="default" w:ascii="Times New Roman" w:hAnsi="Times New Roman" w:cs="Times New Roman"/>
                      <w:b w:val="0"/>
                      <w:bCs w:val="0"/>
                      <w:color w:val="000000" w:themeColor="text1"/>
                      <w:sz w:val="21"/>
                      <w:szCs w:val="21"/>
                      <w:lang w:eastAsia="zh-CN"/>
                      <w14:textFill>
                        <w14:solidFill>
                          <w14:schemeClr w14:val="tx1"/>
                        </w14:solidFill>
                      </w14:textFill>
                    </w:rPr>
                    <w:t>颗粒物</w:t>
                  </w:r>
                </w:p>
              </w:tc>
              <w:tc>
                <w:tcPr>
                  <w:tcW w:w="879" w:type="pct"/>
                  <w:vMerge w:val="restart"/>
                  <w:vAlign w:val="center"/>
                </w:tcPr>
                <w:p w14:paraId="088A7FF9">
                  <w:pPr>
                    <w:spacing w:line="360" w:lineRule="exact"/>
                    <w:jc w:val="center"/>
                    <w:rPr>
                      <w:rFonts w:hint="default" w:ascii="Times New Roman" w:hAnsi="Times New Roman" w:cs="Times New Roman"/>
                      <w:b w:val="0"/>
                      <w:bCs w:val="0"/>
                      <w:lang w:val="en-US" w:eastAsia="zh-CN"/>
                    </w:rPr>
                  </w:pPr>
                  <w:r>
                    <w:rPr>
                      <w:rFonts w:hint="default" w:ascii="Times New Roman" w:hAnsi="Times New Roman" w:eastAsia="宋体" w:cs="Times New Roman"/>
                      <w:sz w:val="24"/>
                      <w:lang w:val="en-US" w:eastAsia="zh-CN"/>
                    </w:rPr>
                    <w:t>117</w:t>
                  </w:r>
                  <w:r>
                    <w:rPr>
                      <w:rFonts w:hint="default" w:ascii="Times New Roman" w:hAnsi="Times New Roman" w:cs="Times New Roman"/>
                      <w:color w:val="000000"/>
                    </w:rPr>
                    <w:t>°</w:t>
                  </w:r>
                  <w:r>
                    <w:rPr>
                      <w:rFonts w:hint="default" w:ascii="Times New Roman" w:hAnsi="Times New Roman" w:eastAsia="宋体" w:cs="Times New Roman"/>
                      <w:sz w:val="24"/>
                      <w:lang w:val="en-US" w:eastAsia="zh-CN"/>
                    </w:rPr>
                    <w:t>39</w:t>
                  </w:r>
                  <w:r>
                    <w:rPr>
                      <w:rFonts w:hint="default" w:ascii="Times New Roman" w:hAnsi="Times New Roman" w:cs="Times New Roman"/>
                      <w:color w:val="000000"/>
                    </w:rPr>
                    <w:t>′</w:t>
                  </w:r>
                  <w:r>
                    <w:rPr>
                      <w:rFonts w:hint="eastAsia" w:ascii="Times New Roman" w:hAnsi="Times New Roman" w:eastAsia="宋体" w:cs="Times New Roman"/>
                      <w:sz w:val="24"/>
                      <w:lang w:val="en-US" w:eastAsia="zh-CN"/>
                    </w:rPr>
                    <w:t>6.206</w:t>
                  </w:r>
                  <w:r>
                    <w:rPr>
                      <w:rFonts w:hint="default" w:ascii="Times New Roman" w:hAnsi="Times New Roman" w:cs="Times New Roman"/>
                      <w:color w:val="000000"/>
                    </w:rPr>
                    <w:t>″</w:t>
                  </w:r>
                </w:p>
              </w:tc>
              <w:tc>
                <w:tcPr>
                  <w:tcW w:w="848" w:type="pct"/>
                  <w:vMerge w:val="restart"/>
                  <w:vAlign w:val="center"/>
                </w:tcPr>
                <w:p w14:paraId="01DF4725">
                  <w:pPr>
                    <w:spacing w:line="360" w:lineRule="exact"/>
                    <w:jc w:val="center"/>
                    <w:rPr>
                      <w:rFonts w:hint="default" w:ascii="Times New Roman" w:hAnsi="Times New Roman" w:cs="Times New Roman"/>
                      <w:b w:val="0"/>
                      <w:bCs w:val="0"/>
                      <w:lang w:val="en-US" w:eastAsia="zh-CN"/>
                    </w:rPr>
                  </w:pPr>
                  <w:r>
                    <w:rPr>
                      <w:rFonts w:hint="eastAsia" w:ascii="Times New Roman" w:hAnsi="Times New Roman" w:eastAsia="宋体" w:cs="Times New Roman"/>
                      <w:sz w:val="24"/>
                      <w:lang w:val="en-US" w:eastAsia="zh-CN"/>
                    </w:rPr>
                    <w:t>30</w:t>
                  </w:r>
                  <w:r>
                    <w:rPr>
                      <w:rFonts w:hint="default" w:ascii="Times New Roman" w:hAnsi="Times New Roman" w:cs="Times New Roman"/>
                      <w:color w:val="000000"/>
                    </w:rPr>
                    <w:t>°</w:t>
                  </w:r>
                  <w:r>
                    <w:rPr>
                      <w:rFonts w:hint="eastAsia" w:ascii="Times New Roman" w:hAnsi="Times New Roman" w:eastAsia="宋体" w:cs="Times New Roman"/>
                      <w:sz w:val="24"/>
                      <w:lang w:val="en-US" w:eastAsia="zh-CN"/>
                    </w:rPr>
                    <w:t>45</w:t>
                  </w:r>
                  <w:r>
                    <w:rPr>
                      <w:rFonts w:hint="default" w:ascii="Times New Roman" w:hAnsi="Times New Roman" w:cs="Times New Roman"/>
                      <w:color w:val="000000"/>
                    </w:rPr>
                    <w:t>′</w:t>
                  </w:r>
                  <w:r>
                    <w:rPr>
                      <w:rFonts w:hint="eastAsia" w:ascii="Times New Roman" w:hAnsi="Times New Roman" w:eastAsia="宋体" w:cs="Times New Roman"/>
                      <w:sz w:val="24"/>
                      <w:lang w:val="en-US" w:eastAsia="zh-CN"/>
                    </w:rPr>
                    <w:t>27.337</w:t>
                  </w:r>
                  <w:r>
                    <w:rPr>
                      <w:rFonts w:hint="default" w:ascii="Times New Roman" w:hAnsi="Times New Roman" w:cs="Times New Roman"/>
                      <w:color w:val="000000"/>
                    </w:rPr>
                    <w:t>″</w:t>
                  </w:r>
                </w:p>
              </w:tc>
              <w:tc>
                <w:tcPr>
                  <w:tcW w:w="374" w:type="pct"/>
                  <w:vMerge w:val="restart"/>
                  <w:vAlign w:val="center"/>
                </w:tcPr>
                <w:p w14:paraId="717FC7EF">
                  <w:pPr>
                    <w:spacing w:line="360" w:lineRule="exact"/>
                    <w:jc w:val="center"/>
                    <w:rPr>
                      <w:rFonts w:hint="default" w:ascii="Times New Roman" w:hAnsi="Times New Roman" w:cs="Times New Roman"/>
                      <w:b w:val="0"/>
                      <w:bCs w:val="0"/>
                      <w:lang w:val="en-US" w:eastAsia="zh-CN"/>
                    </w:rPr>
                  </w:pPr>
                  <w:r>
                    <w:rPr>
                      <w:rFonts w:hint="eastAsia" w:ascii="Times New Roman" w:hAnsi="Times New Roman" w:cs="Times New Roman"/>
                      <w:b w:val="0"/>
                      <w:bCs w:val="0"/>
                      <w:lang w:val="en-US" w:eastAsia="zh-CN"/>
                    </w:rPr>
                    <w:t>23m</w:t>
                  </w:r>
                </w:p>
              </w:tc>
              <w:tc>
                <w:tcPr>
                  <w:tcW w:w="409" w:type="pct"/>
                  <w:vMerge w:val="restart"/>
                  <w:vAlign w:val="center"/>
                </w:tcPr>
                <w:p w14:paraId="02836053">
                  <w:pPr>
                    <w:spacing w:line="360" w:lineRule="exact"/>
                    <w:jc w:val="center"/>
                    <w:rPr>
                      <w:rFonts w:hint="default" w:ascii="Times New Roman" w:hAnsi="Times New Roman" w:cs="Times New Roman"/>
                      <w:b w:val="0"/>
                      <w:bCs w:val="0"/>
                      <w:lang w:val="en-US" w:eastAsia="zh-CN"/>
                    </w:rPr>
                  </w:pPr>
                  <w:r>
                    <w:rPr>
                      <w:rFonts w:hint="eastAsia" w:ascii="Times New Roman" w:hAnsi="Times New Roman" w:cs="Times New Roman"/>
                      <w:b w:val="0"/>
                      <w:bCs w:val="0"/>
                      <w:lang w:val="en-US" w:eastAsia="zh-CN"/>
                    </w:rPr>
                    <w:t>0.4m</w:t>
                  </w:r>
                </w:p>
              </w:tc>
              <w:tc>
                <w:tcPr>
                  <w:tcW w:w="406" w:type="pct"/>
                  <w:vMerge w:val="restart"/>
                  <w:vAlign w:val="center"/>
                </w:tcPr>
                <w:p w14:paraId="21DE82E4">
                  <w:pPr>
                    <w:spacing w:line="360" w:lineRule="exact"/>
                    <w:jc w:val="center"/>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2</w:t>
                  </w:r>
                  <w:r>
                    <w:rPr>
                      <w:rFonts w:hint="eastAsia" w:ascii="Times New Roman" w:hAnsi="Times New Roman" w:cs="Times New Roman"/>
                      <w:b w:val="0"/>
                      <w:bCs w:val="0"/>
                      <w:lang w:val="en-US" w:eastAsia="zh-CN"/>
                    </w:rPr>
                    <w:t>0</w:t>
                  </w:r>
                  <w:r>
                    <w:rPr>
                      <w:rFonts w:hint="default" w:ascii="Times New Roman" w:hAnsi="Times New Roman" w:cs="Times New Roman"/>
                      <w:color w:val="000000"/>
                      <w:spacing w:val="-5"/>
                    </w:rPr>
                    <w:t>℃</w:t>
                  </w:r>
                </w:p>
              </w:tc>
              <w:tc>
                <w:tcPr>
                  <w:tcW w:w="266" w:type="pct"/>
                  <w:vMerge w:val="restart"/>
                  <w:vAlign w:val="center"/>
                </w:tcPr>
                <w:p w14:paraId="7FDBDB94">
                  <w:pPr>
                    <w:spacing w:line="360" w:lineRule="exact"/>
                    <w:jc w:val="center"/>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一般排气口</w:t>
                  </w:r>
                </w:p>
              </w:tc>
            </w:tr>
            <w:tr w14:paraId="738C3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 w:type="pct"/>
                  <w:vMerge w:val="continue"/>
                  <w:vAlign w:val="center"/>
                </w:tcPr>
                <w:p w14:paraId="3BFD7EA2">
                  <w:pPr>
                    <w:spacing w:line="360" w:lineRule="exact"/>
                    <w:jc w:val="center"/>
                    <w:rPr>
                      <w:rFonts w:hint="default" w:ascii="Times New Roman" w:hAnsi="Times New Roman" w:eastAsia="宋体" w:cs="Times New Roman"/>
                      <w:b w:val="0"/>
                      <w:bCs w:val="0"/>
                      <w:sz w:val="21"/>
                      <w:szCs w:val="21"/>
                      <w:lang w:val="en-US" w:eastAsia="zh-CN"/>
                    </w:rPr>
                  </w:pPr>
                </w:p>
              </w:tc>
              <w:tc>
                <w:tcPr>
                  <w:tcW w:w="535" w:type="pct"/>
                  <w:vMerge w:val="continue"/>
                  <w:vAlign w:val="center"/>
                </w:tcPr>
                <w:p w14:paraId="2D950173">
                  <w:pPr>
                    <w:spacing w:line="360" w:lineRule="exact"/>
                    <w:jc w:val="center"/>
                    <w:rPr>
                      <w:rFonts w:hint="default" w:ascii="Times New Roman" w:hAnsi="Times New Roman" w:eastAsia="宋体" w:cs="Times New Roman"/>
                      <w:b w:val="0"/>
                      <w:bCs w:val="0"/>
                      <w:sz w:val="21"/>
                      <w:szCs w:val="21"/>
                      <w:lang w:val="en-US" w:eastAsia="zh-CN"/>
                    </w:rPr>
                  </w:pPr>
                </w:p>
              </w:tc>
              <w:tc>
                <w:tcPr>
                  <w:tcW w:w="403" w:type="pct"/>
                  <w:vMerge w:val="continue"/>
                  <w:vAlign w:val="center"/>
                </w:tcPr>
                <w:p w14:paraId="6CE5B8AE">
                  <w:pPr>
                    <w:spacing w:line="360" w:lineRule="exact"/>
                    <w:jc w:val="center"/>
                    <w:rPr>
                      <w:rFonts w:hint="default" w:ascii="Times New Roman" w:hAnsi="Times New Roman" w:eastAsia="宋体" w:cs="Times New Roman"/>
                      <w:b w:val="0"/>
                      <w:bCs w:val="0"/>
                      <w:sz w:val="21"/>
                      <w:szCs w:val="21"/>
                      <w:lang w:val="en-US" w:eastAsia="zh-CN"/>
                    </w:rPr>
                  </w:pPr>
                </w:p>
              </w:tc>
              <w:tc>
                <w:tcPr>
                  <w:tcW w:w="611" w:type="pct"/>
                  <w:vAlign w:val="center"/>
                </w:tcPr>
                <w:p w14:paraId="1D0A63EB">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color w:val="auto"/>
                      <w:sz w:val="21"/>
                      <w:szCs w:val="21"/>
                      <w:highlight w:val="none"/>
                    </w:rPr>
                    <w:t>锡及其化合物</w:t>
                  </w:r>
                </w:p>
              </w:tc>
              <w:tc>
                <w:tcPr>
                  <w:tcW w:w="879" w:type="pct"/>
                  <w:vMerge w:val="continue"/>
                  <w:vAlign w:val="center"/>
                </w:tcPr>
                <w:p w14:paraId="04D4B749">
                  <w:pPr>
                    <w:spacing w:line="360" w:lineRule="exact"/>
                    <w:jc w:val="center"/>
                    <w:rPr>
                      <w:rFonts w:hint="default" w:ascii="Times New Roman" w:hAnsi="Times New Roman" w:eastAsia="宋体" w:cs="Times New Roman"/>
                      <w:b w:val="0"/>
                      <w:bCs w:val="0"/>
                      <w:sz w:val="21"/>
                      <w:szCs w:val="21"/>
                      <w:lang w:val="en-US" w:eastAsia="zh-CN"/>
                    </w:rPr>
                  </w:pPr>
                </w:p>
              </w:tc>
              <w:tc>
                <w:tcPr>
                  <w:tcW w:w="848" w:type="pct"/>
                  <w:vMerge w:val="continue"/>
                  <w:vAlign w:val="center"/>
                </w:tcPr>
                <w:p w14:paraId="29C959CF">
                  <w:pPr>
                    <w:spacing w:line="360" w:lineRule="exact"/>
                    <w:jc w:val="center"/>
                    <w:rPr>
                      <w:rFonts w:hint="default" w:ascii="Times New Roman" w:hAnsi="Times New Roman" w:eastAsia="宋体" w:cs="Times New Roman"/>
                      <w:b w:val="0"/>
                      <w:bCs w:val="0"/>
                      <w:sz w:val="21"/>
                      <w:szCs w:val="21"/>
                      <w:lang w:val="en-US" w:eastAsia="zh-CN"/>
                    </w:rPr>
                  </w:pPr>
                </w:p>
              </w:tc>
              <w:tc>
                <w:tcPr>
                  <w:tcW w:w="374" w:type="pct"/>
                  <w:vMerge w:val="continue"/>
                  <w:vAlign w:val="center"/>
                </w:tcPr>
                <w:p w14:paraId="62C0FB44">
                  <w:pPr>
                    <w:spacing w:line="360" w:lineRule="exact"/>
                    <w:jc w:val="center"/>
                    <w:rPr>
                      <w:rFonts w:hint="default" w:ascii="Times New Roman" w:hAnsi="Times New Roman" w:eastAsia="宋体" w:cs="Times New Roman"/>
                      <w:b w:val="0"/>
                      <w:bCs w:val="0"/>
                      <w:sz w:val="21"/>
                      <w:szCs w:val="21"/>
                      <w:lang w:val="en-US" w:eastAsia="zh-CN"/>
                    </w:rPr>
                  </w:pPr>
                </w:p>
              </w:tc>
              <w:tc>
                <w:tcPr>
                  <w:tcW w:w="409" w:type="pct"/>
                  <w:vMerge w:val="continue"/>
                  <w:vAlign w:val="center"/>
                </w:tcPr>
                <w:p w14:paraId="77ACA37F">
                  <w:pPr>
                    <w:spacing w:line="360" w:lineRule="exact"/>
                    <w:jc w:val="center"/>
                    <w:rPr>
                      <w:rFonts w:hint="default" w:ascii="Times New Roman" w:hAnsi="Times New Roman" w:eastAsia="宋体" w:cs="Times New Roman"/>
                      <w:b w:val="0"/>
                      <w:bCs w:val="0"/>
                      <w:sz w:val="21"/>
                      <w:szCs w:val="21"/>
                      <w:lang w:val="en-US" w:eastAsia="zh-CN"/>
                    </w:rPr>
                  </w:pPr>
                </w:p>
              </w:tc>
              <w:tc>
                <w:tcPr>
                  <w:tcW w:w="406" w:type="pct"/>
                  <w:vMerge w:val="continue"/>
                  <w:vAlign w:val="center"/>
                </w:tcPr>
                <w:p w14:paraId="2781E5DD">
                  <w:pPr>
                    <w:spacing w:line="360" w:lineRule="exact"/>
                    <w:jc w:val="center"/>
                    <w:rPr>
                      <w:rFonts w:hint="default" w:ascii="Times New Roman" w:hAnsi="Times New Roman" w:eastAsia="宋体" w:cs="Times New Roman"/>
                      <w:b w:val="0"/>
                      <w:bCs w:val="0"/>
                      <w:sz w:val="21"/>
                      <w:szCs w:val="21"/>
                      <w:lang w:val="en-US" w:eastAsia="zh-CN"/>
                    </w:rPr>
                  </w:pPr>
                </w:p>
              </w:tc>
              <w:tc>
                <w:tcPr>
                  <w:tcW w:w="266" w:type="pct"/>
                  <w:vMerge w:val="continue"/>
                  <w:vAlign w:val="center"/>
                </w:tcPr>
                <w:p w14:paraId="226E8461">
                  <w:pPr>
                    <w:spacing w:line="360" w:lineRule="exact"/>
                    <w:jc w:val="center"/>
                    <w:rPr>
                      <w:rFonts w:hint="default" w:ascii="Times New Roman" w:hAnsi="Times New Roman" w:eastAsia="宋体" w:cs="Times New Roman"/>
                      <w:b w:val="0"/>
                      <w:bCs w:val="0"/>
                      <w:sz w:val="21"/>
                      <w:szCs w:val="21"/>
                      <w:lang w:val="en-US" w:eastAsia="zh-CN"/>
                    </w:rPr>
                  </w:pPr>
                </w:p>
              </w:tc>
            </w:tr>
            <w:tr w14:paraId="7A57D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 w:type="pct"/>
                  <w:vMerge w:val="continue"/>
                  <w:vAlign w:val="center"/>
                </w:tcPr>
                <w:p w14:paraId="6AD4FFA3">
                  <w:pPr>
                    <w:spacing w:line="360" w:lineRule="exact"/>
                    <w:jc w:val="center"/>
                    <w:rPr>
                      <w:rFonts w:hint="default" w:ascii="Times New Roman" w:hAnsi="Times New Roman" w:eastAsia="宋体" w:cs="Times New Roman"/>
                      <w:b w:val="0"/>
                      <w:bCs w:val="0"/>
                      <w:sz w:val="21"/>
                      <w:szCs w:val="21"/>
                      <w:lang w:val="en-US" w:eastAsia="zh-CN"/>
                    </w:rPr>
                  </w:pPr>
                </w:p>
              </w:tc>
              <w:tc>
                <w:tcPr>
                  <w:tcW w:w="535" w:type="pct"/>
                  <w:vMerge w:val="continue"/>
                  <w:vAlign w:val="center"/>
                </w:tcPr>
                <w:p w14:paraId="31434BCF">
                  <w:pPr>
                    <w:spacing w:line="360" w:lineRule="exact"/>
                    <w:jc w:val="center"/>
                    <w:rPr>
                      <w:rFonts w:hint="default" w:ascii="Times New Roman" w:hAnsi="Times New Roman" w:eastAsia="宋体" w:cs="Times New Roman"/>
                      <w:b w:val="0"/>
                      <w:bCs w:val="0"/>
                      <w:sz w:val="21"/>
                      <w:szCs w:val="21"/>
                      <w:lang w:val="en-US" w:eastAsia="zh-CN"/>
                    </w:rPr>
                  </w:pPr>
                </w:p>
              </w:tc>
              <w:tc>
                <w:tcPr>
                  <w:tcW w:w="403" w:type="pct"/>
                  <w:vMerge w:val="continue"/>
                  <w:vAlign w:val="center"/>
                </w:tcPr>
                <w:p w14:paraId="2D092B69">
                  <w:pPr>
                    <w:spacing w:line="360" w:lineRule="exact"/>
                    <w:jc w:val="center"/>
                    <w:rPr>
                      <w:rFonts w:hint="default" w:ascii="Times New Roman" w:hAnsi="Times New Roman" w:eastAsia="宋体" w:cs="Times New Roman"/>
                      <w:b w:val="0"/>
                      <w:bCs w:val="0"/>
                      <w:sz w:val="21"/>
                      <w:szCs w:val="21"/>
                      <w:lang w:val="en-US" w:eastAsia="zh-CN"/>
                    </w:rPr>
                  </w:pPr>
                </w:p>
              </w:tc>
              <w:tc>
                <w:tcPr>
                  <w:tcW w:w="611" w:type="pct"/>
                  <w:vAlign w:val="center"/>
                </w:tcPr>
                <w:p w14:paraId="0725A9ED">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color w:val="auto"/>
                      <w:sz w:val="21"/>
                      <w:szCs w:val="21"/>
                      <w:highlight w:val="none"/>
                      <w:lang w:val="en-US" w:eastAsia="zh-CN"/>
                    </w:rPr>
                    <w:t>非甲烷总烃</w:t>
                  </w:r>
                </w:p>
              </w:tc>
              <w:tc>
                <w:tcPr>
                  <w:tcW w:w="879" w:type="pct"/>
                  <w:vMerge w:val="continue"/>
                  <w:vAlign w:val="center"/>
                </w:tcPr>
                <w:p w14:paraId="3097566A">
                  <w:pPr>
                    <w:spacing w:line="360" w:lineRule="exact"/>
                    <w:jc w:val="center"/>
                    <w:rPr>
                      <w:rFonts w:hint="default" w:ascii="Times New Roman" w:hAnsi="Times New Roman" w:eastAsia="宋体" w:cs="Times New Roman"/>
                      <w:b w:val="0"/>
                      <w:bCs w:val="0"/>
                      <w:sz w:val="21"/>
                      <w:szCs w:val="21"/>
                      <w:lang w:val="en-US" w:eastAsia="zh-CN"/>
                    </w:rPr>
                  </w:pPr>
                </w:p>
              </w:tc>
              <w:tc>
                <w:tcPr>
                  <w:tcW w:w="848" w:type="pct"/>
                  <w:vMerge w:val="continue"/>
                  <w:vAlign w:val="center"/>
                </w:tcPr>
                <w:p w14:paraId="1C12460B">
                  <w:pPr>
                    <w:spacing w:line="360" w:lineRule="exact"/>
                    <w:jc w:val="center"/>
                    <w:rPr>
                      <w:rFonts w:hint="default" w:ascii="Times New Roman" w:hAnsi="Times New Roman" w:eastAsia="宋体" w:cs="Times New Roman"/>
                      <w:b w:val="0"/>
                      <w:bCs w:val="0"/>
                      <w:sz w:val="21"/>
                      <w:szCs w:val="21"/>
                      <w:lang w:val="en-US" w:eastAsia="zh-CN"/>
                    </w:rPr>
                  </w:pPr>
                </w:p>
              </w:tc>
              <w:tc>
                <w:tcPr>
                  <w:tcW w:w="374" w:type="pct"/>
                  <w:vMerge w:val="continue"/>
                  <w:vAlign w:val="center"/>
                </w:tcPr>
                <w:p w14:paraId="712B9E01">
                  <w:pPr>
                    <w:spacing w:line="360" w:lineRule="exact"/>
                    <w:jc w:val="center"/>
                    <w:rPr>
                      <w:rFonts w:hint="default" w:ascii="Times New Roman" w:hAnsi="Times New Roman" w:eastAsia="宋体" w:cs="Times New Roman"/>
                      <w:b w:val="0"/>
                      <w:bCs w:val="0"/>
                      <w:sz w:val="21"/>
                      <w:szCs w:val="21"/>
                      <w:lang w:val="en-US" w:eastAsia="zh-CN"/>
                    </w:rPr>
                  </w:pPr>
                </w:p>
              </w:tc>
              <w:tc>
                <w:tcPr>
                  <w:tcW w:w="409" w:type="pct"/>
                  <w:vMerge w:val="continue"/>
                  <w:vAlign w:val="center"/>
                </w:tcPr>
                <w:p w14:paraId="46D609DD">
                  <w:pPr>
                    <w:spacing w:line="360" w:lineRule="exact"/>
                    <w:jc w:val="center"/>
                    <w:rPr>
                      <w:rFonts w:hint="default" w:ascii="Times New Roman" w:hAnsi="Times New Roman" w:eastAsia="宋体" w:cs="Times New Roman"/>
                      <w:b w:val="0"/>
                      <w:bCs w:val="0"/>
                      <w:sz w:val="21"/>
                      <w:szCs w:val="21"/>
                      <w:lang w:val="en-US" w:eastAsia="zh-CN"/>
                    </w:rPr>
                  </w:pPr>
                </w:p>
              </w:tc>
              <w:tc>
                <w:tcPr>
                  <w:tcW w:w="406" w:type="pct"/>
                  <w:vMerge w:val="continue"/>
                  <w:vAlign w:val="center"/>
                </w:tcPr>
                <w:p w14:paraId="7B5A188F">
                  <w:pPr>
                    <w:spacing w:line="360" w:lineRule="exact"/>
                    <w:jc w:val="center"/>
                    <w:rPr>
                      <w:rFonts w:hint="default" w:ascii="Times New Roman" w:hAnsi="Times New Roman" w:eastAsia="宋体" w:cs="Times New Roman"/>
                      <w:b w:val="0"/>
                      <w:bCs w:val="0"/>
                      <w:sz w:val="21"/>
                      <w:szCs w:val="21"/>
                      <w:lang w:val="en-US" w:eastAsia="zh-CN"/>
                    </w:rPr>
                  </w:pPr>
                </w:p>
              </w:tc>
              <w:tc>
                <w:tcPr>
                  <w:tcW w:w="266" w:type="pct"/>
                  <w:vMerge w:val="continue"/>
                  <w:vAlign w:val="center"/>
                </w:tcPr>
                <w:p w14:paraId="65900344">
                  <w:pPr>
                    <w:spacing w:line="360" w:lineRule="exact"/>
                    <w:jc w:val="center"/>
                    <w:rPr>
                      <w:rFonts w:hint="default" w:ascii="Times New Roman" w:hAnsi="Times New Roman" w:eastAsia="宋体" w:cs="Times New Roman"/>
                      <w:b w:val="0"/>
                      <w:bCs w:val="0"/>
                      <w:sz w:val="21"/>
                      <w:szCs w:val="21"/>
                      <w:lang w:val="en-US" w:eastAsia="zh-CN"/>
                    </w:rPr>
                  </w:pPr>
                </w:p>
              </w:tc>
            </w:tr>
          </w:tbl>
          <w:p w14:paraId="682566CA">
            <w:pPr>
              <w:keepNext w:val="0"/>
              <w:keepLines w:val="0"/>
              <w:pageBreakBefore w:val="0"/>
              <w:widowControl w:val="0"/>
              <w:numPr>
                <w:ilvl w:val="0"/>
                <w:numId w:val="0"/>
              </w:numPr>
              <w:kinsoku/>
              <w:wordWrap/>
              <w:overflowPunct/>
              <w:topLinePunct w:val="0"/>
              <w:autoSpaceDE/>
              <w:autoSpaceDN/>
              <w:bidi w:val="0"/>
              <w:snapToGrid/>
              <w:spacing w:line="360" w:lineRule="auto"/>
              <w:ind w:firstLine="480" w:firstLineChars="200"/>
              <w:textAlignment w:val="auto"/>
              <w:rPr>
                <w:rFonts w:hint="default" w:ascii="Times New Roman" w:hAnsi="Times New Roman" w:eastAsia="宋体" w:cs="Times New Roman"/>
                <w:b w:val="0"/>
                <w:bCs w:val="0"/>
                <w:kern w:val="0"/>
                <w:sz w:val="24"/>
              </w:rPr>
            </w:pPr>
            <w:r>
              <w:rPr>
                <w:rFonts w:hint="default" w:ascii="Times New Roman" w:hAnsi="Times New Roman" w:eastAsia="宋体" w:cs="Times New Roman"/>
                <w:b w:val="0"/>
                <w:bCs w:val="0"/>
                <w:kern w:val="0"/>
                <w:sz w:val="24"/>
                <w:lang w:val="en-US" w:eastAsia="zh-CN"/>
              </w:rPr>
              <w:t>3、废气</w:t>
            </w:r>
            <w:r>
              <w:rPr>
                <w:rFonts w:hint="default" w:ascii="Times New Roman" w:hAnsi="Times New Roman" w:eastAsia="宋体" w:cs="Times New Roman"/>
                <w:b w:val="0"/>
                <w:bCs w:val="0"/>
                <w:kern w:val="0"/>
                <w:sz w:val="24"/>
              </w:rPr>
              <w:t>防治措施及可行性分析</w:t>
            </w:r>
          </w:p>
          <w:p w14:paraId="7C5A111B">
            <w:pPr>
              <w:keepNext w:val="0"/>
              <w:keepLines w:val="0"/>
              <w:pageBreakBefore w:val="0"/>
              <w:widowControl w:val="0"/>
              <w:numPr>
                <w:ilvl w:val="0"/>
                <w:numId w:val="0"/>
              </w:numPr>
              <w:kinsoku/>
              <w:wordWrap/>
              <w:overflowPunct/>
              <w:topLinePunct w:val="0"/>
              <w:autoSpaceDE/>
              <w:autoSpaceDN/>
              <w:bidi w:val="0"/>
              <w:snapToGrid/>
              <w:spacing w:line="360" w:lineRule="auto"/>
              <w:ind w:firstLine="480" w:firstLineChars="200"/>
              <w:textAlignment w:val="auto"/>
              <w:rPr>
                <w:rFonts w:hint="eastAsia" w:ascii="Times New Roman" w:hAnsi="Times New Roman" w:eastAsia="宋体" w:cs="Times New Roman"/>
                <w:b w:val="0"/>
                <w:bCs w:val="0"/>
                <w:kern w:val="0"/>
                <w:sz w:val="24"/>
                <w:highlight w:val="none"/>
                <w:lang w:val="en-US" w:eastAsia="zh-CN"/>
              </w:rPr>
            </w:pPr>
            <w:r>
              <w:rPr>
                <w:rFonts w:hint="eastAsia" w:ascii="Times New Roman" w:hAnsi="Times New Roman" w:eastAsia="宋体" w:cs="Times New Roman"/>
                <w:b w:val="0"/>
                <w:bCs w:val="0"/>
                <w:kern w:val="0"/>
                <w:sz w:val="24"/>
                <w:highlight w:val="none"/>
                <w:lang w:val="en-US" w:eastAsia="zh-CN"/>
              </w:rPr>
              <w:t>项目生产过程产生的废气主要为回流焊废气、手工焊接废气、擦拭废气，主要污染物为颗粒物、锡及其化合物、非甲烷总烃，废气收集后经过1套“滤筒除尘器+二级活性炭吸附”装置处理，最后通过1根23m高排气筒排放。根据前文分析可知，本项目颗粒物、锡及其化合物、非甲烷总烃排放可以达到《大气污染物综合排放标准》（GB16297-1996）及安徽省《固定源挥发性有机物综合排放标准第5部分：电子工业》（DB 34/4812.5—2024）中相应标准限值要求。</w:t>
            </w:r>
          </w:p>
          <w:p w14:paraId="2009D267">
            <w:pPr>
              <w:numPr>
                <w:ilvl w:val="0"/>
                <w:numId w:val="0"/>
              </w:numPr>
              <w:spacing w:line="360" w:lineRule="auto"/>
              <w:ind w:firstLine="480" w:firstLineChars="200"/>
              <w:rPr>
                <w:rFonts w:hint="default" w:ascii="Times New Roman" w:hAnsi="Times New Roman" w:eastAsia="宋体" w:cs="Times New Roman"/>
                <w:b w:val="0"/>
                <w:bCs w:val="0"/>
                <w:color w:val="auto"/>
                <w:kern w:val="0"/>
                <w:sz w:val="24"/>
              </w:rPr>
            </w:pPr>
            <w:r>
              <w:rPr>
                <w:rFonts w:hint="default" w:ascii="Times New Roman" w:hAnsi="Times New Roman" w:eastAsia="宋体" w:cs="Times New Roman"/>
                <w:b w:val="0"/>
                <w:bCs w:val="0"/>
                <w:kern w:val="0"/>
                <w:sz w:val="24"/>
              </w:rPr>
              <w:t>对照《排污许可证申请与核发技术规范 电子工业》（HJ1031-2019）</w:t>
            </w:r>
            <w:r>
              <w:rPr>
                <w:rFonts w:hint="eastAsia" w:ascii="Times New Roman" w:hAnsi="Times New Roman" w:eastAsia="宋体" w:cs="Times New Roman"/>
                <w:b w:val="0"/>
                <w:bCs w:val="0"/>
                <w:kern w:val="0"/>
                <w:sz w:val="24"/>
                <w:lang w:val="en-US" w:eastAsia="zh-CN"/>
              </w:rPr>
              <w:t>有机废气处理系统推荐工艺包含活性炭吸附法、其他；本项目采用</w:t>
            </w:r>
            <w:r>
              <w:rPr>
                <w:rFonts w:hint="eastAsia" w:ascii="Times New Roman" w:hAnsi="Times New Roman" w:eastAsia="宋体" w:cs="Times New Roman"/>
                <w:b w:val="0"/>
                <w:bCs w:val="0"/>
                <w:kern w:val="0"/>
                <w:sz w:val="24"/>
                <w:highlight w:val="none"/>
                <w:lang w:val="en-US" w:eastAsia="zh-CN"/>
              </w:rPr>
              <w:t>“滤筒除尘器+二级活性炭吸附”装置，</w:t>
            </w:r>
            <w:r>
              <w:rPr>
                <w:rFonts w:hint="eastAsia" w:ascii="Times New Roman" w:hAnsi="Times New Roman" w:eastAsia="宋体" w:cs="Times New Roman"/>
                <w:b w:val="0"/>
                <w:bCs w:val="0"/>
                <w:kern w:val="0"/>
                <w:sz w:val="24"/>
                <w:lang w:val="en-US" w:eastAsia="zh-CN"/>
              </w:rPr>
              <w:t>属于污染防治可行技术要求</w:t>
            </w:r>
            <w:r>
              <w:rPr>
                <w:rFonts w:hint="default" w:ascii="Times New Roman" w:hAnsi="Times New Roman" w:eastAsia="宋体" w:cs="Times New Roman"/>
                <w:b w:val="0"/>
                <w:bCs w:val="0"/>
                <w:color w:val="auto"/>
                <w:kern w:val="0"/>
                <w:sz w:val="24"/>
              </w:rPr>
              <w:t>。</w:t>
            </w:r>
          </w:p>
          <w:p w14:paraId="5FFA6BCA">
            <w:pPr>
              <w:numPr>
                <w:ilvl w:val="0"/>
                <w:numId w:val="0"/>
              </w:numPr>
              <w:spacing w:line="360" w:lineRule="auto"/>
              <w:ind w:firstLine="480" w:firstLineChars="200"/>
              <w:rPr>
                <w:rFonts w:hint="default" w:ascii="Times New Roman" w:hAnsi="Times New Roman" w:eastAsia="宋体" w:cs="Times New Roman"/>
                <w:kern w:val="0"/>
                <w:sz w:val="24"/>
              </w:rPr>
            </w:pPr>
            <w:r>
              <w:rPr>
                <w:rFonts w:hint="default" w:ascii="Times New Roman" w:hAnsi="Times New Roman" w:eastAsia="宋体" w:cs="Times New Roman"/>
                <w:b w:val="0"/>
                <w:bCs w:val="0"/>
                <w:kern w:val="0"/>
                <w:sz w:val="24"/>
                <w:lang w:val="en-US" w:eastAsia="zh-CN"/>
              </w:rPr>
              <w:t>4</w:t>
            </w:r>
            <w:r>
              <w:rPr>
                <w:rFonts w:hint="default" w:ascii="Times New Roman" w:hAnsi="Times New Roman" w:eastAsia="宋体" w:cs="Times New Roman"/>
                <w:b w:val="0"/>
                <w:bCs w:val="0"/>
                <w:kern w:val="0"/>
                <w:sz w:val="24"/>
              </w:rPr>
              <w:t>、</w:t>
            </w:r>
            <w:r>
              <w:rPr>
                <w:rFonts w:hint="default" w:ascii="Times New Roman" w:hAnsi="Times New Roman" w:eastAsia="宋体" w:cs="Times New Roman"/>
                <w:b w:val="0"/>
                <w:bCs w:val="0"/>
                <w:kern w:val="0"/>
                <w:sz w:val="24"/>
                <w:lang w:val="en-US" w:eastAsia="zh-CN"/>
              </w:rPr>
              <w:t>自行监测要求</w:t>
            </w:r>
          </w:p>
          <w:p w14:paraId="39BC11A3">
            <w:pPr>
              <w:spacing w:line="360" w:lineRule="auto"/>
              <w:ind w:firstLine="480" w:firstLineChars="200"/>
              <w:rPr>
                <w:rFonts w:hint="default" w:ascii="Times New Roman" w:hAnsi="Times New Roman" w:eastAsia="黑体" w:cs="Times New Roman"/>
                <w:kern w:val="0"/>
                <w:sz w:val="21"/>
                <w:szCs w:val="21"/>
              </w:rPr>
            </w:pPr>
            <w:r>
              <w:rPr>
                <w:rFonts w:hint="default" w:ascii="Times New Roman" w:hAnsi="Times New Roman" w:eastAsia="宋体" w:cs="Times New Roman"/>
                <w:kern w:val="0"/>
                <w:sz w:val="24"/>
              </w:rPr>
              <w:t>根据《排污单位自行监测技术指南 电子工业》（HJ1253-2022）制定大气监测计划，具体如下</w:t>
            </w:r>
            <w:r>
              <w:rPr>
                <w:rFonts w:hint="default" w:ascii="Times New Roman" w:hAnsi="Times New Roman" w:cs="Times New Roman"/>
                <w:bCs/>
                <w:sz w:val="24"/>
              </w:rPr>
              <w:t>。</w:t>
            </w:r>
          </w:p>
          <w:p w14:paraId="15743602">
            <w:pPr>
              <w:spacing w:line="360" w:lineRule="auto"/>
              <w:jc w:val="center"/>
              <w:rPr>
                <w:rFonts w:hint="default" w:ascii="Times New Roman" w:hAnsi="Times New Roman" w:eastAsia="黑体" w:cs="Times New Roman"/>
                <w:kern w:val="0"/>
                <w:sz w:val="21"/>
                <w:szCs w:val="21"/>
                <w:vertAlign w:val="baseline"/>
                <w:lang w:val="en-US" w:eastAsia="zh-CN"/>
              </w:rPr>
            </w:pPr>
            <w:r>
              <w:rPr>
                <w:rFonts w:hint="default" w:ascii="Times New Roman" w:hAnsi="Times New Roman" w:eastAsia="黑体" w:cs="Times New Roman"/>
                <w:kern w:val="0"/>
                <w:sz w:val="21"/>
                <w:szCs w:val="21"/>
              </w:rPr>
              <w:t>表</w:t>
            </w:r>
            <w:r>
              <w:rPr>
                <w:rFonts w:hint="eastAsia" w:ascii="Times New Roman" w:hAnsi="Times New Roman" w:eastAsia="黑体" w:cs="Times New Roman"/>
                <w:kern w:val="0"/>
                <w:sz w:val="21"/>
                <w:szCs w:val="21"/>
                <w:lang w:val="en-US" w:eastAsia="zh-CN"/>
              </w:rPr>
              <w:t>4-4</w:t>
            </w:r>
            <w:r>
              <w:rPr>
                <w:rFonts w:hint="default" w:ascii="Times New Roman" w:hAnsi="Times New Roman" w:eastAsia="黑体" w:cs="Times New Roman"/>
                <w:kern w:val="0"/>
                <w:sz w:val="21"/>
                <w:szCs w:val="21"/>
              </w:rPr>
              <w:t xml:space="preserve"> </w:t>
            </w:r>
            <w:r>
              <w:rPr>
                <w:rFonts w:hint="default" w:ascii="Times New Roman" w:hAnsi="Times New Roman" w:eastAsia="黑体" w:cs="Times New Roman"/>
                <w:kern w:val="0"/>
                <w:sz w:val="21"/>
                <w:szCs w:val="21"/>
                <w:lang w:val="en-US" w:eastAsia="zh-CN"/>
              </w:rPr>
              <w:t>运营期废气自行监测方案</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7"/>
              <w:gridCol w:w="1616"/>
              <w:gridCol w:w="3957"/>
              <w:gridCol w:w="1431"/>
            </w:tblGrid>
            <w:tr w14:paraId="016B5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0" w:type="pct"/>
                  <w:vAlign w:val="center"/>
                </w:tcPr>
                <w:p w14:paraId="7A3AB53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r>
                    <w:rPr>
                      <w:rFonts w:hint="default" w:ascii="Times New Roman" w:hAnsi="Times New Roman" w:eastAsia="宋体" w:cs="Times New Roman"/>
                      <w:kern w:val="0"/>
                      <w:sz w:val="21"/>
                      <w:szCs w:val="21"/>
                      <w:vertAlign w:val="baseline"/>
                      <w:lang w:val="en-US" w:eastAsia="zh-CN"/>
                    </w:rPr>
                    <w:t>监测类别</w:t>
                  </w:r>
                </w:p>
              </w:tc>
              <w:tc>
                <w:tcPr>
                  <w:tcW w:w="985" w:type="pct"/>
                  <w:vAlign w:val="center"/>
                </w:tcPr>
                <w:p w14:paraId="0F10E87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r>
                    <w:rPr>
                      <w:rFonts w:hint="default" w:ascii="Times New Roman" w:hAnsi="Times New Roman" w:eastAsia="宋体" w:cs="Times New Roman"/>
                      <w:kern w:val="0"/>
                      <w:sz w:val="21"/>
                      <w:szCs w:val="21"/>
                      <w:vertAlign w:val="baseline"/>
                      <w:lang w:val="en-US" w:eastAsia="zh-CN"/>
                    </w:rPr>
                    <w:t>监测位置</w:t>
                  </w:r>
                </w:p>
              </w:tc>
              <w:tc>
                <w:tcPr>
                  <w:tcW w:w="2412" w:type="pct"/>
                  <w:vAlign w:val="center"/>
                </w:tcPr>
                <w:p w14:paraId="75F262D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bidi="ar-SA"/>
                    </w:rPr>
                    <w:t>监测</w:t>
                  </w:r>
                  <w:r>
                    <w:rPr>
                      <w:rFonts w:hint="eastAsia" w:ascii="Times New Roman" w:hAnsi="Times New Roman" w:cs="Times New Roman"/>
                      <w:kern w:val="0"/>
                      <w:sz w:val="21"/>
                      <w:szCs w:val="21"/>
                      <w:lang w:val="en-US" w:eastAsia="zh-CN" w:bidi="ar-SA"/>
                    </w:rPr>
                    <w:t>因子</w:t>
                  </w:r>
                </w:p>
              </w:tc>
              <w:tc>
                <w:tcPr>
                  <w:tcW w:w="872" w:type="pct"/>
                  <w:vAlign w:val="center"/>
                </w:tcPr>
                <w:p w14:paraId="015B8E3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kern w:val="0"/>
                      <w:sz w:val="21"/>
                      <w:szCs w:val="21"/>
                      <w:lang w:val="en-US" w:eastAsia="zh-CN" w:bidi="ar-SA"/>
                    </w:rPr>
                  </w:pPr>
                  <w:r>
                    <w:rPr>
                      <w:rFonts w:hint="default" w:ascii="Times New Roman" w:hAnsi="Times New Roman" w:cs="Times New Roman"/>
                      <w:kern w:val="0"/>
                      <w:sz w:val="21"/>
                      <w:szCs w:val="21"/>
                      <w:lang w:val="en-US" w:eastAsia="zh-CN" w:bidi="ar-SA"/>
                    </w:rPr>
                    <w:t>监测频</w:t>
                  </w:r>
                  <w:r>
                    <w:rPr>
                      <w:rFonts w:hint="eastAsia" w:ascii="Times New Roman" w:hAnsi="Times New Roman" w:cs="Times New Roman"/>
                      <w:kern w:val="0"/>
                      <w:sz w:val="21"/>
                      <w:szCs w:val="21"/>
                      <w:lang w:val="en-US" w:eastAsia="zh-CN" w:bidi="ar-SA"/>
                    </w:rPr>
                    <w:t>次</w:t>
                  </w:r>
                </w:p>
              </w:tc>
            </w:tr>
            <w:tr w14:paraId="50B27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0" w:type="pct"/>
                  <w:vMerge w:val="restart"/>
                  <w:vAlign w:val="center"/>
                </w:tcPr>
                <w:p w14:paraId="6B8702E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r>
                    <w:rPr>
                      <w:rFonts w:hint="default" w:ascii="Times New Roman" w:hAnsi="Times New Roman" w:eastAsia="宋体" w:cs="Times New Roman"/>
                      <w:kern w:val="0"/>
                      <w:sz w:val="21"/>
                      <w:szCs w:val="21"/>
                      <w:vertAlign w:val="baseline"/>
                      <w:lang w:val="en-US" w:eastAsia="zh-CN"/>
                    </w:rPr>
                    <w:t>废气</w:t>
                  </w:r>
                </w:p>
              </w:tc>
              <w:tc>
                <w:tcPr>
                  <w:tcW w:w="985" w:type="pct"/>
                  <w:vAlign w:val="center"/>
                </w:tcPr>
                <w:p w14:paraId="73B6047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r>
                    <w:rPr>
                      <w:rFonts w:hint="default" w:ascii="Times New Roman" w:hAnsi="Times New Roman" w:eastAsia="宋体" w:cs="Times New Roman"/>
                      <w:kern w:val="0"/>
                      <w:sz w:val="21"/>
                      <w:szCs w:val="21"/>
                      <w:vertAlign w:val="baseline"/>
                      <w:lang w:val="en-US" w:eastAsia="zh-CN"/>
                    </w:rPr>
                    <w:t>DA001</w:t>
                  </w:r>
                </w:p>
              </w:tc>
              <w:tc>
                <w:tcPr>
                  <w:tcW w:w="2412" w:type="pct"/>
                  <w:vAlign w:val="center"/>
                </w:tcPr>
                <w:p w14:paraId="7D1C09E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eastAsiaTheme="minorEastAsia"/>
                      <w:kern w:val="0"/>
                      <w:sz w:val="21"/>
                      <w:szCs w:val="21"/>
                      <w:lang w:val="en-US" w:eastAsia="zh-CN" w:bidi="ar-SA"/>
                    </w:rPr>
                    <w:t>颗粒物</w:t>
                  </w:r>
                  <w:r>
                    <w:rPr>
                      <w:rFonts w:hint="eastAsia" w:ascii="Times New Roman" w:hAnsi="Times New Roman" w:cs="Times New Roman"/>
                      <w:kern w:val="0"/>
                      <w:sz w:val="21"/>
                      <w:szCs w:val="21"/>
                      <w:lang w:val="en-US" w:eastAsia="zh-CN" w:bidi="ar-SA"/>
                    </w:rPr>
                    <w:t>、</w:t>
                  </w:r>
                  <w:r>
                    <w:rPr>
                      <w:rFonts w:hint="default" w:ascii="Times New Roman" w:hAnsi="Times New Roman" w:cs="Times New Roman" w:eastAsiaTheme="minorEastAsia"/>
                      <w:kern w:val="0"/>
                      <w:sz w:val="21"/>
                      <w:szCs w:val="21"/>
                      <w:lang w:val="en-US" w:eastAsia="zh-CN" w:bidi="ar-SA"/>
                    </w:rPr>
                    <w:t>锡及其化合物</w:t>
                  </w:r>
                  <w:r>
                    <w:rPr>
                      <w:rFonts w:hint="eastAsia" w:ascii="Times New Roman" w:hAnsi="Times New Roman" w:cs="Times New Roman"/>
                      <w:kern w:val="0"/>
                      <w:sz w:val="21"/>
                      <w:szCs w:val="21"/>
                      <w:lang w:val="en-US" w:eastAsia="zh-CN" w:bidi="ar-SA"/>
                    </w:rPr>
                    <w:t>、</w:t>
                  </w:r>
                  <w:r>
                    <w:rPr>
                      <w:rFonts w:hint="default" w:ascii="Times New Roman" w:hAnsi="Times New Roman" w:cs="Times New Roman" w:eastAsiaTheme="minorEastAsia"/>
                      <w:kern w:val="0"/>
                      <w:sz w:val="21"/>
                      <w:szCs w:val="21"/>
                      <w:lang w:val="en-US" w:eastAsia="zh-CN" w:bidi="ar-SA"/>
                    </w:rPr>
                    <w:t>非甲烷总烃</w:t>
                  </w:r>
                </w:p>
              </w:tc>
              <w:tc>
                <w:tcPr>
                  <w:tcW w:w="872" w:type="pct"/>
                  <w:vAlign w:val="center"/>
                </w:tcPr>
                <w:p w14:paraId="505A2E9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bidi="ar-SA"/>
                    </w:rPr>
                    <w:t>1次/年</w:t>
                  </w:r>
                </w:p>
              </w:tc>
            </w:tr>
            <w:tr w14:paraId="3447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0" w:type="pct"/>
                  <w:vMerge w:val="continue"/>
                  <w:vAlign w:val="center"/>
                </w:tcPr>
                <w:p w14:paraId="4ED6A10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p>
              </w:tc>
              <w:tc>
                <w:tcPr>
                  <w:tcW w:w="985" w:type="pct"/>
                  <w:vAlign w:val="center"/>
                </w:tcPr>
                <w:p w14:paraId="08DE5BE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r>
                    <w:rPr>
                      <w:rFonts w:hint="default" w:ascii="Times New Roman" w:hAnsi="Times New Roman" w:eastAsia="宋体" w:cs="Times New Roman"/>
                      <w:kern w:val="0"/>
                      <w:sz w:val="21"/>
                      <w:szCs w:val="21"/>
                      <w:vertAlign w:val="baseline"/>
                      <w:lang w:val="en-US" w:eastAsia="zh-CN"/>
                    </w:rPr>
                    <w:t>厂界</w:t>
                  </w:r>
                </w:p>
              </w:tc>
              <w:tc>
                <w:tcPr>
                  <w:tcW w:w="2412" w:type="pct"/>
                  <w:vAlign w:val="center"/>
                </w:tcPr>
                <w:p w14:paraId="1612B4F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r>
                    <w:rPr>
                      <w:rFonts w:hint="default" w:ascii="Times New Roman" w:hAnsi="Times New Roman" w:cs="Times New Roman" w:eastAsiaTheme="minorEastAsia"/>
                      <w:kern w:val="0"/>
                      <w:sz w:val="21"/>
                      <w:szCs w:val="21"/>
                      <w:lang w:val="en-US" w:eastAsia="zh-CN" w:bidi="ar-SA"/>
                    </w:rPr>
                    <w:t>颗粒物</w:t>
                  </w:r>
                  <w:r>
                    <w:rPr>
                      <w:rFonts w:hint="eastAsia" w:ascii="Times New Roman" w:hAnsi="Times New Roman" w:cs="Times New Roman"/>
                      <w:kern w:val="0"/>
                      <w:sz w:val="21"/>
                      <w:szCs w:val="21"/>
                      <w:lang w:val="en-US" w:eastAsia="zh-CN" w:bidi="ar-SA"/>
                    </w:rPr>
                    <w:t>、</w:t>
                  </w:r>
                  <w:r>
                    <w:rPr>
                      <w:rFonts w:hint="default" w:ascii="Times New Roman" w:hAnsi="Times New Roman" w:cs="Times New Roman" w:eastAsiaTheme="minorEastAsia"/>
                      <w:kern w:val="0"/>
                      <w:sz w:val="21"/>
                      <w:szCs w:val="21"/>
                      <w:lang w:val="en-US" w:eastAsia="zh-CN" w:bidi="ar-SA"/>
                    </w:rPr>
                    <w:t>锡及其化合物</w:t>
                  </w:r>
                  <w:r>
                    <w:rPr>
                      <w:rFonts w:hint="eastAsia" w:ascii="Times New Roman" w:hAnsi="Times New Roman" w:cs="Times New Roman"/>
                      <w:kern w:val="0"/>
                      <w:sz w:val="21"/>
                      <w:szCs w:val="21"/>
                      <w:lang w:val="en-US" w:eastAsia="zh-CN" w:bidi="ar-SA"/>
                    </w:rPr>
                    <w:t>、</w:t>
                  </w:r>
                  <w:r>
                    <w:rPr>
                      <w:rFonts w:hint="default" w:ascii="Times New Roman" w:hAnsi="Times New Roman" w:cs="Times New Roman" w:eastAsiaTheme="minorEastAsia"/>
                      <w:kern w:val="0"/>
                      <w:sz w:val="21"/>
                      <w:szCs w:val="21"/>
                      <w:lang w:val="en-US" w:eastAsia="zh-CN" w:bidi="ar-SA"/>
                    </w:rPr>
                    <w:t>非甲烷总烃</w:t>
                  </w:r>
                </w:p>
              </w:tc>
              <w:tc>
                <w:tcPr>
                  <w:tcW w:w="872" w:type="pct"/>
                  <w:vAlign w:val="center"/>
                </w:tcPr>
                <w:p w14:paraId="7F8AB26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kern w:val="0"/>
                      <w:sz w:val="21"/>
                      <w:szCs w:val="21"/>
                      <w:lang w:val="en-US" w:eastAsia="zh-CN" w:bidi="ar-SA"/>
                    </w:rPr>
                  </w:pPr>
                  <w:r>
                    <w:rPr>
                      <w:rFonts w:hint="default" w:ascii="Times New Roman" w:hAnsi="Times New Roman" w:cs="Times New Roman"/>
                      <w:kern w:val="0"/>
                      <w:sz w:val="21"/>
                      <w:szCs w:val="21"/>
                      <w:lang w:val="en-US" w:eastAsia="zh-CN" w:bidi="ar-SA"/>
                    </w:rPr>
                    <w:t>1次/年</w:t>
                  </w:r>
                </w:p>
              </w:tc>
            </w:tr>
          </w:tbl>
          <w:p w14:paraId="291FB572">
            <w:pPr>
              <w:spacing w:line="360" w:lineRule="auto"/>
              <w:ind w:firstLine="480" w:firstLineChars="200"/>
              <w:rPr>
                <w:rFonts w:hint="default" w:ascii="Times New Roman" w:hAnsi="Times New Roman" w:cs="Times New Roman"/>
                <w:b w:val="0"/>
                <w:bCs w:val="0"/>
                <w:color w:val="000000"/>
                <w:sz w:val="24"/>
                <w:szCs w:val="24"/>
              </w:rPr>
            </w:pPr>
            <w:r>
              <w:rPr>
                <w:rFonts w:hint="default" w:ascii="Times New Roman" w:hAnsi="Times New Roman" w:cs="Times New Roman"/>
                <w:b w:val="0"/>
                <w:bCs w:val="0"/>
                <w:color w:val="000000"/>
                <w:sz w:val="24"/>
                <w:szCs w:val="24"/>
                <w:lang w:val="en-US" w:eastAsia="zh-CN"/>
              </w:rPr>
              <w:t>5</w:t>
            </w:r>
            <w:r>
              <w:rPr>
                <w:rFonts w:hint="default" w:ascii="Times New Roman" w:hAnsi="Times New Roman" w:cs="Times New Roman"/>
                <w:b w:val="0"/>
                <w:bCs w:val="0"/>
                <w:color w:val="000000"/>
                <w:sz w:val="24"/>
                <w:szCs w:val="24"/>
              </w:rPr>
              <w:t>、非正常工况</w:t>
            </w:r>
          </w:p>
          <w:p w14:paraId="5933FB15">
            <w:pPr>
              <w:spacing w:line="360" w:lineRule="auto"/>
              <w:ind w:firstLine="480" w:firstLineChars="200"/>
              <w:rPr>
                <w:rFonts w:hint="eastAsia" w:ascii="Times New Roman" w:hAnsi="Times New Roman" w:cs="Times New Roman" w:eastAsiaTheme="minorEastAsia"/>
                <w:bCs/>
                <w:sz w:val="21"/>
                <w:szCs w:val="21"/>
                <w:lang w:eastAsia="zh-CN"/>
              </w:rPr>
            </w:pPr>
            <w:r>
              <w:rPr>
                <w:rFonts w:hint="default" w:ascii="Times New Roman" w:hAnsi="Times New Roman" w:cs="Times New Roman"/>
                <w:color w:val="000000"/>
                <w:sz w:val="24"/>
                <w:szCs w:val="24"/>
              </w:rPr>
              <w:t>本项目涉及的非正常排放工况主要为</w:t>
            </w:r>
            <w:r>
              <w:rPr>
                <w:rFonts w:hint="eastAsia" w:ascii="Times New Roman" w:hAnsi="Times New Roman" w:cs="Times New Roman"/>
                <w:color w:val="000000"/>
                <w:sz w:val="24"/>
                <w:szCs w:val="24"/>
                <w:lang w:eastAsia="zh-CN"/>
              </w:rPr>
              <w:t>“</w:t>
            </w:r>
            <w:r>
              <w:rPr>
                <w:rFonts w:hint="eastAsia" w:ascii="Times New Roman" w:hAnsi="Times New Roman" w:cs="Times New Roman"/>
                <w:color w:val="000000"/>
                <w:sz w:val="24"/>
                <w:szCs w:val="24"/>
                <w:lang w:val="en-US" w:eastAsia="zh-CN"/>
              </w:rPr>
              <w:t>滤筒除尘器</w:t>
            </w:r>
            <w:r>
              <w:rPr>
                <w:rFonts w:hint="eastAsia" w:ascii="Times New Roman" w:hAnsi="Times New Roman" w:eastAsia="宋体" w:cs="Times New Roman"/>
                <w:b w:val="0"/>
                <w:bCs w:val="0"/>
                <w:kern w:val="0"/>
                <w:sz w:val="24"/>
                <w:lang w:val="en-US" w:eastAsia="zh-CN"/>
              </w:rPr>
              <w:t>+二级活性炭吸附</w:t>
            </w:r>
            <w:r>
              <w:rPr>
                <w:rFonts w:hint="eastAsia" w:ascii="Times New Roman" w:hAnsi="Times New Roman" w:cs="Times New Roman"/>
                <w:color w:val="000000"/>
                <w:sz w:val="24"/>
                <w:szCs w:val="24"/>
                <w:lang w:eastAsia="zh-CN"/>
              </w:rPr>
              <w:t>”</w:t>
            </w:r>
            <w:r>
              <w:rPr>
                <w:rFonts w:hint="eastAsia" w:ascii="Times New Roman" w:hAnsi="Times New Roman" w:cs="Times New Roman"/>
                <w:color w:val="000000"/>
                <w:sz w:val="24"/>
                <w:szCs w:val="24"/>
                <w:lang w:val="en-US" w:eastAsia="zh-CN"/>
              </w:rPr>
              <w:t>装置</w:t>
            </w:r>
            <w:r>
              <w:rPr>
                <w:rFonts w:hint="default" w:ascii="Times New Roman" w:hAnsi="Times New Roman" w:cs="Times New Roman"/>
                <w:color w:val="000000"/>
                <w:sz w:val="24"/>
                <w:szCs w:val="24"/>
              </w:rPr>
              <w:t>发生故障，从而造成污染物的非正常工况排放。</w:t>
            </w:r>
            <w:r>
              <w:rPr>
                <w:rFonts w:hint="eastAsia" w:ascii="Times New Roman" w:hAnsi="Times New Roman" w:cs="Times New Roman"/>
                <w:color w:val="000000"/>
                <w:sz w:val="24"/>
                <w:szCs w:val="24"/>
                <w:lang w:eastAsia="zh-CN"/>
              </w:rPr>
              <w:t>“</w:t>
            </w:r>
            <w:r>
              <w:rPr>
                <w:rFonts w:hint="eastAsia" w:ascii="Times New Roman" w:hAnsi="Times New Roman" w:cs="Times New Roman"/>
                <w:color w:val="000000"/>
                <w:sz w:val="24"/>
                <w:szCs w:val="24"/>
                <w:lang w:val="en-US" w:eastAsia="zh-CN"/>
              </w:rPr>
              <w:t>滤筒除尘器</w:t>
            </w:r>
            <w:r>
              <w:rPr>
                <w:rFonts w:hint="eastAsia" w:ascii="Times New Roman" w:hAnsi="Times New Roman" w:eastAsia="宋体" w:cs="Times New Roman"/>
                <w:b w:val="0"/>
                <w:bCs w:val="0"/>
                <w:kern w:val="0"/>
                <w:sz w:val="24"/>
                <w:lang w:val="en-US" w:eastAsia="zh-CN"/>
              </w:rPr>
              <w:t>+二级活性炭吸附</w:t>
            </w:r>
            <w:r>
              <w:rPr>
                <w:rFonts w:hint="eastAsia" w:ascii="Times New Roman" w:hAnsi="Times New Roman" w:cs="Times New Roman"/>
                <w:color w:val="000000"/>
                <w:sz w:val="24"/>
                <w:szCs w:val="24"/>
                <w:lang w:eastAsia="zh-CN"/>
              </w:rPr>
              <w:t>”</w:t>
            </w:r>
            <w:r>
              <w:rPr>
                <w:rFonts w:hint="eastAsia" w:ascii="Times New Roman" w:hAnsi="Times New Roman" w:cs="Times New Roman"/>
                <w:color w:val="000000"/>
                <w:sz w:val="24"/>
                <w:szCs w:val="24"/>
                <w:lang w:val="en-US" w:eastAsia="zh-CN"/>
              </w:rPr>
              <w:t>装置</w:t>
            </w:r>
            <w:r>
              <w:rPr>
                <w:rFonts w:hint="default" w:ascii="Times New Roman" w:hAnsi="Times New Roman" w:cs="Times New Roman"/>
                <w:color w:val="000000"/>
                <w:sz w:val="24"/>
                <w:szCs w:val="24"/>
              </w:rPr>
              <w:t>功能失效，导致治理效果达不到100%处理，此时废气治理按0%计算。经计算，在非正常工况下，各污染物有组织排放情况见下表</w:t>
            </w:r>
            <w:r>
              <w:rPr>
                <w:rFonts w:hint="eastAsia" w:ascii="Times New Roman" w:hAnsi="Times New Roman" w:cs="Times New Roman"/>
                <w:color w:val="000000"/>
                <w:sz w:val="24"/>
                <w:szCs w:val="24"/>
                <w:lang w:eastAsia="zh-CN"/>
              </w:rPr>
              <w:t>。</w:t>
            </w:r>
          </w:p>
          <w:p w14:paraId="4142EB94">
            <w:pPr>
              <w:spacing w:line="360" w:lineRule="auto"/>
              <w:jc w:val="center"/>
              <w:rPr>
                <w:rFonts w:hint="default" w:ascii="Times New Roman" w:hAnsi="Times New Roman" w:eastAsia="黑体" w:cs="Times New Roman"/>
                <w:bCs/>
                <w:sz w:val="21"/>
                <w:szCs w:val="21"/>
              </w:rPr>
            </w:pPr>
            <w:r>
              <w:rPr>
                <w:rFonts w:hint="default" w:ascii="Times New Roman" w:hAnsi="Times New Roman" w:eastAsia="黑体" w:cs="Times New Roman"/>
                <w:bCs/>
                <w:sz w:val="21"/>
                <w:szCs w:val="21"/>
              </w:rPr>
              <w:t>表</w:t>
            </w:r>
            <w:r>
              <w:rPr>
                <w:rFonts w:hint="default" w:ascii="Times New Roman" w:hAnsi="Times New Roman" w:eastAsia="黑体" w:cs="Times New Roman"/>
                <w:bCs/>
                <w:sz w:val="21"/>
                <w:szCs w:val="21"/>
                <w:lang w:val="en-US" w:eastAsia="zh-CN"/>
              </w:rPr>
              <w:t>4-</w:t>
            </w:r>
            <w:r>
              <w:rPr>
                <w:rFonts w:hint="eastAsia" w:ascii="Times New Roman" w:hAnsi="Times New Roman" w:eastAsia="黑体" w:cs="Times New Roman"/>
                <w:bCs/>
                <w:sz w:val="21"/>
                <w:szCs w:val="21"/>
                <w:lang w:val="en-US" w:eastAsia="zh-CN"/>
              </w:rPr>
              <w:t>5</w:t>
            </w:r>
            <w:r>
              <w:rPr>
                <w:rFonts w:hint="default" w:ascii="Times New Roman" w:hAnsi="Times New Roman" w:eastAsia="黑体" w:cs="Times New Roman"/>
                <w:bCs/>
                <w:sz w:val="21"/>
                <w:szCs w:val="21"/>
                <w:lang w:val="en-US" w:eastAsia="zh-CN"/>
              </w:rPr>
              <w:t xml:space="preserve"> </w:t>
            </w:r>
            <w:r>
              <w:rPr>
                <w:rFonts w:hint="default" w:ascii="Times New Roman" w:hAnsi="Times New Roman" w:eastAsia="黑体" w:cs="Times New Roman"/>
                <w:bCs/>
                <w:sz w:val="21"/>
                <w:szCs w:val="21"/>
              </w:rPr>
              <w:t>非正常工况下污染物排放源强一览表</w:t>
            </w:r>
          </w:p>
          <w:tbl>
            <w:tblPr>
              <w:tblStyle w:val="25"/>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157"/>
              <w:gridCol w:w="1639"/>
              <w:gridCol w:w="1360"/>
              <w:gridCol w:w="1360"/>
              <w:gridCol w:w="961"/>
              <w:gridCol w:w="884"/>
            </w:tblGrid>
            <w:tr w14:paraId="0443B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pct"/>
                  <w:vAlign w:val="center"/>
                </w:tcPr>
                <w:p w14:paraId="7DC2494A">
                  <w:pPr>
                    <w:spacing w:line="360" w:lineRule="exact"/>
                    <w:jc w:val="center"/>
                    <w:rPr>
                      <w:rFonts w:hint="default" w:ascii="Times New Roman" w:hAnsi="Times New Roman" w:cs="Times New Roman"/>
                      <w:lang w:val="en-US" w:eastAsia="zh-CN"/>
                    </w:rPr>
                  </w:pPr>
                  <w:r>
                    <w:rPr>
                      <w:rFonts w:hint="eastAsia" w:ascii="Times New Roman" w:hAnsi="Times New Roman" w:cs="Times New Roman"/>
                      <w:lang w:val="en-US" w:eastAsia="zh-CN"/>
                    </w:rPr>
                    <w:t>污染源</w:t>
                  </w:r>
                </w:p>
              </w:tc>
              <w:tc>
                <w:tcPr>
                  <w:tcW w:w="705" w:type="pct"/>
                  <w:vAlign w:val="center"/>
                </w:tcPr>
                <w:p w14:paraId="3A0DDBD1">
                  <w:pPr>
                    <w:spacing w:line="360" w:lineRule="exact"/>
                    <w:jc w:val="cente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非正常原因</w:t>
                  </w:r>
                </w:p>
              </w:tc>
              <w:tc>
                <w:tcPr>
                  <w:tcW w:w="999" w:type="pct"/>
                  <w:vAlign w:val="center"/>
                </w:tcPr>
                <w:p w14:paraId="7F4F5D14">
                  <w:pPr>
                    <w:spacing w:line="360" w:lineRule="exact"/>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污染物</w:t>
                  </w:r>
                </w:p>
              </w:tc>
              <w:tc>
                <w:tcPr>
                  <w:tcW w:w="829" w:type="pct"/>
                  <w:vAlign w:val="center"/>
                </w:tcPr>
                <w:p w14:paraId="491424C3">
                  <w:pPr>
                    <w:spacing w:line="360" w:lineRule="exact"/>
                    <w:jc w:val="center"/>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排放速率（g/h）</w:t>
                  </w:r>
                </w:p>
              </w:tc>
              <w:tc>
                <w:tcPr>
                  <w:tcW w:w="829" w:type="pct"/>
                  <w:vAlign w:val="center"/>
                </w:tcPr>
                <w:p w14:paraId="498C97D8">
                  <w:pPr>
                    <w:spacing w:line="360" w:lineRule="exact"/>
                    <w:jc w:val="center"/>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排放量（g/a）</w:t>
                  </w:r>
                </w:p>
              </w:tc>
              <w:tc>
                <w:tcPr>
                  <w:tcW w:w="586" w:type="pct"/>
                  <w:vAlign w:val="center"/>
                </w:tcPr>
                <w:p w14:paraId="00461C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lang w:val="en-US" w:eastAsia="zh-CN"/>
                    </w:rPr>
                  </w:pPr>
                  <w:r>
                    <w:rPr>
                      <w:rFonts w:hint="eastAsia" w:cs="Times New Roman"/>
                      <w:b w:val="0"/>
                      <w:bCs w:val="0"/>
                      <w:color w:val="000000" w:themeColor="text1"/>
                      <w:sz w:val="21"/>
                      <w:szCs w:val="21"/>
                      <w:highlight w:val="none"/>
                      <w:lang w:val="en-US" w:eastAsia="zh-CN"/>
                      <w14:textFill>
                        <w14:solidFill>
                          <w14:schemeClr w14:val="tx1"/>
                        </w14:solidFill>
                      </w14:textFill>
                    </w:rPr>
                    <w:t>非正常频次</w:t>
                  </w:r>
                </w:p>
              </w:tc>
              <w:tc>
                <w:tcPr>
                  <w:tcW w:w="539" w:type="pct"/>
                  <w:vAlign w:val="center"/>
                </w:tcPr>
                <w:p w14:paraId="140BCE8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z w:val="21"/>
                      <w:szCs w:val="21"/>
                      <w:lang w:val="en-US" w:eastAsia="zh-CN"/>
                    </w:rPr>
                  </w:pPr>
                  <w:r>
                    <w:rPr>
                      <w:rFonts w:hint="eastAsia" w:cs="Times New Roman"/>
                      <w:b w:val="0"/>
                      <w:bCs w:val="0"/>
                      <w:color w:val="000000" w:themeColor="text1"/>
                      <w:sz w:val="21"/>
                      <w:szCs w:val="21"/>
                      <w:highlight w:val="none"/>
                      <w:lang w:val="en-US" w:eastAsia="zh-CN"/>
                      <w14:textFill>
                        <w14:solidFill>
                          <w14:schemeClr w14:val="tx1"/>
                        </w14:solidFill>
                      </w14:textFill>
                    </w:rPr>
                    <w:t>持续时间</w:t>
                  </w:r>
                </w:p>
              </w:tc>
            </w:tr>
            <w:tr w14:paraId="2C4E6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pct"/>
                  <w:vMerge w:val="restart"/>
                  <w:vAlign w:val="center"/>
                </w:tcPr>
                <w:p w14:paraId="072923F3">
                  <w:pPr>
                    <w:spacing w:line="360" w:lineRule="exact"/>
                    <w:jc w:val="cente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DA001</w:t>
                  </w:r>
                </w:p>
              </w:tc>
              <w:tc>
                <w:tcPr>
                  <w:tcW w:w="705" w:type="pct"/>
                  <w:vMerge w:val="restart"/>
                  <w:vAlign w:val="center"/>
                </w:tcPr>
                <w:p w14:paraId="47118E6C">
                  <w:pPr>
                    <w:spacing w:line="360" w:lineRule="exact"/>
                    <w:jc w:val="center"/>
                    <w:rPr>
                      <w:rFonts w:hint="default" w:ascii="Times New Roman" w:hAnsi="Times New Roman" w:eastAsia="宋体" w:cs="Times New Roman"/>
                      <w:bCs/>
                      <w:kern w:val="2"/>
                      <w:sz w:val="21"/>
                      <w:szCs w:val="21"/>
                      <w:lang w:val="en-US" w:eastAsia="zh-CN" w:bidi="ar-SA"/>
                    </w:rPr>
                  </w:pPr>
                  <w:r>
                    <w:rPr>
                      <w:rFonts w:hint="default" w:ascii="Times New Roman" w:hAnsi="Times New Roman" w:eastAsia="宋体" w:cs="Times New Roman"/>
                      <w:bCs/>
                      <w:kern w:val="2"/>
                      <w:sz w:val="21"/>
                      <w:szCs w:val="21"/>
                      <w:lang w:val="en-US" w:eastAsia="zh-CN" w:bidi="ar-SA"/>
                    </w:rPr>
                    <w:t>废气处理设备发生故障</w:t>
                  </w:r>
                </w:p>
              </w:tc>
              <w:tc>
                <w:tcPr>
                  <w:tcW w:w="999" w:type="pct"/>
                  <w:vAlign w:val="center"/>
                </w:tcPr>
                <w:p w14:paraId="191BFB82">
                  <w:pPr>
                    <w:keepNext w:val="0"/>
                    <w:keepLines w:val="0"/>
                    <w:pageBreakBefore w:val="0"/>
                    <w:kinsoku/>
                    <w:wordWrap/>
                    <w:overflowPunct/>
                    <w:autoSpaceDN/>
                    <w:bidi w:val="0"/>
                    <w:snapToGrid/>
                    <w:spacing w:line="360" w:lineRule="exact"/>
                    <w:jc w:val="center"/>
                    <w:rPr>
                      <w:rFonts w:hint="default" w:ascii="Times New Roman" w:hAnsi="Times New Roman" w:eastAsia="宋体" w:cs="Times New Roman"/>
                      <w:bCs/>
                      <w:kern w:val="2"/>
                      <w:sz w:val="21"/>
                      <w:szCs w:val="21"/>
                      <w:lang w:val="en-US" w:eastAsia="zh-CN" w:bidi="ar-SA"/>
                    </w:rPr>
                  </w:pPr>
                  <w:r>
                    <w:rPr>
                      <w:rFonts w:hint="default" w:ascii="Times New Roman" w:hAnsi="Times New Roman" w:cs="Times New Roman"/>
                      <w:b w:val="0"/>
                      <w:bCs w:val="0"/>
                      <w:color w:val="000000" w:themeColor="text1"/>
                      <w:sz w:val="21"/>
                      <w:szCs w:val="21"/>
                      <w:lang w:eastAsia="zh-CN"/>
                      <w14:textFill>
                        <w14:solidFill>
                          <w14:schemeClr w14:val="tx1"/>
                        </w14:solidFill>
                      </w14:textFill>
                    </w:rPr>
                    <w:t>颗粒物</w:t>
                  </w:r>
                </w:p>
              </w:tc>
              <w:tc>
                <w:tcPr>
                  <w:tcW w:w="1360" w:type="dxa"/>
                  <w:vAlign w:val="center"/>
                </w:tcPr>
                <w:p w14:paraId="3A59498E">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color w:val="auto"/>
                      <w:sz w:val="21"/>
                      <w:szCs w:val="21"/>
                      <w:highlight w:val="none"/>
                      <w:lang w:val="en-US" w:eastAsia="zh-CN"/>
                    </w:rPr>
                    <w:t>0.087</w:t>
                  </w:r>
                </w:p>
              </w:tc>
              <w:tc>
                <w:tcPr>
                  <w:tcW w:w="1360" w:type="dxa"/>
                  <w:shd w:val="clear" w:color="auto" w:fill="auto"/>
                  <w:vAlign w:val="center"/>
                </w:tcPr>
                <w:p w14:paraId="0C1C8FC6">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color w:val="auto"/>
                      <w:sz w:val="21"/>
                      <w:szCs w:val="21"/>
                      <w:highlight w:val="none"/>
                      <w:lang w:val="en-US" w:eastAsia="zh-CN"/>
                    </w:rPr>
                    <w:t>0.087</w:t>
                  </w:r>
                </w:p>
              </w:tc>
              <w:tc>
                <w:tcPr>
                  <w:tcW w:w="586" w:type="pct"/>
                  <w:vMerge w:val="restart"/>
                  <w:vAlign w:val="center"/>
                </w:tcPr>
                <w:p w14:paraId="62821326">
                  <w:pPr>
                    <w:spacing w:line="360" w:lineRule="exact"/>
                    <w:jc w:val="center"/>
                    <w:rPr>
                      <w:rFonts w:hint="default"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1次/年</w:t>
                  </w:r>
                </w:p>
              </w:tc>
              <w:tc>
                <w:tcPr>
                  <w:tcW w:w="539" w:type="pct"/>
                  <w:vMerge w:val="restart"/>
                  <w:vAlign w:val="center"/>
                </w:tcPr>
                <w:p w14:paraId="2F71662A">
                  <w:pPr>
                    <w:spacing w:line="360" w:lineRule="exact"/>
                    <w:jc w:val="center"/>
                    <w:rPr>
                      <w:rFonts w:hint="default"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1h</w:t>
                  </w:r>
                </w:p>
              </w:tc>
            </w:tr>
            <w:tr w14:paraId="2F3F2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pct"/>
                  <w:vMerge w:val="continue"/>
                  <w:vAlign w:val="center"/>
                </w:tcPr>
                <w:p w14:paraId="3020C9F7">
                  <w:pPr>
                    <w:spacing w:line="360" w:lineRule="exact"/>
                    <w:jc w:val="center"/>
                    <w:rPr>
                      <w:rFonts w:hint="default" w:ascii="Times New Roman" w:hAnsi="Times New Roman" w:eastAsia="宋体" w:cs="Times New Roman"/>
                      <w:bCs/>
                      <w:sz w:val="21"/>
                      <w:szCs w:val="21"/>
                      <w:lang w:val="en-US" w:eastAsia="zh-CN"/>
                    </w:rPr>
                  </w:pPr>
                </w:p>
              </w:tc>
              <w:tc>
                <w:tcPr>
                  <w:tcW w:w="705" w:type="pct"/>
                  <w:vMerge w:val="continue"/>
                  <w:vAlign w:val="center"/>
                </w:tcPr>
                <w:p w14:paraId="76C18B65">
                  <w:pPr>
                    <w:spacing w:line="360" w:lineRule="exact"/>
                    <w:jc w:val="center"/>
                    <w:rPr>
                      <w:rFonts w:hint="default" w:ascii="Times New Roman" w:hAnsi="Times New Roman" w:eastAsia="宋体" w:cs="Times New Roman"/>
                      <w:b w:val="0"/>
                      <w:bCs w:val="0"/>
                      <w:kern w:val="2"/>
                      <w:sz w:val="21"/>
                      <w:szCs w:val="21"/>
                      <w:lang w:val="en-US" w:eastAsia="zh-CN" w:bidi="ar-SA"/>
                    </w:rPr>
                  </w:pPr>
                </w:p>
              </w:tc>
              <w:tc>
                <w:tcPr>
                  <w:tcW w:w="999" w:type="pct"/>
                  <w:vAlign w:val="center"/>
                </w:tcPr>
                <w:p w14:paraId="4F29F40C">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color w:val="auto"/>
                      <w:sz w:val="21"/>
                      <w:szCs w:val="21"/>
                      <w:highlight w:val="none"/>
                    </w:rPr>
                    <w:t>锡及其化合物</w:t>
                  </w:r>
                </w:p>
              </w:tc>
              <w:tc>
                <w:tcPr>
                  <w:tcW w:w="1360" w:type="dxa"/>
                  <w:vAlign w:val="center"/>
                </w:tcPr>
                <w:p w14:paraId="6C73522D">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color w:val="auto"/>
                      <w:sz w:val="21"/>
                      <w:szCs w:val="21"/>
                      <w:highlight w:val="none"/>
                      <w:lang w:val="en-US" w:eastAsia="zh-CN"/>
                    </w:rPr>
                    <w:t>0.0796</w:t>
                  </w:r>
                </w:p>
              </w:tc>
              <w:tc>
                <w:tcPr>
                  <w:tcW w:w="1360" w:type="dxa"/>
                  <w:shd w:val="clear" w:color="auto" w:fill="auto"/>
                  <w:vAlign w:val="center"/>
                </w:tcPr>
                <w:p w14:paraId="4FA1B399">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color w:val="auto"/>
                      <w:sz w:val="21"/>
                      <w:szCs w:val="21"/>
                      <w:highlight w:val="none"/>
                      <w:lang w:val="en-US" w:eastAsia="zh-CN"/>
                    </w:rPr>
                    <w:t>0.0796</w:t>
                  </w:r>
                </w:p>
              </w:tc>
              <w:tc>
                <w:tcPr>
                  <w:tcW w:w="586" w:type="pct"/>
                  <w:vMerge w:val="continue"/>
                  <w:vAlign w:val="center"/>
                </w:tcPr>
                <w:p w14:paraId="02D89628">
                  <w:pPr>
                    <w:spacing w:line="360" w:lineRule="exact"/>
                    <w:jc w:val="center"/>
                    <w:rPr>
                      <w:rFonts w:hint="default" w:ascii="Times New Roman" w:hAnsi="Times New Roman" w:eastAsia="宋体" w:cs="Times New Roman"/>
                      <w:b w:val="0"/>
                      <w:bCs w:val="0"/>
                      <w:kern w:val="2"/>
                      <w:sz w:val="21"/>
                      <w:szCs w:val="21"/>
                      <w:lang w:val="en-US" w:eastAsia="zh-CN" w:bidi="ar-SA"/>
                    </w:rPr>
                  </w:pPr>
                </w:p>
              </w:tc>
              <w:tc>
                <w:tcPr>
                  <w:tcW w:w="539" w:type="pct"/>
                  <w:vMerge w:val="continue"/>
                  <w:vAlign w:val="center"/>
                </w:tcPr>
                <w:p w14:paraId="1DABFBAB">
                  <w:pPr>
                    <w:spacing w:line="360" w:lineRule="exact"/>
                    <w:jc w:val="center"/>
                    <w:rPr>
                      <w:rFonts w:hint="default" w:ascii="Times New Roman" w:hAnsi="Times New Roman" w:eastAsia="宋体" w:cs="Times New Roman"/>
                      <w:b w:val="0"/>
                      <w:bCs w:val="0"/>
                      <w:kern w:val="2"/>
                      <w:sz w:val="21"/>
                      <w:szCs w:val="21"/>
                      <w:lang w:val="en-US" w:eastAsia="zh-CN" w:bidi="ar-SA"/>
                    </w:rPr>
                  </w:pPr>
                </w:p>
              </w:tc>
            </w:tr>
            <w:tr w14:paraId="0FAB6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pct"/>
                  <w:vMerge w:val="continue"/>
                  <w:vAlign w:val="center"/>
                </w:tcPr>
                <w:p w14:paraId="2CA4479B">
                  <w:pPr>
                    <w:spacing w:line="360" w:lineRule="exact"/>
                    <w:jc w:val="center"/>
                    <w:rPr>
                      <w:rFonts w:hint="default" w:ascii="Times New Roman" w:hAnsi="Times New Roman" w:eastAsia="宋体" w:cs="Times New Roman"/>
                      <w:bCs/>
                      <w:sz w:val="21"/>
                      <w:szCs w:val="21"/>
                      <w:lang w:val="en-US" w:eastAsia="zh-CN"/>
                    </w:rPr>
                  </w:pPr>
                </w:p>
              </w:tc>
              <w:tc>
                <w:tcPr>
                  <w:tcW w:w="705" w:type="pct"/>
                  <w:vMerge w:val="continue"/>
                  <w:vAlign w:val="center"/>
                </w:tcPr>
                <w:p w14:paraId="011EF02D">
                  <w:pPr>
                    <w:spacing w:line="360" w:lineRule="exact"/>
                    <w:jc w:val="center"/>
                    <w:rPr>
                      <w:rFonts w:hint="default" w:ascii="Times New Roman" w:hAnsi="Times New Roman" w:eastAsia="宋体" w:cs="Times New Roman"/>
                      <w:bCs/>
                      <w:kern w:val="2"/>
                      <w:sz w:val="21"/>
                      <w:szCs w:val="21"/>
                      <w:lang w:val="en-US" w:eastAsia="zh-CN" w:bidi="ar-SA"/>
                    </w:rPr>
                  </w:pPr>
                </w:p>
              </w:tc>
              <w:tc>
                <w:tcPr>
                  <w:tcW w:w="999" w:type="pct"/>
                  <w:vAlign w:val="center"/>
                </w:tcPr>
                <w:p w14:paraId="7EA680FA">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bCs/>
                      <w:kern w:val="2"/>
                      <w:sz w:val="21"/>
                      <w:szCs w:val="21"/>
                      <w:lang w:val="en-US" w:eastAsia="zh-CN" w:bidi="ar-SA"/>
                    </w:rPr>
                  </w:pPr>
                  <w:r>
                    <w:rPr>
                      <w:rFonts w:hint="default" w:ascii="Times New Roman" w:hAnsi="Times New Roman" w:eastAsia="宋体" w:cs="Times New Roman"/>
                      <w:color w:val="auto"/>
                      <w:sz w:val="21"/>
                      <w:szCs w:val="21"/>
                      <w:highlight w:val="none"/>
                      <w:lang w:val="en-US" w:eastAsia="zh-CN"/>
                    </w:rPr>
                    <w:t>非甲烷总烃</w:t>
                  </w:r>
                </w:p>
              </w:tc>
              <w:tc>
                <w:tcPr>
                  <w:tcW w:w="1360" w:type="dxa"/>
                  <w:vAlign w:val="center"/>
                </w:tcPr>
                <w:p w14:paraId="018CBFDC">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color w:val="auto"/>
                      <w:sz w:val="21"/>
                      <w:szCs w:val="21"/>
                      <w:highlight w:val="none"/>
                      <w:lang w:val="en-US" w:eastAsia="zh-CN"/>
                    </w:rPr>
                    <w:t>26.906</w:t>
                  </w:r>
                </w:p>
              </w:tc>
              <w:tc>
                <w:tcPr>
                  <w:tcW w:w="1360" w:type="dxa"/>
                  <w:shd w:val="clear" w:color="auto" w:fill="auto"/>
                  <w:vAlign w:val="center"/>
                </w:tcPr>
                <w:p w14:paraId="64A9C74D">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color w:val="auto"/>
                      <w:sz w:val="21"/>
                      <w:szCs w:val="21"/>
                      <w:highlight w:val="none"/>
                      <w:lang w:val="en-US" w:eastAsia="zh-CN"/>
                    </w:rPr>
                    <w:t>26.906</w:t>
                  </w:r>
                </w:p>
              </w:tc>
              <w:tc>
                <w:tcPr>
                  <w:tcW w:w="586" w:type="pct"/>
                  <w:vMerge w:val="continue"/>
                  <w:vAlign w:val="center"/>
                </w:tcPr>
                <w:p w14:paraId="38789520">
                  <w:pPr>
                    <w:spacing w:line="360" w:lineRule="exact"/>
                    <w:jc w:val="center"/>
                    <w:rPr>
                      <w:rFonts w:hint="default" w:ascii="Times New Roman" w:hAnsi="Times New Roman" w:eastAsia="宋体" w:cs="Times New Roman"/>
                      <w:b w:val="0"/>
                      <w:bCs w:val="0"/>
                      <w:kern w:val="2"/>
                      <w:sz w:val="21"/>
                      <w:szCs w:val="21"/>
                      <w:lang w:val="en-US" w:eastAsia="zh-CN" w:bidi="ar-SA"/>
                    </w:rPr>
                  </w:pPr>
                </w:p>
              </w:tc>
              <w:tc>
                <w:tcPr>
                  <w:tcW w:w="539" w:type="pct"/>
                  <w:vMerge w:val="continue"/>
                  <w:vAlign w:val="center"/>
                </w:tcPr>
                <w:p w14:paraId="514D34BC">
                  <w:pPr>
                    <w:spacing w:line="360" w:lineRule="exact"/>
                    <w:jc w:val="center"/>
                    <w:rPr>
                      <w:rFonts w:hint="default" w:ascii="Times New Roman" w:hAnsi="Times New Roman" w:eastAsia="宋体" w:cs="Times New Roman"/>
                      <w:b w:val="0"/>
                      <w:bCs w:val="0"/>
                      <w:kern w:val="2"/>
                      <w:sz w:val="21"/>
                      <w:szCs w:val="21"/>
                      <w:lang w:val="en-US" w:eastAsia="zh-CN" w:bidi="ar-SA"/>
                    </w:rPr>
                  </w:pPr>
                </w:p>
              </w:tc>
            </w:tr>
          </w:tbl>
          <w:p w14:paraId="4F8E57DC">
            <w:pPr>
              <w:pStyle w:val="28"/>
              <w:spacing w:line="360" w:lineRule="auto"/>
              <w:ind w:firstLine="480" w:firstLineChars="200"/>
              <w:jc w:val="both"/>
              <w:rPr>
                <w:rFonts w:hint="default" w:ascii="Times New Roman" w:hAnsi="Times New Roman" w:cs="Times New Roman"/>
                <w:b w:val="0"/>
                <w:bCs/>
                <w:color w:val="000000"/>
                <w:sz w:val="24"/>
                <w:szCs w:val="24"/>
              </w:rPr>
            </w:pPr>
            <w:r>
              <w:rPr>
                <w:rFonts w:hint="default" w:ascii="Times New Roman" w:hAnsi="Times New Roman" w:cs="Times New Roman"/>
                <w:b w:val="0"/>
                <w:bCs/>
                <w:color w:val="000000"/>
                <w:sz w:val="24"/>
                <w:szCs w:val="24"/>
              </w:rPr>
              <w:t>非正常情况下，污染物排放量、排放浓度明显增加，对环境空气影响程度增加。因此，为防止生产废气非正常工况排放，企业必须加强废气处理设施的管理，定期检修，确保废气处理设施正常运行。为杜绝废气非正常排放，应采取以下措施确保废气达标排放：</w:t>
            </w:r>
          </w:p>
          <w:p w14:paraId="3A2D9D35">
            <w:pPr>
              <w:pStyle w:val="28"/>
              <w:spacing w:line="360" w:lineRule="auto"/>
              <w:ind w:firstLine="480" w:firstLineChars="200"/>
              <w:jc w:val="both"/>
              <w:rPr>
                <w:rFonts w:hint="default" w:ascii="Times New Roman" w:hAnsi="Times New Roman" w:cs="Times New Roman"/>
                <w:b w:val="0"/>
                <w:bCs/>
                <w:color w:val="000000"/>
                <w:sz w:val="24"/>
                <w:szCs w:val="24"/>
              </w:rPr>
            </w:pPr>
            <w:r>
              <w:rPr>
                <w:rFonts w:hint="default" w:ascii="Times New Roman" w:hAnsi="Times New Roman" w:cs="Times New Roman"/>
                <w:b w:val="0"/>
                <w:bCs/>
                <w:color w:val="000000"/>
                <w:sz w:val="24"/>
                <w:szCs w:val="24"/>
              </w:rPr>
              <w:t>①安排专人负责环保设备的日常维护和管理，每隔固定时间检查、汇报情况，及时发现废气处理设备的隐患，确保废气处理系统正常运行；</w:t>
            </w:r>
          </w:p>
          <w:p w14:paraId="10245F5C">
            <w:pPr>
              <w:pStyle w:val="28"/>
              <w:spacing w:line="360" w:lineRule="auto"/>
              <w:ind w:firstLine="480" w:firstLineChars="200"/>
              <w:jc w:val="both"/>
              <w:rPr>
                <w:rFonts w:hint="default" w:ascii="Times New Roman" w:hAnsi="Times New Roman" w:cs="Times New Roman"/>
                <w:b w:val="0"/>
                <w:bCs/>
                <w:color w:val="000000"/>
                <w:sz w:val="24"/>
                <w:szCs w:val="24"/>
              </w:rPr>
            </w:pPr>
            <w:r>
              <w:rPr>
                <w:rFonts w:hint="default" w:ascii="Times New Roman" w:hAnsi="Times New Roman" w:cs="Times New Roman"/>
                <w:b w:val="0"/>
                <w:bCs/>
                <w:color w:val="000000"/>
                <w:sz w:val="24"/>
                <w:szCs w:val="24"/>
              </w:rPr>
              <w:t>②建立健全的环保管理机构，对环保管理人员和技术人员进行岗位培训，委托具有专业资质的环境检测单位对项目排放的各类污染物进行定期检测；</w:t>
            </w:r>
          </w:p>
          <w:p w14:paraId="3998597A">
            <w:pPr>
              <w:pStyle w:val="28"/>
              <w:spacing w:line="360" w:lineRule="auto"/>
              <w:ind w:firstLine="480" w:firstLineChars="200"/>
              <w:jc w:val="both"/>
              <w:rPr>
                <w:rFonts w:hint="default" w:ascii="Times New Roman" w:hAnsi="Times New Roman" w:cs="Times New Roman"/>
                <w:b w:val="0"/>
                <w:bCs/>
                <w:color w:val="000000"/>
                <w:sz w:val="24"/>
                <w:szCs w:val="24"/>
              </w:rPr>
            </w:pPr>
            <w:r>
              <w:rPr>
                <w:rFonts w:hint="default" w:ascii="Times New Roman" w:hAnsi="Times New Roman" w:cs="Times New Roman"/>
                <w:b w:val="0"/>
                <w:bCs/>
                <w:color w:val="000000"/>
                <w:sz w:val="24"/>
                <w:szCs w:val="24"/>
              </w:rPr>
              <w:t>③应定期维护、检修废气净化装置，定期更换活性炭，以保持废气处理装置的净化能力和净化容量。</w:t>
            </w:r>
          </w:p>
          <w:p w14:paraId="32C79666">
            <w:pPr>
              <w:pStyle w:val="28"/>
              <w:spacing w:line="360" w:lineRule="auto"/>
              <w:ind w:firstLine="480" w:firstLineChars="200"/>
              <w:jc w:val="both"/>
              <w:rPr>
                <w:rFonts w:hint="default" w:ascii="Times New Roman" w:hAnsi="Times New Roman" w:cs="Times New Roman"/>
                <w:b w:val="0"/>
                <w:bCs/>
                <w:color w:val="000000"/>
                <w:sz w:val="24"/>
                <w:szCs w:val="24"/>
              </w:rPr>
            </w:pPr>
            <w:r>
              <w:rPr>
                <w:rFonts w:hint="eastAsia" w:ascii="Times New Roman" w:hAnsi="Times New Roman" w:cs="Times New Roman"/>
                <w:b w:val="0"/>
                <w:bCs/>
                <w:color w:val="000000"/>
                <w:sz w:val="24"/>
                <w:szCs w:val="24"/>
                <w:lang w:val="en-US" w:eastAsia="zh-CN"/>
              </w:rPr>
              <w:t>6、</w:t>
            </w:r>
            <w:r>
              <w:rPr>
                <w:rFonts w:hint="default" w:ascii="Times New Roman" w:hAnsi="Times New Roman" w:cs="Times New Roman"/>
                <w:b w:val="0"/>
                <w:bCs/>
                <w:color w:val="000000"/>
                <w:sz w:val="24"/>
                <w:szCs w:val="24"/>
              </w:rPr>
              <w:t>结论</w:t>
            </w:r>
          </w:p>
          <w:p w14:paraId="144E915B">
            <w:pPr>
              <w:pStyle w:val="28"/>
              <w:spacing w:line="360" w:lineRule="auto"/>
              <w:ind w:firstLine="480" w:firstLineChars="200"/>
              <w:jc w:val="both"/>
              <w:rPr>
                <w:rFonts w:hint="eastAsia" w:ascii="Times New Roman" w:hAnsi="Times New Roman" w:eastAsia="宋体" w:cs="Times New Roman"/>
                <w:b w:val="0"/>
                <w:bCs w:val="0"/>
                <w:kern w:val="0"/>
                <w:sz w:val="24"/>
                <w:lang w:val="en-US" w:eastAsia="zh-CN"/>
              </w:rPr>
            </w:pPr>
            <w:r>
              <w:rPr>
                <w:rFonts w:hint="eastAsia" w:ascii="Times New Roman" w:hAnsi="Times New Roman" w:cs="Times New Roman"/>
                <w:b w:val="0"/>
                <w:bCs/>
                <w:color w:val="000000"/>
                <w:sz w:val="24"/>
                <w:szCs w:val="24"/>
                <w:lang w:val="en-US" w:eastAsia="zh-CN"/>
              </w:rPr>
              <w:t>本项目废气集中收集后</w:t>
            </w:r>
            <w:r>
              <w:rPr>
                <w:rFonts w:hint="default" w:ascii="Times New Roman" w:hAnsi="Times New Roman" w:cs="Times New Roman"/>
                <w:b w:val="0"/>
                <w:bCs/>
                <w:color w:val="000000"/>
                <w:sz w:val="24"/>
                <w:szCs w:val="24"/>
              </w:rPr>
              <w:t>经</w:t>
            </w:r>
            <w:r>
              <w:rPr>
                <w:rFonts w:hint="eastAsia" w:ascii="Times New Roman" w:hAnsi="Times New Roman" w:cs="Times New Roman"/>
                <w:color w:val="000000"/>
                <w:sz w:val="24"/>
                <w:szCs w:val="24"/>
                <w:lang w:eastAsia="zh-CN"/>
              </w:rPr>
              <w:t>“</w:t>
            </w:r>
            <w:r>
              <w:rPr>
                <w:rFonts w:hint="eastAsia" w:ascii="Times New Roman" w:hAnsi="Times New Roman" w:cs="Times New Roman"/>
                <w:color w:val="000000"/>
                <w:sz w:val="24"/>
                <w:szCs w:val="24"/>
                <w:lang w:val="en-US" w:eastAsia="zh-CN"/>
              </w:rPr>
              <w:t>滤筒除尘器</w:t>
            </w:r>
            <w:r>
              <w:rPr>
                <w:rFonts w:hint="eastAsia" w:ascii="Times New Roman" w:hAnsi="Times New Roman" w:eastAsia="宋体" w:cs="Times New Roman"/>
                <w:b w:val="0"/>
                <w:bCs w:val="0"/>
                <w:kern w:val="0"/>
                <w:sz w:val="24"/>
                <w:lang w:val="en-US" w:eastAsia="zh-CN"/>
              </w:rPr>
              <w:t>+二级活性炭吸附</w:t>
            </w:r>
            <w:r>
              <w:rPr>
                <w:rFonts w:hint="eastAsia" w:ascii="Times New Roman" w:hAnsi="Times New Roman" w:cs="Times New Roman"/>
                <w:color w:val="000000"/>
                <w:sz w:val="24"/>
                <w:szCs w:val="24"/>
                <w:lang w:eastAsia="zh-CN"/>
              </w:rPr>
              <w:t>”</w:t>
            </w:r>
            <w:r>
              <w:rPr>
                <w:rFonts w:hint="eastAsia" w:ascii="Times New Roman" w:hAnsi="Times New Roman" w:cs="Times New Roman"/>
                <w:color w:val="000000"/>
                <w:sz w:val="24"/>
                <w:szCs w:val="24"/>
                <w:lang w:val="en-US" w:eastAsia="zh-CN"/>
              </w:rPr>
              <w:t>装置</w:t>
            </w:r>
            <w:r>
              <w:rPr>
                <w:rFonts w:hint="default" w:ascii="Times New Roman" w:hAnsi="Times New Roman" w:cs="Times New Roman"/>
                <w:b w:val="0"/>
                <w:bCs/>
                <w:color w:val="000000"/>
                <w:sz w:val="24"/>
                <w:szCs w:val="24"/>
              </w:rPr>
              <w:t>处理后通过</w:t>
            </w:r>
            <w:r>
              <w:rPr>
                <w:rFonts w:hint="eastAsia" w:ascii="Times New Roman" w:hAnsi="Times New Roman" w:cs="Times New Roman"/>
                <w:b w:val="0"/>
                <w:bCs/>
                <w:color w:val="000000"/>
                <w:sz w:val="24"/>
                <w:szCs w:val="24"/>
                <w:lang w:val="en-US" w:eastAsia="zh-CN"/>
              </w:rPr>
              <w:t>1根23</w:t>
            </w:r>
            <w:r>
              <w:rPr>
                <w:rFonts w:hint="default" w:ascii="Times New Roman" w:hAnsi="Times New Roman" w:cs="Times New Roman"/>
                <w:b w:val="0"/>
                <w:bCs/>
                <w:color w:val="000000"/>
                <w:sz w:val="24"/>
                <w:szCs w:val="24"/>
              </w:rPr>
              <w:t>m高排气筒</w:t>
            </w:r>
            <w:r>
              <w:rPr>
                <w:rFonts w:hint="eastAsia" w:ascii="Times New Roman" w:hAnsi="Times New Roman" w:cs="Times New Roman"/>
                <w:b w:val="0"/>
                <w:bCs/>
                <w:color w:val="000000"/>
                <w:sz w:val="24"/>
                <w:szCs w:val="24"/>
                <w:lang w:eastAsia="zh-CN"/>
              </w:rPr>
              <w:t>（</w:t>
            </w:r>
            <w:r>
              <w:rPr>
                <w:rFonts w:hint="default" w:ascii="Times New Roman" w:hAnsi="Times New Roman" w:cs="Times New Roman"/>
                <w:b w:val="0"/>
                <w:bCs/>
                <w:color w:val="000000"/>
                <w:sz w:val="24"/>
                <w:szCs w:val="24"/>
              </w:rPr>
              <w:t>DA001</w:t>
            </w:r>
            <w:r>
              <w:rPr>
                <w:rFonts w:hint="eastAsia" w:ascii="Times New Roman" w:hAnsi="Times New Roman" w:cs="Times New Roman"/>
                <w:b w:val="0"/>
                <w:bCs/>
                <w:color w:val="000000"/>
                <w:sz w:val="24"/>
                <w:szCs w:val="24"/>
                <w:lang w:eastAsia="zh-CN"/>
              </w:rPr>
              <w:t>）</w:t>
            </w:r>
            <w:r>
              <w:rPr>
                <w:rFonts w:hint="default" w:ascii="Times New Roman" w:hAnsi="Times New Roman" w:cs="Times New Roman"/>
                <w:b w:val="0"/>
                <w:bCs/>
                <w:color w:val="000000"/>
                <w:sz w:val="24"/>
                <w:szCs w:val="24"/>
              </w:rPr>
              <w:t>排放，项目颗粒物、锡及其化合物、非甲烷总烃排放可以达到《大气污染物综合排放标准》（GB16297-1996）及安徽省《固定源挥发性有机物综合排放标准第5部分：电子工业》（DB 34/4812.5</w:t>
            </w:r>
            <w:r>
              <w:rPr>
                <w:rFonts w:hint="eastAsia" w:ascii="Times New Roman" w:hAnsi="Times New Roman" w:cs="Times New Roman"/>
                <w:b w:val="0"/>
                <w:bCs/>
                <w:color w:val="000000"/>
                <w:sz w:val="24"/>
                <w:szCs w:val="24"/>
                <w:lang w:val="en-US" w:eastAsia="zh-CN"/>
              </w:rPr>
              <w:t>-</w:t>
            </w:r>
            <w:r>
              <w:rPr>
                <w:rFonts w:hint="default" w:ascii="Times New Roman" w:hAnsi="Times New Roman" w:cs="Times New Roman"/>
                <w:b w:val="0"/>
                <w:bCs/>
                <w:color w:val="000000"/>
                <w:sz w:val="24"/>
                <w:szCs w:val="24"/>
              </w:rPr>
              <w:t>2024）中相应标准限值要求。综上，建设项目废气均采取合理有效处理措施，能做到达标排放，对周边环境影响较小</w:t>
            </w:r>
            <w:r>
              <w:rPr>
                <w:rFonts w:hint="eastAsia" w:ascii="Times New Roman" w:hAnsi="Times New Roman" w:cs="Times New Roman"/>
                <w:b w:val="0"/>
                <w:bCs/>
                <w:color w:val="000000"/>
                <w:sz w:val="24"/>
                <w:szCs w:val="24"/>
                <w:lang w:eastAsia="zh-CN"/>
              </w:rPr>
              <w:t>。</w:t>
            </w:r>
          </w:p>
          <w:p w14:paraId="09D5DE76">
            <w:pPr>
              <w:spacing w:line="360" w:lineRule="auto"/>
              <w:jc w:val="left"/>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rPr>
              <w:t>二、水环境影响分析</w:t>
            </w:r>
          </w:p>
          <w:p w14:paraId="5E5849AE">
            <w:pPr>
              <w:spacing w:line="360" w:lineRule="auto"/>
              <w:ind w:firstLine="480" w:firstLineChars="200"/>
              <w:rPr>
                <w:rFonts w:hint="default" w:ascii="Times New Roman" w:hAnsi="Times New Roman" w:eastAsia="宋体" w:cs="Times New Roman"/>
                <w:kern w:val="0"/>
                <w:sz w:val="24"/>
              </w:rPr>
            </w:pPr>
            <w:r>
              <w:rPr>
                <w:rFonts w:hint="default" w:ascii="Times New Roman" w:hAnsi="Times New Roman" w:eastAsia="宋体" w:cs="Times New Roman"/>
                <w:kern w:val="0"/>
                <w:sz w:val="24"/>
              </w:rPr>
              <w:t>1、</w:t>
            </w:r>
            <w:r>
              <w:rPr>
                <w:rFonts w:hint="default" w:ascii="Times New Roman" w:hAnsi="Times New Roman" w:eastAsia="宋体" w:cs="Times New Roman"/>
                <w:b w:val="0"/>
                <w:bCs w:val="0"/>
                <w:kern w:val="0"/>
                <w:sz w:val="24"/>
              </w:rPr>
              <w:t>源强及其他参数计算</w:t>
            </w:r>
          </w:p>
          <w:p w14:paraId="3C9D4FA2">
            <w:pPr>
              <w:spacing w:line="360" w:lineRule="auto"/>
              <w:ind w:firstLine="480" w:firstLineChars="200"/>
              <w:rPr>
                <w:rFonts w:hint="default" w:ascii="Times New Roman" w:hAnsi="Times New Roman" w:eastAsia="宋体" w:cs="Times New Roman"/>
                <w:kern w:val="0"/>
                <w:sz w:val="24"/>
              </w:rPr>
            </w:pPr>
            <w:r>
              <w:rPr>
                <w:rFonts w:hint="default" w:ascii="Times New Roman" w:hAnsi="Times New Roman" w:eastAsia="宋体" w:cs="Times New Roman"/>
                <w:kern w:val="0"/>
                <w:sz w:val="24"/>
              </w:rPr>
              <w:t>本项目</w:t>
            </w:r>
            <w:r>
              <w:rPr>
                <w:rFonts w:hint="default" w:ascii="Times New Roman" w:hAnsi="Times New Roman" w:eastAsia="宋体" w:cs="Times New Roman"/>
                <w:bCs/>
                <w:sz w:val="24"/>
              </w:rPr>
              <w:t>运营期</w:t>
            </w:r>
            <w:r>
              <w:rPr>
                <w:rFonts w:hint="eastAsia" w:ascii="Times New Roman" w:hAnsi="Times New Roman" w:eastAsia="宋体" w:cs="Times New Roman"/>
                <w:bCs/>
                <w:sz w:val="24"/>
                <w:lang w:val="en-US" w:eastAsia="zh-CN"/>
              </w:rPr>
              <w:t>废水主要为生活污水</w:t>
            </w:r>
            <w:r>
              <w:rPr>
                <w:rFonts w:hint="default" w:ascii="Times New Roman" w:hAnsi="Times New Roman" w:eastAsia="宋体" w:cs="Times New Roman"/>
                <w:bCs/>
                <w:sz w:val="24"/>
              </w:rPr>
              <w:t>。</w:t>
            </w:r>
          </w:p>
          <w:p w14:paraId="7F18DA68">
            <w:pPr>
              <w:spacing w:line="360" w:lineRule="auto"/>
              <w:ind w:firstLine="480" w:firstLineChars="200"/>
              <w:jc w:val="both"/>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本项目劳动定员30人，年工作300天，不提供食宿，参考《安徽省行业用水定额》（DB34/T679-2025）中的“机关”用水定额15m</w:t>
            </w:r>
            <w:r>
              <w:rPr>
                <w:rFonts w:hint="eastAsia" w:ascii="Times New Roman" w:hAnsi="Times New Roman" w:eastAsia="宋体" w:cs="Times New Roman"/>
                <w:bCs/>
                <w:sz w:val="24"/>
                <w:vertAlign w:val="superscript"/>
                <w:lang w:val="en-US" w:eastAsia="zh-CN"/>
              </w:rPr>
              <w:t>3</w:t>
            </w:r>
            <w:r>
              <w:rPr>
                <w:rFonts w:hint="eastAsia" w:ascii="Times New Roman" w:hAnsi="Times New Roman" w:eastAsia="宋体" w:cs="Times New Roman"/>
                <w:bCs/>
                <w:sz w:val="24"/>
                <w:lang w:val="en-US" w:eastAsia="zh-CN"/>
              </w:rPr>
              <w:t>/人·a计，则项目职工生活用水量为1.5t/d（450t/a），生活污水产污系数按0.8计，则生活污水产生量为1.2t/d（360t/a）</w:t>
            </w:r>
            <w:r>
              <w:rPr>
                <w:rFonts w:hint="eastAsia" w:ascii="Times New Roman" w:hAnsi="Times New Roman" w:eastAsia="宋体" w:cs="Times New Roman"/>
                <w:bCs/>
                <w:sz w:val="24"/>
                <w:lang w:eastAsia="zh-CN"/>
              </w:rPr>
              <w:t>。</w:t>
            </w:r>
          </w:p>
          <w:p w14:paraId="26500FBC">
            <w:pPr>
              <w:spacing w:line="360" w:lineRule="auto"/>
              <w:ind w:firstLine="480" w:firstLineChars="200"/>
              <w:rPr>
                <w:rFonts w:hint="eastAsia" w:ascii="Times New Roman" w:hAnsi="Times New Roman" w:cs="Times New Roman"/>
                <w:bCs/>
                <w:sz w:val="24"/>
              </w:rPr>
            </w:pPr>
            <w:r>
              <w:rPr>
                <w:rFonts w:hint="eastAsia" w:ascii="Times New Roman" w:hAnsi="Times New Roman" w:cs="Times New Roman"/>
                <w:sz w:val="24"/>
                <w:lang w:val="en-US" w:eastAsia="zh-CN"/>
              </w:rPr>
              <w:t>项目采用雨、污分流制。运营过程无生产废水产生，生活污水依托园区化粪池预处理后排入江南产业集中区第一污水处理厂，处理达标后经九华河排入长江</w:t>
            </w:r>
            <w:r>
              <w:rPr>
                <w:rFonts w:hint="eastAsia" w:ascii="Times New Roman" w:hAnsi="Times New Roman" w:cs="Times New Roman"/>
                <w:sz w:val="24"/>
              </w:rPr>
              <w:t>。项目</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废水污染物产排情况</w:t>
            </w:r>
            <w:r>
              <w:rPr>
                <w:rFonts w:hint="eastAsia" w:ascii="Times New Roman" w:hAnsi="Times New Roman" w:cs="Times New Roman"/>
                <w:sz w:val="24"/>
              </w:rPr>
              <w:t>详见表</w:t>
            </w:r>
            <w:r>
              <w:rPr>
                <w:rFonts w:hint="eastAsia" w:ascii="Times New Roman" w:hAnsi="Times New Roman" w:cs="Times New Roman"/>
                <w:bCs/>
                <w:sz w:val="24"/>
                <w:lang w:val="en-US" w:eastAsia="zh-CN"/>
              </w:rPr>
              <w:t>4-6</w:t>
            </w:r>
            <w:r>
              <w:rPr>
                <w:rFonts w:hint="eastAsia" w:ascii="Times New Roman" w:hAnsi="Times New Roman" w:cs="Times New Roman"/>
                <w:bCs/>
                <w:sz w:val="24"/>
              </w:rPr>
              <w:t>。</w:t>
            </w:r>
          </w:p>
          <w:p w14:paraId="776698B8">
            <w:pPr>
              <w:pStyle w:val="5"/>
              <w:ind w:firstLine="0" w:firstLineChars="0"/>
              <w:outlineLvl w:val="9"/>
              <w:rPr>
                <w:rFonts w:hint="eastAsia"/>
                <w:vertAlign w:val="baseline"/>
                <w:lang w:eastAsia="zh-CN"/>
              </w:rPr>
            </w:pPr>
          </w:p>
          <w:p w14:paraId="3D38F9A7">
            <w:pPr>
              <w:pStyle w:val="5"/>
              <w:ind w:firstLine="0" w:firstLineChars="0"/>
              <w:outlineLvl w:val="9"/>
              <w:rPr>
                <w:rFonts w:hint="eastAsia"/>
                <w:vertAlign w:val="baseline"/>
                <w:lang w:eastAsia="zh-CN"/>
              </w:rPr>
            </w:pPr>
          </w:p>
          <w:p w14:paraId="300F78B0">
            <w:pPr>
              <w:pStyle w:val="5"/>
              <w:ind w:firstLine="0" w:firstLineChars="0"/>
              <w:outlineLvl w:val="9"/>
              <w:rPr>
                <w:rFonts w:hint="eastAsia"/>
                <w:vertAlign w:val="baseline"/>
                <w:lang w:eastAsia="zh-CN"/>
              </w:rPr>
            </w:pPr>
          </w:p>
          <w:p w14:paraId="5F228D1F">
            <w:pPr>
              <w:pStyle w:val="5"/>
              <w:ind w:firstLine="0" w:firstLineChars="0"/>
              <w:outlineLvl w:val="9"/>
              <w:rPr>
                <w:rFonts w:hint="eastAsia"/>
                <w:vertAlign w:val="baseline"/>
                <w:lang w:eastAsia="zh-CN"/>
              </w:rPr>
            </w:pPr>
          </w:p>
          <w:p w14:paraId="4C350D37">
            <w:pPr>
              <w:pStyle w:val="5"/>
              <w:ind w:firstLine="0" w:firstLineChars="0"/>
              <w:outlineLvl w:val="9"/>
              <w:rPr>
                <w:rFonts w:hint="eastAsia"/>
                <w:vertAlign w:val="baseline"/>
                <w:lang w:eastAsia="zh-CN"/>
              </w:rPr>
            </w:pPr>
          </w:p>
          <w:p w14:paraId="2DC2A222">
            <w:pPr>
              <w:pStyle w:val="5"/>
              <w:ind w:firstLine="0" w:firstLineChars="0"/>
              <w:outlineLvl w:val="9"/>
              <w:rPr>
                <w:rFonts w:hint="eastAsia"/>
                <w:vertAlign w:val="baseline"/>
                <w:lang w:eastAsia="zh-CN"/>
              </w:rPr>
            </w:pPr>
          </w:p>
          <w:p w14:paraId="0C42814E">
            <w:pPr>
              <w:pStyle w:val="5"/>
              <w:ind w:firstLine="0" w:firstLineChars="0"/>
              <w:outlineLvl w:val="9"/>
              <w:rPr>
                <w:rFonts w:hint="eastAsia"/>
                <w:vertAlign w:val="baseline"/>
                <w:lang w:eastAsia="zh-CN"/>
              </w:rPr>
            </w:pPr>
          </w:p>
          <w:p w14:paraId="55AC30EB">
            <w:pPr>
              <w:pStyle w:val="5"/>
              <w:ind w:firstLine="0" w:firstLineChars="0"/>
              <w:outlineLvl w:val="9"/>
              <w:rPr>
                <w:rFonts w:hint="eastAsia"/>
                <w:vertAlign w:val="baseline"/>
                <w:lang w:eastAsia="zh-CN"/>
              </w:rPr>
            </w:pPr>
          </w:p>
          <w:p w14:paraId="45F0D330">
            <w:pPr>
              <w:pStyle w:val="5"/>
              <w:ind w:firstLine="0" w:firstLineChars="0"/>
              <w:outlineLvl w:val="9"/>
              <w:rPr>
                <w:rFonts w:hint="eastAsia"/>
                <w:vertAlign w:val="baseline"/>
                <w:lang w:eastAsia="zh-CN"/>
              </w:rPr>
            </w:pPr>
          </w:p>
          <w:p w14:paraId="5792E257">
            <w:pPr>
              <w:pStyle w:val="5"/>
              <w:ind w:firstLine="0" w:firstLineChars="0"/>
              <w:outlineLvl w:val="9"/>
              <w:rPr>
                <w:rFonts w:hint="eastAsia"/>
                <w:vertAlign w:val="baseline"/>
                <w:lang w:eastAsia="zh-CN"/>
              </w:rPr>
            </w:pPr>
          </w:p>
          <w:p w14:paraId="681A7F4E">
            <w:pPr>
              <w:pStyle w:val="5"/>
              <w:ind w:firstLine="0" w:firstLineChars="0"/>
              <w:outlineLvl w:val="9"/>
              <w:rPr>
                <w:rFonts w:hint="eastAsia"/>
                <w:vertAlign w:val="baseline"/>
                <w:lang w:eastAsia="zh-CN"/>
              </w:rPr>
            </w:pPr>
          </w:p>
          <w:p w14:paraId="3A0198B1">
            <w:pPr>
              <w:pStyle w:val="5"/>
              <w:ind w:firstLine="0" w:firstLineChars="0"/>
              <w:outlineLvl w:val="9"/>
              <w:rPr>
                <w:rFonts w:hint="eastAsia"/>
                <w:vertAlign w:val="baseline"/>
                <w:lang w:eastAsia="zh-CN"/>
              </w:rPr>
            </w:pPr>
          </w:p>
          <w:p w14:paraId="0500FE16">
            <w:pPr>
              <w:pStyle w:val="5"/>
              <w:ind w:firstLine="0" w:firstLineChars="0"/>
              <w:outlineLvl w:val="9"/>
              <w:rPr>
                <w:rFonts w:hint="eastAsia"/>
                <w:vertAlign w:val="baseline"/>
                <w:lang w:eastAsia="zh-CN"/>
              </w:rPr>
            </w:pPr>
          </w:p>
          <w:p w14:paraId="50B47B6F">
            <w:pPr>
              <w:pStyle w:val="5"/>
              <w:ind w:firstLine="0" w:firstLineChars="0"/>
              <w:outlineLvl w:val="9"/>
              <w:rPr>
                <w:rFonts w:hint="eastAsia"/>
                <w:vertAlign w:val="baseline"/>
                <w:lang w:eastAsia="zh-CN"/>
              </w:rPr>
            </w:pPr>
          </w:p>
          <w:p w14:paraId="00AFC3A4">
            <w:pPr>
              <w:pStyle w:val="5"/>
              <w:ind w:firstLine="0" w:firstLineChars="0"/>
              <w:outlineLvl w:val="9"/>
              <w:rPr>
                <w:rFonts w:hint="eastAsia"/>
                <w:vertAlign w:val="baseline"/>
                <w:lang w:eastAsia="zh-CN"/>
              </w:rPr>
            </w:pPr>
          </w:p>
          <w:p w14:paraId="6F851FAE">
            <w:pPr>
              <w:pStyle w:val="5"/>
              <w:ind w:firstLine="0" w:firstLineChars="0"/>
              <w:outlineLvl w:val="9"/>
              <w:rPr>
                <w:rFonts w:hint="eastAsia"/>
                <w:vertAlign w:val="baseline"/>
                <w:lang w:eastAsia="zh-CN"/>
              </w:rPr>
            </w:pPr>
          </w:p>
          <w:p w14:paraId="34B2F5BF">
            <w:pPr>
              <w:pStyle w:val="5"/>
              <w:ind w:firstLine="0" w:firstLineChars="0"/>
              <w:outlineLvl w:val="9"/>
              <w:rPr>
                <w:rFonts w:hint="eastAsia"/>
                <w:vertAlign w:val="baseline"/>
                <w:lang w:eastAsia="zh-CN"/>
              </w:rPr>
            </w:pPr>
          </w:p>
          <w:p w14:paraId="2C942EAD">
            <w:pPr>
              <w:pStyle w:val="5"/>
              <w:ind w:firstLine="0" w:firstLineChars="0"/>
              <w:outlineLvl w:val="9"/>
              <w:rPr>
                <w:rFonts w:hint="eastAsia" w:eastAsia="宋体"/>
                <w:vertAlign w:val="baseline"/>
                <w:lang w:eastAsia="zh-CN"/>
              </w:rPr>
            </w:pPr>
          </w:p>
        </w:tc>
      </w:tr>
    </w:tbl>
    <w:p w14:paraId="241F51DB">
      <w:pPr>
        <w:pStyle w:val="5"/>
        <w:ind w:firstLine="0" w:firstLineChars="0"/>
        <w:outlineLvl w:val="9"/>
        <w:sectPr>
          <w:pgSz w:w="11906" w:h="16838"/>
          <w:pgMar w:top="1417" w:right="1417" w:bottom="1417" w:left="1417" w:header="851" w:footer="992" w:gutter="0"/>
          <w:pgNumType w:fmt="decimal"/>
          <w:cols w:space="425" w:num="1"/>
          <w:docGrid w:type="lines" w:linePitch="312" w:charSpace="0"/>
        </w:sect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
        <w:gridCol w:w="13671"/>
      </w:tblGrid>
      <w:tr w14:paraId="503D3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dxa"/>
          </w:tcPr>
          <w:p w14:paraId="0D0FD6A3">
            <w:pPr>
              <w:rPr>
                <w:vertAlign w:val="baseline"/>
              </w:rPr>
            </w:pPr>
          </w:p>
        </w:tc>
        <w:tc>
          <w:tcPr>
            <w:tcW w:w="13671" w:type="dxa"/>
          </w:tcPr>
          <w:p w14:paraId="6841CE3E">
            <w:pPr>
              <w:spacing w:line="360" w:lineRule="auto"/>
              <w:jc w:val="center"/>
              <w:rPr>
                <w:rFonts w:hint="default" w:ascii="Times New Roman" w:hAnsi="Times New Roman" w:eastAsia="黑体" w:cs="Times New Roman"/>
                <w:b w:val="0"/>
                <w:bCs w:val="0"/>
                <w:sz w:val="21"/>
                <w:szCs w:val="21"/>
                <w:lang w:val="en-US" w:eastAsia="zh-CN"/>
              </w:rPr>
            </w:pPr>
            <w:r>
              <w:rPr>
                <w:rFonts w:hint="eastAsia" w:ascii="Times New Roman" w:hAnsi="Times New Roman" w:eastAsia="黑体" w:cs="Times New Roman"/>
                <w:b w:val="0"/>
                <w:bCs w:val="0"/>
                <w:sz w:val="21"/>
                <w:szCs w:val="21"/>
                <w:lang w:val="en-US" w:eastAsia="zh-CN"/>
              </w:rPr>
              <w:t>表4-6 项目废水污染物产排分析一览表</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573"/>
              <w:gridCol w:w="912"/>
              <w:gridCol w:w="887"/>
              <w:gridCol w:w="1105"/>
              <w:gridCol w:w="1089"/>
              <w:gridCol w:w="796"/>
              <w:gridCol w:w="1119"/>
              <w:gridCol w:w="1108"/>
              <w:gridCol w:w="1140"/>
              <w:gridCol w:w="1148"/>
              <w:gridCol w:w="1595"/>
              <w:gridCol w:w="1277"/>
            </w:tblGrid>
            <w:tr w14:paraId="46559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 w:type="pct"/>
                  <w:vMerge w:val="restart"/>
                  <w:vAlign w:val="center"/>
                </w:tcPr>
                <w:p w14:paraId="2227D0E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r>
                    <w:rPr>
                      <w:rFonts w:hint="eastAsia" w:ascii="Times New Roman" w:hAnsi="Times New Roman" w:eastAsia="宋体" w:cs="Times New Roman"/>
                      <w:b w:val="0"/>
                      <w:bCs w:val="0"/>
                      <w:kern w:val="0"/>
                      <w:sz w:val="21"/>
                      <w:szCs w:val="21"/>
                      <w:vertAlign w:val="baseline"/>
                      <w:lang w:val="en-US" w:eastAsia="zh-CN"/>
                    </w:rPr>
                    <w:t>产污环节</w:t>
                  </w:r>
                </w:p>
              </w:tc>
              <w:tc>
                <w:tcPr>
                  <w:tcW w:w="213" w:type="pct"/>
                  <w:vMerge w:val="restart"/>
                  <w:vAlign w:val="center"/>
                </w:tcPr>
                <w:p w14:paraId="57D2C53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r>
                    <w:rPr>
                      <w:rFonts w:hint="eastAsia" w:ascii="Times New Roman" w:hAnsi="Times New Roman" w:eastAsia="宋体" w:cs="Times New Roman"/>
                      <w:b w:val="0"/>
                      <w:bCs w:val="0"/>
                      <w:kern w:val="0"/>
                      <w:sz w:val="21"/>
                      <w:szCs w:val="21"/>
                      <w:vertAlign w:val="baseline"/>
                      <w:lang w:val="en-US" w:eastAsia="zh-CN"/>
                    </w:rPr>
                    <w:t>类别</w:t>
                  </w:r>
                </w:p>
              </w:tc>
              <w:tc>
                <w:tcPr>
                  <w:tcW w:w="339" w:type="pct"/>
                  <w:vMerge w:val="restart"/>
                  <w:vAlign w:val="center"/>
                </w:tcPr>
                <w:p w14:paraId="700C23C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r>
                    <w:rPr>
                      <w:rFonts w:hint="default" w:ascii="Times New Roman" w:hAnsi="Times New Roman" w:eastAsia="宋体" w:cs="Times New Roman"/>
                      <w:b w:val="0"/>
                      <w:bCs w:val="0"/>
                      <w:sz w:val="21"/>
                      <w:szCs w:val="21"/>
                    </w:rPr>
                    <w:t>废水量t/a</w:t>
                  </w:r>
                </w:p>
              </w:tc>
              <w:tc>
                <w:tcPr>
                  <w:tcW w:w="330" w:type="pct"/>
                  <w:vMerge w:val="restart"/>
                  <w:vAlign w:val="center"/>
                </w:tcPr>
                <w:p w14:paraId="3B27DED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default" w:ascii="Times New Roman" w:hAnsi="Times New Roman" w:eastAsia="宋体" w:cs="Times New Roman"/>
                      <w:b w:val="0"/>
                      <w:bCs w:val="0"/>
                      <w:sz w:val="21"/>
                      <w:szCs w:val="21"/>
                    </w:rPr>
                    <w:t>污染物名称</w:t>
                  </w:r>
                </w:p>
              </w:tc>
              <w:tc>
                <w:tcPr>
                  <w:tcW w:w="816" w:type="pct"/>
                  <w:gridSpan w:val="2"/>
                  <w:vAlign w:val="center"/>
                </w:tcPr>
                <w:p w14:paraId="60A2FB2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default" w:ascii="Times New Roman" w:hAnsi="Times New Roman" w:eastAsia="宋体" w:cs="Times New Roman"/>
                      <w:b w:val="0"/>
                      <w:bCs w:val="0"/>
                      <w:kern w:val="0"/>
                      <w:sz w:val="21"/>
                      <w:szCs w:val="21"/>
                      <w:lang w:val="en-US" w:eastAsia="zh-CN" w:bidi="ar-SA"/>
                    </w:rPr>
                    <w:t>污染物产生情况</w:t>
                  </w:r>
                </w:p>
              </w:tc>
              <w:tc>
                <w:tcPr>
                  <w:tcW w:w="1124" w:type="pct"/>
                  <w:gridSpan w:val="3"/>
                  <w:vAlign w:val="center"/>
                </w:tcPr>
                <w:p w14:paraId="16CC5FD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主要污染防治</w:t>
                  </w:r>
                  <w:r>
                    <w:rPr>
                      <w:rFonts w:hint="default" w:ascii="Times New Roman" w:hAnsi="Times New Roman" w:eastAsia="宋体" w:cs="Times New Roman"/>
                      <w:b w:val="0"/>
                      <w:bCs w:val="0"/>
                      <w:kern w:val="0"/>
                      <w:sz w:val="21"/>
                      <w:szCs w:val="21"/>
                      <w:lang w:val="en-US" w:eastAsia="zh-CN" w:bidi="ar-SA"/>
                    </w:rPr>
                    <w:t>措施</w:t>
                  </w:r>
                </w:p>
              </w:tc>
              <w:tc>
                <w:tcPr>
                  <w:tcW w:w="851" w:type="pct"/>
                  <w:gridSpan w:val="2"/>
                  <w:vAlign w:val="center"/>
                </w:tcPr>
                <w:p w14:paraId="4F475FA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default" w:ascii="Times New Roman" w:hAnsi="Times New Roman" w:eastAsia="宋体" w:cs="Times New Roman"/>
                      <w:b w:val="0"/>
                      <w:bCs w:val="0"/>
                      <w:kern w:val="0"/>
                      <w:sz w:val="21"/>
                      <w:szCs w:val="21"/>
                      <w:lang w:val="en-US" w:eastAsia="zh-CN" w:bidi="ar-SA"/>
                    </w:rPr>
                    <w:t>污染物</w:t>
                  </w:r>
                  <w:r>
                    <w:rPr>
                      <w:rFonts w:hint="eastAsia" w:ascii="Times New Roman" w:hAnsi="Times New Roman" w:eastAsia="宋体" w:cs="Times New Roman"/>
                      <w:b w:val="0"/>
                      <w:bCs w:val="0"/>
                      <w:kern w:val="0"/>
                      <w:sz w:val="21"/>
                      <w:szCs w:val="21"/>
                      <w:lang w:val="en-US" w:eastAsia="zh-CN" w:bidi="ar-SA"/>
                    </w:rPr>
                    <w:t>排放</w:t>
                  </w:r>
                  <w:r>
                    <w:rPr>
                      <w:rFonts w:hint="default" w:ascii="Times New Roman" w:hAnsi="Times New Roman" w:eastAsia="宋体" w:cs="Times New Roman"/>
                      <w:b w:val="0"/>
                      <w:bCs w:val="0"/>
                      <w:kern w:val="0"/>
                      <w:sz w:val="21"/>
                      <w:szCs w:val="21"/>
                      <w:lang w:val="en-US" w:eastAsia="zh-CN" w:bidi="ar-SA"/>
                    </w:rPr>
                    <w:t>情况</w:t>
                  </w:r>
                </w:p>
              </w:tc>
              <w:tc>
                <w:tcPr>
                  <w:tcW w:w="593" w:type="pct"/>
                  <w:vAlign w:val="center"/>
                </w:tcPr>
                <w:p w14:paraId="473A271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排放标准</w:t>
                  </w:r>
                </w:p>
              </w:tc>
              <w:tc>
                <w:tcPr>
                  <w:tcW w:w="475" w:type="pct"/>
                  <w:vMerge w:val="restart"/>
                  <w:vAlign w:val="center"/>
                </w:tcPr>
                <w:p w14:paraId="59EA820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排放去向</w:t>
                  </w:r>
                </w:p>
              </w:tc>
            </w:tr>
            <w:tr w14:paraId="6DB2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 w:type="pct"/>
                  <w:vMerge w:val="continue"/>
                  <w:vAlign w:val="center"/>
                </w:tcPr>
                <w:p w14:paraId="53072C2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p>
              </w:tc>
              <w:tc>
                <w:tcPr>
                  <w:tcW w:w="213" w:type="pct"/>
                  <w:vMerge w:val="continue"/>
                  <w:vAlign w:val="center"/>
                </w:tcPr>
                <w:p w14:paraId="52EF55D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p>
              </w:tc>
              <w:tc>
                <w:tcPr>
                  <w:tcW w:w="339" w:type="pct"/>
                  <w:vMerge w:val="continue"/>
                  <w:vAlign w:val="center"/>
                </w:tcPr>
                <w:p w14:paraId="2463DA6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p>
              </w:tc>
              <w:tc>
                <w:tcPr>
                  <w:tcW w:w="330" w:type="pct"/>
                  <w:vMerge w:val="continue"/>
                  <w:vAlign w:val="center"/>
                </w:tcPr>
                <w:p w14:paraId="2D77B22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p>
              </w:tc>
              <w:tc>
                <w:tcPr>
                  <w:tcW w:w="411" w:type="pct"/>
                  <w:vAlign w:val="center"/>
                </w:tcPr>
                <w:p w14:paraId="07FE8A1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default" w:ascii="Times New Roman" w:hAnsi="Times New Roman" w:eastAsia="宋体" w:cs="Times New Roman"/>
                      <w:b w:val="0"/>
                      <w:bCs w:val="0"/>
                      <w:kern w:val="0"/>
                      <w:sz w:val="21"/>
                      <w:szCs w:val="21"/>
                      <w:lang w:val="en-US" w:eastAsia="zh-CN" w:bidi="ar-SA"/>
                    </w:rPr>
                    <w:t>产生浓度mg/L</w:t>
                  </w:r>
                </w:p>
              </w:tc>
              <w:tc>
                <w:tcPr>
                  <w:tcW w:w="405" w:type="pct"/>
                  <w:vAlign w:val="center"/>
                </w:tcPr>
                <w:p w14:paraId="106CDE4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default" w:ascii="Times New Roman" w:hAnsi="Times New Roman" w:eastAsia="宋体" w:cs="Times New Roman"/>
                      <w:b w:val="0"/>
                      <w:bCs w:val="0"/>
                      <w:kern w:val="0"/>
                      <w:sz w:val="21"/>
                      <w:szCs w:val="21"/>
                      <w:lang w:val="en-US" w:eastAsia="zh-CN" w:bidi="ar-SA"/>
                    </w:rPr>
                    <w:t>产生量t/a</w:t>
                  </w:r>
                </w:p>
              </w:tc>
              <w:tc>
                <w:tcPr>
                  <w:tcW w:w="296" w:type="pct"/>
                  <w:vAlign w:val="center"/>
                </w:tcPr>
                <w:p w14:paraId="4F5EF3E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处理工艺</w:t>
                  </w:r>
                </w:p>
              </w:tc>
              <w:tc>
                <w:tcPr>
                  <w:tcW w:w="416" w:type="pct"/>
                  <w:vAlign w:val="center"/>
                </w:tcPr>
                <w:p w14:paraId="5D325AE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治理效率</w:t>
                  </w:r>
                </w:p>
              </w:tc>
              <w:tc>
                <w:tcPr>
                  <w:tcW w:w="412" w:type="pct"/>
                  <w:vAlign w:val="center"/>
                </w:tcPr>
                <w:p w14:paraId="3B25C41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是否为可行技术</w:t>
                  </w:r>
                </w:p>
              </w:tc>
              <w:tc>
                <w:tcPr>
                  <w:tcW w:w="424" w:type="pct"/>
                  <w:vAlign w:val="center"/>
                </w:tcPr>
                <w:p w14:paraId="45D1C7D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default" w:ascii="Times New Roman" w:hAnsi="Times New Roman" w:eastAsia="宋体" w:cs="Times New Roman"/>
                      <w:b w:val="0"/>
                      <w:bCs w:val="0"/>
                      <w:kern w:val="0"/>
                      <w:sz w:val="21"/>
                      <w:szCs w:val="21"/>
                      <w:lang w:val="en-US" w:eastAsia="zh-CN" w:bidi="ar-SA"/>
                    </w:rPr>
                    <w:t>排放浓度mg/L</w:t>
                  </w:r>
                </w:p>
              </w:tc>
              <w:tc>
                <w:tcPr>
                  <w:tcW w:w="427" w:type="pct"/>
                  <w:vAlign w:val="center"/>
                </w:tcPr>
                <w:p w14:paraId="0DC8F5F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default" w:ascii="Times New Roman" w:hAnsi="Times New Roman" w:eastAsia="宋体" w:cs="Times New Roman"/>
                      <w:b w:val="0"/>
                      <w:bCs w:val="0"/>
                      <w:kern w:val="0"/>
                      <w:sz w:val="21"/>
                      <w:szCs w:val="21"/>
                      <w:lang w:val="en-US" w:eastAsia="zh-CN" w:bidi="ar-SA"/>
                    </w:rPr>
                    <w:t>排放量</w:t>
                  </w:r>
                </w:p>
                <w:p w14:paraId="3E45C9F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default" w:ascii="Times New Roman" w:hAnsi="Times New Roman" w:eastAsia="宋体" w:cs="Times New Roman"/>
                      <w:b w:val="0"/>
                      <w:bCs w:val="0"/>
                      <w:kern w:val="0"/>
                      <w:sz w:val="21"/>
                      <w:szCs w:val="21"/>
                      <w:lang w:val="en-US" w:eastAsia="zh-CN" w:bidi="ar-SA"/>
                    </w:rPr>
                    <w:t>t/a</w:t>
                  </w:r>
                </w:p>
              </w:tc>
              <w:tc>
                <w:tcPr>
                  <w:tcW w:w="593" w:type="pct"/>
                  <w:vAlign w:val="center"/>
                </w:tcPr>
                <w:p w14:paraId="6B6A6E8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浓度限值</w:t>
                  </w:r>
                </w:p>
                <w:p w14:paraId="249C215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default" w:ascii="Times New Roman" w:hAnsi="Times New Roman" w:eastAsia="宋体" w:cs="Times New Roman"/>
                      <w:b w:val="0"/>
                      <w:bCs w:val="0"/>
                      <w:kern w:val="0"/>
                      <w:sz w:val="21"/>
                      <w:szCs w:val="21"/>
                      <w:lang w:val="en-US" w:eastAsia="zh-CN" w:bidi="ar-SA"/>
                    </w:rPr>
                    <w:t>mg/L</w:t>
                  </w:r>
                </w:p>
              </w:tc>
              <w:tc>
                <w:tcPr>
                  <w:tcW w:w="475" w:type="pct"/>
                  <w:vMerge w:val="continue"/>
                  <w:vAlign w:val="center"/>
                </w:tcPr>
                <w:p w14:paraId="70D4583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p>
              </w:tc>
            </w:tr>
            <w:tr w14:paraId="353A6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 w:type="pct"/>
                  <w:vMerge w:val="restart"/>
                  <w:vAlign w:val="center"/>
                </w:tcPr>
                <w:p w14:paraId="6651C2C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r>
                    <w:rPr>
                      <w:rFonts w:hint="eastAsia" w:ascii="Times New Roman" w:hAnsi="Times New Roman" w:eastAsia="宋体" w:cs="Times New Roman"/>
                      <w:b w:val="0"/>
                      <w:bCs w:val="0"/>
                      <w:kern w:val="0"/>
                      <w:sz w:val="21"/>
                      <w:szCs w:val="21"/>
                      <w:vertAlign w:val="baseline"/>
                      <w:lang w:val="en-US" w:eastAsia="zh-CN"/>
                    </w:rPr>
                    <w:t>生活</w:t>
                  </w:r>
                </w:p>
              </w:tc>
              <w:tc>
                <w:tcPr>
                  <w:tcW w:w="213" w:type="pct"/>
                  <w:vMerge w:val="restart"/>
                  <w:vAlign w:val="center"/>
                </w:tcPr>
                <w:p w14:paraId="6647C00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b w:val="0"/>
                      <w:bCs w:val="0"/>
                      <w:kern w:val="0"/>
                      <w:sz w:val="21"/>
                      <w:szCs w:val="21"/>
                      <w:vertAlign w:val="baseline"/>
                      <w:lang w:val="en-US" w:eastAsia="zh-CN"/>
                    </w:rPr>
                  </w:pPr>
                  <w:r>
                    <w:rPr>
                      <w:rFonts w:hint="eastAsia" w:ascii="Times New Roman" w:hAnsi="Times New Roman" w:eastAsia="宋体" w:cs="Times New Roman"/>
                      <w:b w:val="0"/>
                      <w:bCs w:val="0"/>
                      <w:kern w:val="0"/>
                      <w:sz w:val="21"/>
                      <w:szCs w:val="21"/>
                      <w:vertAlign w:val="baseline"/>
                      <w:lang w:val="en-US" w:eastAsia="zh-CN"/>
                    </w:rPr>
                    <w:t>生活</w:t>
                  </w:r>
                  <w:r>
                    <w:rPr>
                      <w:rFonts w:hint="default" w:ascii="Times New Roman" w:hAnsi="Times New Roman" w:eastAsia="宋体" w:cs="Times New Roman"/>
                      <w:b w:val="0"/>
                      <w:bCs w:val="0"/>
                      <w:kern w:val="0"/>
                      <w:sz w:val="21"/>
                      <w:szCs w:val="21"/>
                      <w:vertAlign w:val="baseline"/>
                      <w:lang w:val="en-US" w:eastAsia="zh-CN"/>
                    </w:rPr>
                    <w:t>污水</w:t>
                  </w:r>
                </w:p>
              </w:tc>
              <w:tc>
                <w:tcPr>
                  <w:tcW w:w="339" w:type="pct"/>
                  <w:vMerge w:val="restart"/>
                  <w:vAlign w:val="center"/>
                </w:tcPr>
                <w:p w14:paraId="0D730AA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r>
                    <w:rPr>
                      <w:rFonts w:hint="eastAsia" w:ascii="Times New Roman" w:hAnsi="Times New Roman" w:eastAsia="宋体" w:cs="Times New Roman"/>
                      <w:b w:val="0"/>
                      <w:bCs w:val="0"/>
                      <w:kern w:val="0"/>
                      <w:sz w:val="21"/>
                      <w:szCs w:val="21"/>
                      <w:vertAlign w:val="baseline"/>
                      <w:lang w:val="en-US" w:eastAsia="zh-CN"/>
                    </w:rPr>
                    <w:t>360</w:t>
                  </w:r>
                </w:p>
              </w:tc>
              <w:tc>
                <w:tcPr>
                  <w:tcW w:w="330" w:type="pct"/>
                  <w:vAlign w:val="center"/>
                </w:tcPr>
                <w:p w14:paraId="38503EF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r>
                    <w:rPr>
                      <w:rFonts w:hint="eastAsia" w:ascii="Times New Roman" w:hAnsi="Times New Roman" w:eastAsia="宋体" w:cs="Times New Roman"/>
                      <w:b w:val="0"/>
                      <w:bCs w:val="0"/>
                      <w:kern w:val="0"/>
                      <w:sz w:val="21"/>
                      <w:szCs w:val="21"/>
                      <w:vertAlign w:val="baseline"/>
                      <w:lang w:val="en-US" w:eastAsia="zh-CN"/>
                    </w:rPr>
                    <w:t>COD</w:t>
                  </w:r>
                </w:p>
              </w:tc>
              <w:tc>
                <w:tcPr>
                  <w:tcW w:w="411" w:type="pct"/>
                  <w:vAlign w:val="center"/>
                </w:tcPr>
                <w:p w14:paraId="0894501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t>300</w:t>
                  </w:r>
                </w:p>
              </w:tc>
              <w:tc>
                <w:tcPr>
                  <w:tcW w:w="405" w:type="pct"/>
                  <w:vAlign w:val="center"/>
                </w:tcPr>
                <w:p w14:paraId="4F98BFE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t>0.108</w:t>
                  </w:r>
                </w:p>
              </w:tc>
              <w:tc>
                <w:tcPr>
                  <w:tcW w:w="296" w:type="pct"/>
                  <w:vMerge w:val="restart"/>
                  <w:vAlign w:val="center"/>
                </w:tcPr>
                <w:p w14:paraId="5A24C1D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t>化粪池</w:t>
                  </w:r>
                </w:p>
              </w:tc>
              <w:tc>
                <w:tcPr>
                  <w:tcW w:w="416" w:type="pct"/>
                  <w:vAlign w:val="center"/>
                </w:tcPr>
                <w:p w14:paraId="0CCD876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t>10%</w:t>
                  </w:r>
                </w:p>
              </w:tc>
              <w:tc>
                <w:tcPr>
                  <w:tcW w:w="412" w:type="pct"/>
                  <w:vMerge w:val="restart"/>
                  <w:vAlign w:val="center"/>
                </w:tcPr>
                <w:p w14:paraId="7DFC10E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t>是</w:t>
                  </w:r>
                </w:p>
              </w:tc>
              <w:tc>
                <w:tcPr>
                  <w:tcW w:w="424" w:type="pct"/>
                  <w:vAlign w:val="center"/>
                </w:tcPr>
                <w:p w14:paraId="00090E7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t>270</w:t>
                  </w:r>
                </w:p>
              </w:tc>
              <w:tc>
                <w:tcPr>
                  <w:tcW w:w="427" w:type="pct"/>
                  <w:vAlign w:val="center"/>
                </w:tcPr>
                <w:p w14:paraId="5C70C9F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t>0.0972</w:t>
                  </w:r>
                </w:p>
              </w:tc>
              <w:tc>
                <w:tcPr>
                  <w:tcW w:w="593" w:type="pct"/>
                  <w:vAlign w:val="center"/>
                </w:tcPr>
                <w:p w14:paraId="4AEEB1F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rPr>
                  </w:pPr>
                  <w:r>
                    <w:rPr>
                      <w:rFonts w:hint="default" w:ascii="Times New Roman" w:hAnsi="Times New Roman" w:eastAsia="宋体" w:cs="Times New Roman"/>
                      <w:b w:val="0"/>
                      <w:bCs w:val="0"/>
                      <w:kern w:val="0"/>
                      <w:sz w:val="21"/>
                      <w:szCs w:val="21"/>
                      <w:lang w:val="en-US" w:eastAsia="zh-CN"/>
                    </w:rPr>
                    <w:t>500</w:t>
                  </w:r>
                </w:p>
              </w:tc>
              <w:tc>
                <w:tcPr>
                  <w:tcW w:w="475" w:type="pct"/>
                  <w:vMerge w:val="restart"/>
                  <w:vAlign w:val="center"/>
                </w:tcPr>
                <w:p w14:paraId="22F61A5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t>排入江南产业集中区第一污水处理厂</w:t>
                  </w:r>
                </w:p>
              </w:tc>
            </w:tr>
            <w:tr w14:paraId="4A480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 w:type="pct"/>
                  <w:vMerge w:val="continue"/>
                  <w:vAlign w:val="center"/>
                </w:tcPr>
                <w:p w14:paraId="29890DB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p>
              </w:tc>
              <w:tc>
                <w:tcPr>
                  <w:tcW w:w="213" w:type="pct"/>
                  <w:vMerge w:val="continue"/>
                  <w:vAlign w:val="center"/>
                </w:tcPr>
                <w:p w14:paraId="48E9D07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p>
              </w:tc>
              <w:tc>
                <w:tcPr>
                  <w:tcW w:w="339" w:type="pct"/>
                  <w:vMerge w:val="continue"/>
                  <w:vAlign w:val="center"/>
                </w:tcPr>
                <w:p w14:paraId="47EB8B0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p>
              </w:tc>
              <w:tc>
                <w:tcPr>
                  <w:tcW w:w="330" w:type="pct"/>
                  <w:vAlign w:val="center"/>
                </w:tcPr>
                <w:p w14:paraId="30F091F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r>
                    <w:rPr>
                      <w:rFonts w:hint="eastAsia" w:ascii="Times New Roman" w:hAnsi="Times New Roman" w:eastAsia="宋体" w:cs="Times New Roman"/>
                      <w:kern w:val="0"/>
                      <w:sz w:val="21"/>
                      <w:szCs w:val="21"/>
                      <w:vertAlign w:val="baseline"/>
                      <w:lang w:val="en-US" w:eastAsia="zh-CN"/>
                    </w:rPr>
                    <w:t>BOD</w:t>
                  </w:r>
                  <w:r>
                    <w:rPr>
                      <w:rFonts w:hint="eastAsia" w:ascii="Times New Roman" w:hAnsi="Times New Roman" w:eastAsia="宋体" w:cs="Times New Roman"/>
                      <w:kern w:val="0"/>
                      <w:sz w:val="21"/>
                      <w:szCs w:val="21"/>
                      <w:vertAlign w:val="subscript"/>
                      <w:lang w:val="en-US" w:eastAsia="zh-CN"/>
                    </w:rPr>
                    <w:t>5</w:t>
                  </w:r>
                </w:p>
              </w:tc>
              <w:tc>
                <w:tcPr>
                  <w:tcW w:w="411" w:type="pct"/>
                  <w:vAlign w:val="center"/>
                </w:tcPr>
                <w:p w14:paraId="05FEBD4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150</w:t>
                  </w:r>
                </w:p>
              </w:tc>
              <w:tc>
                <w:tcPr>
                  <w:tcW w:w="405" w:type="pct"/>
                  <w:vAlign w:val="center"/>
                </w:tcPr>
                <w:p w14:paraId="0CF3C1D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0.054</w:t>
                  </w:r>
                </w:p>
              </w:tc>
              <w:tc>
                <w:tcPr>
                  <w:tcW w:w="296" w:type="pct"/>
                  <w:vMerge w:val="continue"/>
                  <w:vAlign w:val="center"/>
                </w:tcPr>
                <w:p w14:paraId="07D2FD3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p>
              </w:tc>
              <w:tc>
                <w:tcPr>
                  <w:tcW w:w="416" w:type="pct"/>
                  <w:vAlign w:val="center"/>
                </w:tcPr>
                <w:p w14:paraId="0D8CFB4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20%</w:t>
                  </w:r>
                </w:p>
              </w:tc>
              <w:tc>
                <w:tcPr>
                  <w:tcW w:w="412" w:type="pct"/>
                  <w:vMerge w:val="continue"/>
                  <w:vAlign w:val="center"/>
                </w:tcPr>
                <w:p w14:paraId="7CE0243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p>
              </w:tc>
              <w:tc>
                <w:tcPr>
                  <w:tcW w:w="424" w:type="pct"/>
                  <w:vAlign w:val="center"/>
                </w:tcPr>
                <w:p w14:paraId="729B808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120</w:t>
                  </w:r>
                </w:p>
              </w:tc>
              <w:tc>
                <w:tcPr>
                  <w:tcW w:w="427" w:type="pct"/>
                  <w:vAlign w:val="center"/>
                </w:tcPr>
                <w:p w14:paraId="601E02D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0.0432</w:t>
                  </w:r>
                </w:p>
              </w:tc>
              <w:tc>
                <w:tcPr>
                  <w:tcW w:w="593" w:type="pct"/>
                  <w:vAlign w:val="center"/>
                </w:tcPr>
                <w:p w14:paraId="287103F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150</w:t>
                  </w:r>
                </w:p>
              </w:tc>
              <w:tc>
                <w:tcPr>
                  <w:tcW w:w="475" w:type="pct"/>
                  <w:vMerge w:val="continue"/>
                  <w:vAlign w:val="center"/>
                </w:tcPr>
                <w:p w14:paraId="07BC08B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kern w:val="0"/>
                      <w:sz w:val="21"/>
                      <w:szCs w:val="21"/>
                      <w:lang w:val="en-US" w:eastAsia="zh-CN"/>
                    </w:rPr>
                  </w:pPr>
                </w:p>
              </w:tc>
            </w:tr>
            <w:tr w14:paraId="05AB6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 w:type="pct"/>
                  <w:vMerge w:val="continue"/>
                  <w:vAlign w:val="center"/>
                </w:tcPr>
                <w:p w14:paraId="774E5D8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p>
              </w:tc>
              <w:tc>
                <w:tcPr>
                  <w:tcW w:w="213" w:type="pct"/>
                  <w:vMerge w:val="continue"/>
                  <w:vAlign w:val="center"/>
                </w:tcPr>
                <w:p w14:paraId="7238DC5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p>
              </w:tc>
              <w:tc>
                <w:tcPr>
                  <w:tcW w:w="339" w:type="pct"/>
                  <w:vMerge w:val="continue"/>
                  <w:vAlign w:val="center"/>
                </w:tcPr>
                <w:p w14:paraId="2F51577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p>
              </w:tc>
              <w:tc>
                <w:tcPr>
                  <w:tcW w:w="330" w:type="pct"/>
                  <w:vAlign w:val="center"/>
                </w:tcPr>
                <w:p w14:paraId="5A8CE6E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bidi="ar-SA"/>
                    </w:rPr>
                  </w:pPr>
                  <w:r>
                    <w:rPr>
                      <w:rFonts w:hint="eastAsia" w:ascii="Times New Roman" w:hAnsi="Times New Roman" w:eastAsia="宋体" w:cs="Times New Roman"/>
                      <w:kern w:val="0"/>
                      <w:sz w:val="21"/>
                      <w:szCs w:val="21"/>
                      <w:vertAlign w:val="baseline"/>
                      <w:lang w:val="en-US" w:eastAsia="zh-CN"/>
                    </w:rPr>
                    <w:t>SS</w:t>
                  </w:r>
                </w:p>
              </w:tc>
              <w:tc>
                <w:tcPr>
                  <w:tcW w:w="411" w:type="pct"/>
                  <w:vAlign w:val="center"/>
                </w:tcPr>
                <w:p w14:paraId="6DF9563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200</w:t>
                  </w:r>
                </w:p>
              </w:tc>
              <w:tc>
                <w:tcPr>
                  <w:tcW w:w="405" w:type="pct"/>
                  <w:vAlign w:val="center"/>
                </w:tcPr>
                <w:p w14:paraId="425D95F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0.072</w:t>
                  </w:r>
                </w:p>
              </w:tc>
              <w:tc>
                <w:tcPr>
                  <w:tcW w:w="296" w:type="pct"/>
                  <w:vMerge w:val="continue"/>
                  <w:vAlign w:val="center"/>
                </w:tcPr>
                <w:p w14:paraId="6C508E8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p>
              </w:tc>
              <w:tc>
                <w:tcPr>
                  <w:tcW w:w="416" w:type="pct"/>
                  <w:vAlign w:val="center"/>
                </w:tcPr>
                <w:p w14:paraId="6F7F885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30%</w:t>
                  </w:r>
                </w:p>
              </w:tc>
              <w:tc>
                <w:tcPr>
                  <w:tcW w:w="412" w:type="pct"/>
                  <w:vMerge w:val="continue"/>
                  <w:vAlign w:val="center"/>
                </w:tcPr>
                <w:p w14:paraId="1696FB6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p>
              </w:tc>
              <w:tc>
                <w:tcPr>
                  <w:tcW w:w="424" w:type="pct"/>
                  <w:vAlign w:val="center"/>
                </w:tcPr>
                <w:p w14:paraId="7527194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140</w:t>
                  </w:r>
                </w:p>
              </w:tc>
              <w:tc>
                <w:tcPr>
                  <w:tcW w:w="427" w:type="pct"/>
                  <w:vAlign w:val="center"/>
                </w:tcPr>
                <w:p w14:paraId="17F7DA1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0.0504</w:t>
                  </w:r>
                </w:p>
              </w:tc>
              <w:tc>
                <w:tcPr>
                  <w:tcW w:w="593" w:type="pct"/>
                  <w:vAlign w:val="center"/>
                </w:tcPr>
                <w:p w14:paraId="7E4D293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240</w:t>
                  </w:r>
                </w:p>
              </w:tc>
              <w:tc>
                <w:tcPr>
                  <w:tcW w:w="475" w:type="pct"/>
                  <w:vMerge w:val="continue"/>
                  <w:vAlign w:val="center"/>
                </w:tcPr>
                <w:p w14:paraId="46EAD7F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kern w:val="0"/>
                      <w:sz w:val="21"/>
                      <w:szCs w:val="21"/>
                      <w:lang w:val="en-US" w:eastAsia="zh-CN"/>
                    </w:rPr>
                  </w:pPr>
                </w:p>
              </w:tc>
            </w:tr>
            <w:tr w14:paraId="5F929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 w:type="pct"/>
                  <w:vMerge w:val="continue"/>
                  <w:vAlign w:val="center"/>
                </w:tcPr>
                <w:p w14:paraId="60BB4A4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p>
              </w:tc>
              <w:tc>
                <w:tcPr>
                  <w:tcW w:w="213" w:type="pct"/>
                  <w:vMerge w:val="continue"/>
                  <w:vAlign w:val="center"/>
                </w:tcPr>
                <w:p w14:paraId="0A8D2C2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p>
              </w:tc>
              <w:tc>
                <w:tcPr>
                  <w:tcW w:w="339" w:type="pct"/>
                  <w:vMerge w:val="continue"/>
                  <w:vAlign w:val="center"/>
                </w:tcPr>
                <w:p w14:paraId="14142B3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p>
              </w:tc>
              <w:tc>
                <w:tcPr>
                  <w:tcW w:w="330" w:type="pct"/>
                  <w:vAlign w:val="center"/>
                </w:tcPr>
                <w:p w14:paraId="3C16EFD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kern w:val="0"/>
                      <w:sz w:val="21"/>
                      <w:szCs w:val="21"/>
                      <w:vertAlign w:val="baseline"/>
                      <w:lang w:val="en-US" w:eastAsia="zh-CN" w:bidi="ar-SA"/>
                    </w:rPr>
                  </w:pPr>
                  <w:r>
                    <w:rPr>
                      <w:rFonts w:hint="eastAsia" w:ascii="Times New Roman" w:hAnsi="Times New Roman" w:eastAsia="宋体" w:cs="Times New Roman"/>
                      <w:kern w:val="0"/>
                      <w:sz w:val="21"/>
                      <w:szCs w:val="21"/>
                      <w:vertAlign w:val="baseline"/>
                      <w:lang w:val="en-US" w:eastAsia="zh-CN"/>
                    </w:rPr>
                    <w:t>NH</w:t>
                  </w:r>
                  <w:r>
                    <w:rPr>
                      <w:rFonts w:hint="eastAsia" w:ascii="Times New Roman" w:hAnsi="Times New Roman" w:eastAsia="宋体" w:cs="Times New Roman"/>
                      <w:kern w:val="0"/>
                      <w:sz w:val="21"/>
                      <w:szCs w:val="21"/>
                      <w:vertAlign w:val="subscript"/>
                      <w:lang w:val="en-US" w:eastAsia="zh-CN"/>
                    </w:rPr>
                    <w:t>3</w:t>
                  </w:r>
                  <w:r>
                    <w:rPr>
                      <w:rFonts w:hint="eastAsia" w:ascii="Times New Roman" w:hAnsi="Times New Roman" w:eastAsia="宋体" w:cs="Times New Roman"/>
                      <w:kern w:val="0"/>
                      <w:sz w:val="21"/>
                      <w:szCs w:val="21"/>
                      <w:vertAlign w:val="baseline"/>
                      <w:lang w:val="en-US" w:eastAsia="zh-CN"/>
                    </w:rPr>
                    <w:t>-N</w:t>
                  </w:r>
                </w:p>
              </w:tc>
              <w:tc>
                <w:tcPr>
                  <w:tcW w:w="411" w:type="pct"/>
                  <w:vAlign w:val="center"/>
                </w:tcPr>
                <w:p w14:paraId="68C20DE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20</w:t>
                  </w:r>
                </w:p>
              </w:tc>
              <w:tc>
                <w:tcPr>
                  <w:tcW w:w="405" w:type="pct"/>
                  <w:vAlign w:val="center"/>
                </w:tcPr>
                <w:p w14:paraId="393FC70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0.0072</w:t>
                  </w:r>
                </w:p>
              </w:tc>
              <w:tc>
                <w:tcPr>
                  <w:tcW w:w="296" w:type="pct"/>
                  <w:vMerge w:val="continue"/>
                  <w:vAlign w:val="center"/>
                </w:tcPr>
                <w:p w14:paraId="76737F0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p>
              </w:tc>
              <w:tc>
                <w:tcPr>
                  <w:tcW w:w="416" w:type="pct"/>
                  <w:vAlign w:val="center"/>
                </w:tcPr>
                <w:p w14:paraId="6D6AE9E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w:t>
                  </w:r>
                </w:p>
              </w:tc>
              <w:tc>
                <w:tcPr>
                  <w:tcW w:w="412" w:type="pct"/>
                  <w:vMerge w:val="continue"/>
                  <w:vAlign w:val="center"/>
                </w:tcPr>
                <w:p w14:paraId="5B45F86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p>
              </w:tc>
              <w:tc>
                <w:tcPr>
                  <w:tcW w:w="424" w:type="pct"/>
                  <w:vAlign w:val="center"/>
                </w:tcPr>
                <w:p w14:paraId="2263554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20</w:t>
                  </w:r>
                </w:p>
              </w:tc>
              <w:tc>
                <w:tcPr>
                  <w:tcW w:w="1148" w:type="dxa"/>
                  <w:vAlign w:val="center"/>
                </w:tcPr>
                <w:p w14:paraId="6BE4EFD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0.0072</w:t>
                  </w:r>
                </w:p>
              </w:tc>
              <w:tc>
                <w:tcPr>
                  <w:tcW w:w="593" w:type="pct"/>
                  <w:vAlign w:val="center"/>
                </w:tcPr>
                <w:p w14:paraId="0D14D37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25</w:t>
                  </w:r>
                </w:p>
              </w:tc>
              <w:tc>
                <w:tcPr>
                  <w:tcW w:w="475" w:type="pct"/>
                  <w:vMerge w:val="continue"/>
                  <w:vAlign w:val="center"/>
                </w:tcPr>
                <w:p w14:paraId="7EE3BB7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kern w:val="0"/>
                      <w:sz w:val="21"/>
                      <w:szCs w:val="21"/>
                      <w:lang w:val="en-US" w:eastAsia="zh-CN"/>
                    </w:rPr>
                  </w:pPr>
                </w:p>
              </w:tc>
            </w:tr>
            <w:tr w14:paraId="39EEC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 w:type="pct"/>
                  <w:vMerge w:val="continue"/>
                  <w:vAlign w:val="center"/>
                </w:tcPr>
                <w:p w14:paraId="5B420F1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p>
              </w:tc>
              <w:tc>
                <w:tcPr>
                  <w:tcW w:w="213" w:type="pct"/>
                  <w:vMerge w:val="continue"/>
                  <w:vAlign w:val="center"/>
                </w:tcPr>
                <w:p w14:paraId="798BAC8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p>
              </w:tc>
              <w:tc>
                <w:tcPr>
                  <w:tcW w:w="339" w:type="pct"/>
                  <w:vMerge w:val="continue"/>
                  <w:vAlign w:val="center"/>
                </w:tcPr>
                <w:p w14:paraId="3E5BD42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p>
              </w:tc>
              <w:tc>
                <w:tcPr>
                  <w:tcW w:w="330" w:type="pct"/>
                  <w:vAlign w:val="center"/>
                </w:tcPr>
                <w:p w14:paraId="7A760E5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r>
                    <w:rPr>
                      <w:rFonts w:hint="eastAsia" w:ascii="Times New Roman" w:hAnsi="Times New Roman" w:eastAsia="宋体" w:cs="Times New Roman"/>
                      <w:kern w:val="0"/>
                      <w:sz w:val="21"/>
                      <w:szCs w:val="21"/>
                      <w:vertAlign w:val="baseline"/>
                      <w:lang w:val="en-US" w:eastAsia="zh-CN"/>
                    </w:rPr>
                    <w:t>TP</w:t>
                  </w:r>
                </w:p>
              </w:tc>
              <w:tc>
                <w:tcPr>
                  <w:tcW w:w="411" w:type="pct"/>
                  <w:vAlign w:val="center"/>
                </w:tcPr>
                <w:p w14:paraId="16FB7A5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2.5</w:t>
                  </w:r>
                </w:p>
              </w:tc>
              <w:tc>
                <w:tcPr>
                  <w:tcW w:w="405" w:type="pct"/>
                  <w:vAlign w:val="center"/>
                </w:tcPr>
                <w:p w14:paraId="02352D5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0.0009</w:t>
                  </w:r>
                </w:p>
              </w:tc>
              <w:tc>
                <w:tcPr>
                  <w:tcW w:w="296" w:type="pct"/>
                  <w:vMerge w:val="continue"/>
                  <w:vAlign w:val="center"/>
                </w:tcPr>
                <w:p w14:paraId="6C24120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p>
              </w:tc>
              <w:tc>
                <w:tcPr>
                  <w:tcW w:w="416" w:type="pct"/>
                  <w:vAlign w:val="center"/>
                </w:tcPr>
                <w:p w14:paraId="4E8E323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w:t>
                  </w:r>
                </w:p>
              </w:tc>
              <w:tc>
                <w:tcPr>
                  <w:tcW w:w="412" w:type="pct"/>
                  <w:vMerge w:val="continue"/>
                  <w:vAlign w:val="center"/>
                </w:tcPr>
                <w:p w14:paraId="5B1AA32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p>
              </w:tc>
              <w:tc>
                <w:tcPr>
                  <w:tcW w:w="424" w:type="pct"/>
                  <w:vAlign w:val="center"/>
                </w:tcPr>
                <w:p w14:paraId="6A6F2B5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2.5</w:t>
                  </w:r>
                </w:p>
              </w:tc>
              <w:tc>
                <w:tcPr>
                  <w:tcW w:w="1148" w:type="dxa"/>
                  <w:vAlign w:val="center"/>
                </w:tcPr>
                <w:p w14:paraId="24EB5EC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0.0009</w:t>
                  </w:r>
                </w:p>
              </w:tc>
              <w:tc>
                <w:tcPr>
                  <w:tcW w:w="593" w:type="pct"/>
                  <w:vAlign w:val="center"/>
                </w:tcPr>
                <w:p w14:paraId="3ED35BF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3</w:t>
                  </w:r>
                </w:p>
              </w:tc>
              <w:tc>
                <w:tcPr>
                  <w:tcW w:w="475" w:type="pct"/>
                  <w:vMerge w:val="continue"/>
                  <w:vAlign w:val="center"/>
                </w:tcPr>
                <w:p w14:paraId="365529E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kern w:val="0"/>
                      <w:sz w:val="21"/>
                      <w:szCs w:val="21"/>
                      <w:lang w:val="en-US" w:eastAsia="zh-CN"/>
                    </w:rPr>
                  </w:pPr>
                </w:p>
              </w:tc>
            </w:tr>
            <w:tr w14:paraId="76B16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 w:type="pct"/>
                  <w:vMerge w:val="continue"/>
                  <w:vAlign w:val="center"/>
                </w:tcPr>
                <w:p w14:paraId="719DF67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p>
              </w:tc>
              <w:tc>
                <w:tcPr>
                  <w:tcW w:w="213" w:type="pct"/>
                  <w:vMerge w:val="continue"/>
                  <w:vAlign w:val="center"/>
                </w:tcPr>
                <w:p w14:paraId="65B76A8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p>
              </w:tc>
              <w:tc>
                <w:tcPr>
                  <w:tcW w:w="339" w:type="pct"/>
                  <w:vMerge w:val="continue"/>
                  <w:vAlign w:val="center"/>
                </w:tcPr>
                <w:p w14:paraId="7B4355B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p>
              </w:tc>
              <w:tc>
                <w:tcPr>
                  <w:tcW w:w="330" w:type="pct"/>
                  <w:vAlign w:val="center"/>
                </w:tcPr>
                <w:p w14:paraId="4FDF95E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r>
                    <w:rPr>
                      <w:rFonts w:hint="eastAsia" w:ascii="Times New Roman" w:hAnsi="Times New Roman" w:eastAsia="宋体" w:cs="Times New Roman"/>
                      <w:kern w:val="0"/>
                      <w:sz w:val="21"/>
                      <w:szCs w:val="21"/>
                      <w:vertAlign w:val="baseline"/>
                      <w:lang w:val="en-US" w:eastAsia="zh-CN"/>
                    </w:rPr>
                    <w:t>TN</w:t>
                  </w:r>
                </w:p>
              </w:tc>
              <w:tc>
                <w:tcPr>
                  <w:tcW w:w="411" w:type="pct"/>
                  <w:vAlign w:val="center"/>
                </w:tcPr>
                <w:p w14:paraId="1B4D510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30</w:t>
                  </w:r>
                </w:p>
              </w:tc>
              <w:tc>
                <w:tcPr>
                  <w:tcW w:w="405" w:type="pct"/>
                  <w:vAlign w:val="center"/>
                </w:tcPr>
                <w:p w14:paraId="617A8C2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0.0108</w:t>
                  </w:r>
                </w:p>
              </w:tc>
              <w:tc>
                <w:tcPr>
                  <w:tcW w:w="296" w:type="pct"/>
                  <w:vMerge w:val="continue"/>
                  <w:vAlign w:val="center"/>
                </w:tcPr>
                <w:p w14:paraId="2B92D82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p>
              </w:tc>
              <w:tc>
                <w:tcPr>
                  <w:tcW w:w="416" w:type="pct"/>
                  <w:vAlign w:val="center"/>
                </w:tcPr>
                <w:p w14:paraId="171991E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w:t>
                  </w:r>
                </w:p>
              </w:tc>
              <w:tc>
                <w:tcPr>
                  <w:tcW w:w="412" w:type="pct"/>
                  <w:vMerge w:val="continue"/>
                  <w:vAlign w:val="center"/>
                </w:tcPr>
                <w:p w14:paraId="0E50A45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p>
              </w:tc>
              <w:tc>
                <w:tcPr>
                  <w:tcW w:w="424" w:type="pct"/>
                  <w:vAlign w:val="center"/>
                </w:tcPr>
                <w:p w14:paraId="67B74A8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30</w:t>
                  </w:r>
                </w:p>
              </w:tc>
              <w:tc>
                <w:tcPr>
                  <w:tcW w:w="1148" w:type="dxa"/>
                  <w:vAlign w:val="center"/>
                </w:tcPr>
                <w:p w14:paraId="7A90983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0.0108</w:t>
                  </w:r>
                </w:p>
              </w:tc>
              <w:tc>
                <w:tcPr>
                  <w:tcW w:w="593" w:type="pct"/>
                  <w:vAlign w:val="center"/>
                </w:tcPr>
                <w:p w14:paraId="49D181A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35</w:t>
                  </w:r>
                </w:p>
              </w:tc>
              <w:tc>
                <w:tcPr>
                  <w:tcW w:w="475" w:type="pct"/>
                  <w:vMerge w:val="continue"/>
                  <w:vAlign w:val="center"/>
                </w:tcPr>
                <w:p w14:paraId="04314EB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kern w:val="0"/>
                      <w:sz w:val="21"/>
                      <w:szCs w:val="21"/>
                      <w:lang w:val="en-US" w:eastAsia="zh-CN"/>
                    </w:rPr>
                  </w:pPr>
                </w:p>
              </w:tc>
            </w:tr>
          </w:tbl>
          <w:p w14:paraId="11A46EF9">
            <w:pPr>
              <w:numPr>
                <w:ilvl w:val="0"/>
                <w:numId w:val="0"/>
              </w:numPr>
              <w:spacing w:line="360" w:lineRule="auto"/>
              <w:ind w:firstLine="480" w:firstLineChars="200"/>
              <w:jc w:val="both"/>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2、废水类别、污染物及污染物治理设施信息</w:t>
            </w:r>
          </w:p>
          <w:p w14:paraId="30280710">
            <w:pPr>
              <w:numPr>
                <w:ilvl w:val="0"/>
                <w:numId w:val="0"/>
              </w:numPr>
              <w:spacing w:line="360" w:lineRule="auto"/>
              <w:jc w:val="center"/>
              <w:rPr>
                <w:rFonts w:hint="default" w:ascii="Times New Roman" w:hAnsi="Times New Roman" w:eastAsia="黑体" w:cs="Times New Roman"/>
                <w:b w:val="0"/>
                <w:bCs w:val="0"/>
                <w:sz w:val="21"/>
                <w:szCs w:val="21"/>
                <w:lang w:val="en-US" w:eastAsia="zh-CN"/>
              </w:rPr>
            </w:pPr>
            <w:r>
              <w:rPr>
                <w:rFonts w:hint="eastAsia" w:ascii="Times New Roman" w:hAnsi="Times New Roman" w:eastAsia="黑体" w:cs="Times New Roman"/>
                <w:b w:val="0"/>
                <w:bCs w:val="0"/>
                <w:sz w:val="21"/>
                <w:szCs w:val="21"/>
                <w:lang w:val="en-US" w:eastAsia="zh-CN"/>
              </w:rPr>
              <w:t>表4-7 项目</w:t>
            </w:r>
            <w:r>
              <w:rPr>
                <w:rFonts w:hint="eastAsia" w:ascii="Times New Roman" w:hAnsi="Times New Roman" w:eastAsia="黑体" w:cs="Times New Roman"/>
                <w:szCs w:val="21"/>
              </w:rPr>
              <w:t>废水类别、污染物及污染治理设施信息表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718"/>
              <w:gridCol w:w="1030"/>
              <w:gridCol w:w="1041"/>
              <w:gridCol w:w="1554"/>
              <w:gridCol w:w="1277"/>
              <w:gridCol w:w="1223"/>
              <w:gridCol w:w="1146"/>
              <w:gridCol w:w="678"/>
              <w:gridCol w:w="869"/>
              <w:gridCol w:w="1269"/>
              <w:gridCol w:w="1917"/>
            </w:tblGrid>
            <w:tr w14:paraId="54F15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 w:type="pct"/>
                  <w:vMerge w:val="restart"/>
                  <w:vAlign w:val="center"/>
                </w:tcPr>
                <w:p w14:paraId="1DC41D1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r>
                    <w:rPr>
                      <w:rFonts w:hint="eastAsia" w:ascii="Times New Roman" w:hAnsi="Times New Roman" w:eastAsia="宋体" w:cs="Times New Roman"/>
                      <w:b w:val="0"/>
                      <w:bCs w:val="0"/>
                      <w:kern w:val="0"/>
                      <w:sz w:val="21"/>
                      <w:szCs w:val="21"/>
                      <w:vertAlign w:val="baseline"/>
                      <w:lang w:val="en-US" w:eastAsia="zh-CN"/>
                    </w:rPr>
                    <w:t>序号</w:t>
                  </w:r>
                </w:p>
              </w:tc>
              <w:tc>
                <w:tcPr>
                  <w:tcW w:w="267" w:type="pct"/>
                  <w:vMerge w:val="restart"/>
                  <w:vAlign w:val="center"/>
                </w:tcPr>
                <w:p w14:paraId="3A462BB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r>
                    <w:rPr>
                      <w:rFonts w:hint="eastAsia" w:ascii="Times New Roman" w:hAnsi="Times New Roman" w:eastAsia="宋体" w:cs="Times New Roman"/>
                      <w:b w:val="0"/>
                      <w:bCs w:val="0"/>
                      <w:kern w:val="0"/>
                      <w:sz w:val="21"/>
                      <w:szCs w:val="21"/>
                      <w:vertAlign w:val="baseline"/>
                      <w:lang w:val="en-US" w:eastAsia="zh-CN"/>
                    </w:rPr>
                    <w:t>废水类别</w:t>
                  </w:r>
                </w:p>
              </w:tc>
              <w:tc>
                <w:tcPr>
                  <w:tcW w:w="383" w:type="pct"/>
                  <w:vMerge w:val="restart"/>
                  <w:vAlign w:val="center"/>
                </w:tcPr>
                <w:p w14:paraId="1CAE761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r>
                    <w:rPr>
                      <w:rFonts w:hint="eastAsia" w:ascii="Times New Roman" w:hAnsi="Times New Roman" w:eastAsia="宋体" w:cs="Times New Roman"/>
                      <w:b w:val="0"/>
                      <w:bCs w:val="0"/>
                      <w:sz w:val="21"/>
                      <w:szCs w:val="21"/>
                      <w:lang w:val="en-US" w:eastAsia="zh-CN"/>
                    </w:rPr>
                    <w:t>污染物种类</w:t>
                  </w:r>
                </w:p>
              </w:tc>
              <w:tc>
                <w:tcPr>
                  <w:tcW w:w="387" w:type="pct"/>
                  <w:vMerge w:val="restart"/>
                  <w:vAlign w:val="center"/>
                </w:tcPr>
                <w:p w14:paraId="2F1FBA7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sz w:val="21"/>
                      <w:szCs w:val="21"/>
                      <w:lang w:val="en-US" w:eastAsia="zh-CN"/>
                    </w:rPr>
                    <w:t>排放去向</w:t>
                  </w:r>
                </w:p>
              </w:tc>
              <w:tc>
                <w:tcPr>
                  <w:tcW w:w="578" w:type="pct"/>
                  <w:vMerge w:val="restart"/>
                  <w:vAlign w:val="center"/>
                </w:tcPr>
                <w:p w14:paraId="7023C40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排放规律</w:t>
                  </w:r>
                </w:p>
              </w:tc>
              <w:tc>
                <w:tcPr>
                  <w:tcW w:w="1356" w:type="pct"/>
                  <w:gridSpan w:val="3"/>
                  <w:vAlign w:val="center"/>
                </w:tcPr>
                <w:p w14:paraId="2D4B7C8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污染治理设施</w:t>
                  </w:r>
                </w:p>
              </w:tc>
              <w:tc>
                <w:tcPr>
                  <w:tcW w:w="575" w:type="pct"/>
                  <w:gridSpan w:val="2"/>
                  <w:vMerge w:val="restart"/>
                  <w:vAlign w:val="center"/>
                </w:tcPr>
                <w:p w14:paraId="724DEDE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排放口编号</w:t>
                  </w:r>
                </w:p>
              </w:tc>
              <w:tc>
                <w:tcPr>
                  <w:tcW w:w="472" w:type="pct"/>
                  <w:vMerge w:val="restart"/>
                  <w:vAlign w:val="center"/>
                </w:tcPr>
                <w:p w14:paraId="64231EF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排放口设置是否符合要求</w:t>
                  </w:r>
                </w:p>
              </w:tc>
              <w:tc>
                <w:tcPr>
                  <w:tcW w:w="713" w:type="pct"/>
                  <w:vMerge w:val="restart"/>
                  <w:vAlign w:val="center"/>
                </w:tcPr>
                <w:p w14:paraId="51F81CD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排放口类型</w:t>
                  </w:r>
                </w:p>
              </w:tc>
            </w:tr>
            <w:tr w14:paraId="37B50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 w:type="pct"/>
                  <w:vMerge w:val="continue"/>
                  <w:vAlign w:val="center"/>
                </w:tcPr>
                <w:p w14:paraId="4F8CE9F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p>
              </w:tc>
              <w:tc>
                <w:tcPr>
                  <w:tcW w:w="267" w:type="pct"/>
                  <w:vMerge w:val="continue"/>
                  <w:vAlign w:val="center"/>
                </w:tcPr>
                <w:p w14:paraId="5D7A65F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p>
              </w:tc>
              <w:tc>
                <w:tcPr>
                  <w:tcW w:w="383" w:type="pct"/>
                  <w:vMerge w:val="continue"/>
                  <w:vAlign w:val="center"/>
                </w:tcPr>
                <w:p w14:paraId="0F99B15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p>
              </w:tc>
              <w:tc>
                <w:tcPr>
                  <w:tcW w:w="387" w:type="pct"/>
                  <w:vMerge w:val="continue"/>
                  <w:vAlign w:val="center"/>
                </w:tcPr>
                <w:p w14:paraId="75C6A86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p>
              </w:tc>
              <w:tc>
                <w:tcPr>
                  <w:tcW w:w="578" w:type="pct"/>
                  <w:vMerge w:val="continue"/>
                  <w:vAlign w:val="center"/>
                </w:tcPr>
                <w:p w14:paraId="6B051CF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p>
              </w:tc>
              <w:tc>
                <w:tcPr>
                  <w:tcW w:w="475" w:type="pct"/>
                  <w:vAlign w:val="center"/>
                </w:tcPr>
                <w:p w14:paraId="47CD303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default" w:ascii="Times New Roman" w:hAnsi="Times New Roman" w:eastAsia="宋体" w:cs="Times New Roman"/>
                      <w:b w:val="0"/>
                      <w:bCs w:val="0"/>
                      <w:kern w:val="0"/>
                      <w:sz w:val="21"/>
                      <w:szCs w:val="21"/>
                      <w:lang w:val="en-US" w:eastAsia="zh-CN" w:bidi="ar-SA"/>
                    </w:rPr>
                    <w:t>污染治理设施编号</w:t>
                  </w:r>
                </w:p>
              </w:tc>
              <w:tc>
                <w:tcPr>
                  <w:tcW w:w="455" w:type="pct"/>
                  <w:vAlign w:val="center"/>
                </w:tcPr>
                <w:p w14:paraId="5F535D8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default" w:ascii="Times New Roman" w:hAnsi="Times New Roman" w:eastAsia="宋体" w:cs="Times New Roman"/>
                      <w:b w:val="0"/>
                      <w:bCs w:val="0"/>
                      <w:kern w:val="0"/>
                      <w:sz w:val="21"/>
                      <w:szCs w:val="21"/>
                      <w:lang w:val="en-US" w:eastAsia="zh-CN" w:bidi="ar-SA"/>
                    </w:rPr>
                    <w:t>污染治理设施</w:t>
                  </w:r>
                  <w:r>
                    <w:rPr>
                      <w:rFonts w:hint="eastAsia" w:ascii="Times New Roman" w:hAnsi="Times New Roman" w:eastAsia="宋体" w:cs="Times New Roman"/>
                      <w:b w:val="0"/>
                      <w:bCs w:val="0"/>
                      <w:kern w:val="0"/>
                      <w:sz w:val="21"/>
                      <w:szCs w:val="21"/>
                      <w:lang w:val="en-US" w:eastAsia="zh-CN" w:bidi="ar-SA"/>
                    </w:rPr>
                    <w:t>名称</w:t>
                  </w:r>
                </w:p>
              </w:tc>
              <w:tc>
                <w:tcPr>
                  <w:tcW w:w="425" w:type="pct"/>
                  <w:vAlign w:val="center"/>
                </w:tcPr>
                <w:p w14:paraId="0CA5119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default" w:ascii="Times New Roman" w:hAnsi="Times New Roman" w:eastAsia="宋体" w:cs="Times New Roman"/>
                      <w:b w:val="0"/>
                      <w:bCs w:val="0"/>
                      <w:kern w:val="0"/>
                      <w:sz w:val="21"/>
                      <w:szCs w:val="21"/>
                      <w:lang w:val="en-US" w:eastAsia="zh-CN" w:bidi="ar-SA"/>
                    </w:rPr>
                    <w:t>污染治理设施</w:t>
                  </w:r>
                  <w:r>
                    <w:rPr>
                      <w:rFonts w:hint="eastAsia" w:ascii="Times New Roman" w:hAnsi="Times New Roman" w:eastAsia="宋体" w:cs="Times New Roman"/>
                      <w:b w:val="0"/>
                      <w:bCs w:val="0"/>
                      <w:kern w:val="0"/>
                      <w:sz w:val="21"/>
                      <w:szCs w:val="21"/>
                      <w:lang w:val="en-US" w:eastAsia="zh-CN" w:bidi="ar-SA"/>
                    </w:rPr>
                    <w:t>工艺</w:t>
                  </w:r>
                </w:p>
              </w:tc>
              <w:tc>
                <w:tcPr>
                  <w:tcW w:w="575" w:type="pct"/>
                  <w:gridSpan w:val="2"/>
                  <w:vMerge w:val="continue"/>
                  <w:vAlign w:val="center"/>
                </w:tcPr>
                <w:p w14:paraId="1CFA995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p>
              </w:tc>
              <w:tc>
                <w:tcPr>
                  <w:tcW w:w="472" w:type="pct"/>
                  <w:vMerge w:val="continue"/>
                  <w:vAlign w:val="center"/>
                </w:tcPr>
                <w:p w14:paraId="0BD45FA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p>
              </w:tc>
              <w:tc>
                <w:tcPr>
                  <w:tcW w:w="713" w:type="pct"/>
                  <w:vMerge w:val="continue"/>
                  <w:vAlign w:val="center"/>
                </w:tcPr>
                <w:p w14:paraId="4ED2A51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p>
              </w:tc>
            </w:tr>
            <w:tr w14:paraId="508E4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267" w:type="pct"/>
                  <w:vAlign w:val="center"/>
                </w:tcPr>
                <w:p w14:paraId="089D4CC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r>
                    <w:rPr>
                      <w:rFonts w:hint="eastAsia" w:ascii="Times New Roman" w:hAnsi="Times New Roman" w:eastAsia="宋体" w:cs="Times New Roman"/>
                      <w:b w:val="0"/>
                      <w:bCs w:val="0"/>
                      <w:kern w:val="0"/>
                      <w:sz w:val="21"/>
                      <w:szCs w:val="21"/>
                      <w:vertAlign w:val="baseline"/>
                      <w:lang w:val="en-US" w:eastAsia="zh-CN"/>
                    </w:rPr>
                    <w:t>1</w:t>
                  </w:r>
                </w:p>
              </w:tc>
              <w:tc>
                <w:tcPr>
                  <w:tcW w:w="267" w:type="pct"/>
                  <w:vAlign w:val="center"/>
                </w:tcPr>
                <w:p w14:paraId="1CE85C5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b w:val="0"/>
                      <w:bCs w:val="0"/>
                      <w:kern w:val="0"/>
                      <w:sz w:val="21"/>
                      <w:szCs w:val="21"/>
                      <w:vertAlign w:val="baseline"/>
                      <w:lang w:val="en-US" w:eastAsia="zh-CN"/>
                    </w:rPr>
                  </w:pPr>
                  <w:r>
                    <w:rPr>
                      <w:rFonts w:hint="eastAsia" w:ascii="Times New Roman" w:hAnsi="Times New Roman" w:eastAsia="宋体" w:cs="Times New Roman"/>
                      <w:b w:val="0"/>
                      <w:bCs w:val="0"/>
                      <w:kern w:val="0"/>
                      <w:sz w:val="21"/>
                      <w:szCs w:val="21"/>
                      <w:vertAlign w:val="baseline"/>
                      <w:lang w:val="en-US" w:eastAsia="zh-CN"/>
                    </w:rPr>
                    <w:t>生活</w:t>
                  </w:r>
                  <w:r>
                    <w:rPr>
                      <w:rFonts w:hint="default" w:ascii="Times New Roman" w:hAnsi="Times New Roman" w:eastAsia="宋体" w:cs="Times New Roman"/>
                      <w:b w:val="0"/>
                      <w:bCs w:val="0"/>
                      <w:kern w:val="0"/>
                      <w:sz w:val="21"/>
                      <w:szCs w:val="21"/>
                      <w:vertAlign w:val="baseline"/>
                      <w:lang w:val="en-US" w:eastAsia="zh-CN"/>
                    </w:rPr>
                    <w:t>污水</w:t>
                  </w:r>
                </w:p>
              </w:tc>
              <w:tc>
                <w:tcPr>
                  <w:tcW w:w="383" w:type="pct"/>
                  <w:vAlign w:val="center"/>
                </w:tcPr>
                <w:p w14:paraId="06056F4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inorEastAsia"/>
                      <w:b w:val="0"/>
                      <w:bCs w:val="0"/>
                      <w:kern w:val="0"/>
                      <w:sz w:val="21"/>
                      <w:szCs w:val="21"/>
                      <w:vertAlign w:val="baseline"/>
                      <w:lang w:val="en-US" w:eastAsia="zh-CN"/>
                    </w:rPr>
                  </w:pPr>
                  <w:r>
                    <w:rPr>
                      <w:rFonts w:hint="default" w:ascii="Times New Roman" w:hAnsi="Times New Roman" w:eastAsia="宋体" w:cs="Times New Roman"/>
                      <w:b w:val="0"/>
                      <w:bCs w:val="0"/>
                      <w:kern w:val="0"/>
                      <w:sz w:val="21"/>
                      <w:szCs w:val="21"/>
                      <w:vertAlign w:val="baseline"/>
                      <w:lang w:val="en-US" w:eastAsia="zh-CN"/>
                    </w:rPr>
                    <w:t>pH、COD、BOD</w:t>
                  </w:r>
                  <w:r>
                    <w:rPr>
                      <w:rFonts w:hint="default" w:ascii="Times New Roman" w:hAnsi="Times New Roman" w:eastAsia="宋体" w:cs="Times New Roman"/>
                      <w:b w:val="0"/>
                      <w:bCs w:val="0"/>
                      <w:kern w:val="0"/>
                      <w:sz w:val="21"/>
                      <w:szCs w:val="21"/>
                      <w:vertAlign w:val="subscript"/>
                      <w:lang w:val="en-US" w:eastAsia="zh-CN"/>
                    </w:rPr>
                    <w:t>5</w:t>
                  </w:r>
                  <w:r>
                    <w:rPr>
                      <w:rFonts w:hint="default" w:ascii="Times New Roman" w:hAnsi="Times New Roman" w:eastAsia="宋体" w:cs="Times New Roman"/>
                      <w:b w:val="0"/>
                      <w:bCs w:val="0"/>
                      <w:kern w:val="0"/>
                      <w:sz w:val="21"/>
                      <w:szCs w:val="21"/>
                      <w:vertAlign w:val="baseline"/>
                      <w:lang w:val="en-US" w:eastAsia="zh-CN"/>
                    </w:rPr>
                    <w:t>、SS、氨氮</w:t>
                  </w:r>
                  <w:r>
                    <w:rPr>
                      <w:rFonts w:hint="eastAsia" w:ascii="Times New Roman" w:hAnsi="Times New Roman" w:eastAsia="宋体" w:cs="Times New Roman"/>
                      <w:b w:val="0"/>
                      <w:bCs w:val="0"/>
                      <w:kern w:val="0"/>
                      <w:sz w:val="21"/>
                      <w:szCs w:val="21"/>
                      <w:vertAlign w:val="baseline"/>
                      <w:lang w:val="en-US" w:eastAsia="zh-CN"/>
                    </w:rPr>
                    <w:t>、TP</w:t>
                  </w:r>
                  <w:r>
                    <w:rPr>
                      <w:rFonts w:hint="eastAsia"/>
                      <w:lang w:eastAsia="zh-CN"/>
                    </w:rPr>
                    <w:t>、</w:t>
                  </w:r>
                  <w:r>
                    <w:rPr>
                      <w:rFonts w:hint="default" w:ascii="Times New Roman" w:hAnsi="Times New Roman" w:cs="Times New Roman"/>
                      <w:lang w:val="en-US" w:eastAsia="zh-CN"/>
                    </w:rPr>
                    <w:t>TN</w:t>
                  </w:r>
                </w:p>
              </w:tc>
              <w:tc>
                <w:tcPr>
                  <w:tcW w:w="387" w:type="pct"/>
                  <w:vAlign w:val="center"/>
                </w:tcPr>
                <w:p w14:paraId="673B7A7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r>
                    <w:rPr>
                      <w:rFonts w:hint="default" w:ascii="Times New Roman" w:hAnsi="Times New Roman" w:eastAsia="宋体" w:cs="Times New Roman"/>
                      <w:b w:val="0"/>
                      <w:bCs w:val="0"/>
                      <w:kern w:val="0"/>
                      <w:sz w:val="21"/>
                      <w:szCs w:val="21"/>
                      <w:vertAlign w:val="baseline"/>
                      <w:lang w:val="en-US" w:eastAsia="zh-CN"/>
                    </w:rPr>
                    <w:t>江南产业集中区第一污水处理厂</w:t>
                  </w:r>
                </w:p>
              </w:tc>
              <w:tc>
                <w:tcPr>
                  <w:tcW w:w="578" w:type="pct"/>
                  <w:vAlign w:val="center"/>
                </w:tcPr>
                <w:p w14:paraId="49BFE3C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t>间歇</w:t>
                  </w:r>
                  <w:r>
                    <w:rPr>
                      <w:rFonts w:hint="default" w:ascii="Times New Roman" w:hAnsi="Times New Roman" w:eastAsia="宋体" w:cs="Times New Roman"/>
                      <w:b w:val="0"/>
                      <w:bCs w:val="0"/>
                      <w:kern w:val="0"/>
                      <w:sz w:val="21"/>
                      <w:szCs w:val="21"/>
                      <w:lang w:val="en-US" w:eastAsia="zh-CN"/>
                    </w:rPr>
                    <w:t>排放，流量不稳定且无规律，但不属于冲击型排放</w:t>
                  </w:r>
                </w:p>
              </w:tc>
              <w:tc>
                <w:tcPr>
                  <w:tcW w:w="475" w:type="pct"/>
                  <w:vAlign w:val="center"/>
                </w:tcPr>
                <w:p w14:paraId="7108A58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t>TW001</w:t>
                  </w:r>
                </w:p>
              </w:tc>
              <w:tc>
                <w:tcPr>
                  <w:tcW w:w="455" w:type="pct"/>
                  <w:vAlign w:val="center"/>
                </w:tcPr>
                <w:p w14:paraId="4F1BD9A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t>依托园区化粪池</w:t>
                  </w:r>
                </w:p>
              </w:tc>
              <w:tc>
                <w:tcPr>
                  <w:tcW w:w="425" w:type="pct"/>
                  <w:vAlign w:val="center"/>
                </w:tcPr>
                <w:p w14:paraId="1E76CD0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t>/</w:t>
                  </w:r>
                </w:p>
              </w:tc>
              <w:tc>
                <w:tcPr>
                  <w:tcW w:w="252" w:type="pct"/>
                  <w:vAlign w:val="center"/>
                </w:tcPr>
                <w:p w14:paraId="305C1B0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t>DW001</w:t>
                  </w:r>
                </w:p>
              </w:tc>
              <w:tc>
                <w:tcPr>
                  <w:tcW w:w="323" w:type="pct"/>
                  <w:vAlign w:val="center"/>
                </w:tcPr>
                <w:p w14:paraId="19E79B3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t>依托园区化粪池</w:t>
                  </w:r>
                </w:p>
              </w:tc>
              <w:tc>
                <w:tcPr>
                  <w:tcW w:w="472" w:type="pct"/>
                  <w:vAlign w:val="center"/>
                </w:tcPr>
                <w:p w14:paraId="7AB355E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b w:val="0"/>
                      <w:bCs w:val="0"/>
                      <w:kern w:val="0"/>
                      <w:sz w:val="21"/>
                      <w:szCs w:val="21"/>
                      <w:lang w:val="en-US" w:eastAsia="zh-CN"/>
                    </w:rPr>
                  </w:pPr>
                  <w:r>
                    <w:rPr>
                      <w:rFonts w:hint="default" w:ascii="Times New Roman" w:hAnsi="Times New Roman" w:eastAsia="宋体" w:cs="Times New Roman"/>
                      <w:b w:val="0"/>
                      <w:bCs w:val="0"/>
                      <w:kern w:val="0"/>
                      <w:sz w:val="21"/>
                      <w:szCs w:val="21"/>
                      <w:lang w:val="en-US" w:eastAsia="zh-CN"/>
                    </w:rPr>
                    <w:sym w:font="Wingdings 2" w:char="0052"/>
                  </w:r>
                  <w:r>
                    <w:rPr>
                      <w:rFonts w:hint="eastAsia" w:ascii="Times New Roman" w:hAnsi="Times New Roman" w:eastAsia="宋体" w:cs="Times New Roman"/>
                      <w:b w:val="0"/>
                      <w:bCs w:val="0"/>
                      <w:kern w:val="0"/>
                      <w:sz w:val="21"/>
                      <w:szCs w:val="21"/>
                      <w:lang w:val="en-US" w:eastAsia="zh-CN"/>
                    </w:rPr>
                    <w:t>是</w:t>
                  </w:r>
                </w:p>
                <w:p w14:paraId="24CD98F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sym w:font="Wingdings 2" w:char="00A3"/>
                  </w:r>
                  <w:r>
                    <w:rPr>
                      <w:rFonts w:hint="eastAsia" w:ascii="Times New Roman" w:hAnsi="Times New Roman" w:eastAsia="宋体" w:cs="Times New Roman"/>
                      <w:b w:val="0"/>
                      <w:bCs w:val="0"/>
                      <w:kern w:val="0"/>
                      <w:sz w:val="21"/>
                      <w:szCs w:val="21"/>
                      <w:lang w:val="en-US" w:eastAsia="zh-CN"/>
                    </w:rPr>
                    <w:t>否</w:t>
                  </w:r>
                </w:p>
              </w:tc>
              <w:tc>
                <w:tcPr>
                  <w:tcW w:w="713" w:type="pct"/>
                  <w:vAlign w:val="center"/>
                </w:tcPr>
                <w:p w14:paraId="21DDD1B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sym w:font="Wingdings 2" w:char="0052"/>
                  </w:r>
                  <w:r>
                    <w:rPr>
                      <w:rFonts w:hint="eastAsia" w:ascii="Times New Roman" w:hAnsi="Times New Roman" w:eastAsia="宋体" w:cs="Times New Roman"/>
                      <w:b w:val="0"/>
                      <w:bCs w:val="0"/>
                      <w:kern w:val="0"/>
                      <w:sz w:val="21"/>
                      <w:szCs w:val="21"/>
                      <w:lang w:val="en-US" w:eastAsia="zh-CN"/>
                    </w:rPr>
                    <w:t>企业总排口</w:t>
                  </w:r>
                </w:p>
                <w:p w14:paraId="15BB3B0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sym w:font="Wingdings 2" w:char="00A3"/>
                  </w:r>
                  <w:r>
                    <w:rPr>
                      <w:rFonts w:hint="eastAsia" w:ascii="Times New Roman" w:hAnsi="Times New Roman" w:eastAsia="宋体" w:cs="Times New Roman"/>
                      <w:b w:val="0"/>
                      <w:bCs w:val="0"/>
                      <w:kern w:val="0"/>
                      <w:sz w:val="21"/>
                      <w:szCs w:val="21"/>
                      <w:lang w:val="en-US" w:eastAsia="zh-CN"/>
                    </w:rPr>
                    <w:t>雨水排放口</w:t>
                  </w:r>
                </w:p>
                <w:p w14:paraId="3F42E32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sym w:font="Wingdings 2" w:char="00A3"/>
                  </w:r>
                  <w:r>
                    <w:rPr>
                      <w:rFonts w:hint="eastAsia" w:ascii="Times New Roman" w:hAnsi="Times New Roman" w:eastAsia="宋体" w:cs="Times New Roman"/>
                      <w:b w:val="0"/>
                      <w:bCs w:val="0"/>
                      <w:kern w:val="0"/>
                      <w:sz w:val="21"/>
                      <w:szCs w:val="21"/>
                      <w:lang w:val="en-US" w:eastAsia="zh-CN"/>
                    </w:rPr>
                    <w:t>清净下水排放口</w:t>
                  </w:r>
                  <w:r>
                    <w:rPr>
                      <w:rFonts w:hint="eastAsia" w:ascii="Times New Roman" w:hAnsi="Times New Roman" w:eastAsia="宋体" w:cs="Times New Roman"/>
                      <w:b w:val="0"/>
                      <w:bCs w:val="0"/>
                      <w:kern w:val="0"/>
                      <w:sz w:val="21"/>
                      <w:szCs w:val="21"/>
                      <w:lang w:val="en-US" w:eastAsia="zh-CN"/>
                    </w:rPr>
                    <w:sym w:font="Wingdings 2" w:char="00A3"/>
                  </w:r>
                  <w:r>
                    <w:rPr>
                      <w:rFonts w:hint="eastAsia" w:ascii="Times New Roman" w:hAnsi="Times New Roman" w:eastAsia="宋体" w:cs="Times New Roman"/>
                      <w:b w:val="0"/>
                      <w:bCs w:val="0"/>
                      <w:kern w:val="0"/>
                      <w:sz w:val="21"/>
                      <w:szCs w:val="21"/>
                      <w:lang w:val="en-US" w:eastAsia="zh-CN"/>
                    </w:rPr>
                    <w:t>温排水排放口</w:t>
                  </w:r>
                </w:p>
                <w:p w14:paraId="41F3382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sym w:font="Wingdings 2" w:char="00A3"/>
                  </w:r>
                  <w:r>
                    <w:rPr>
                      <w:rFonts w:hint="eastAsia" w:ascii="Times New Roman" w:hAnsi="Times New Roman" w:eastAsia="宋体" w:cs="Times New Roman"/>
                      <w:b w:val="0"/>
                      <w:bCs w:val="0"/>
                      <w:kern w:val="0"/>
                      <w:sz w:val="21"/>
                      <w:szCs w:val="21"/>
                      <w:lang w:val="en-US" w:eastAsia="zh-CN"/>
                    </w:rPr>
                    <w:t>车间或车间处理</w:t>
                  </w:r>
                </w:p>
                <w:p w14:paraId="377C5A5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b w:val="0"/>
                      <w:bCs w:val="0"/>
                      <w:kern w:val="0"/>
                      <w:sz w:val="21"/>
                      <w:szCs w:val="21"/>
                      <w:lang w:val="en-US" w:eastAsia="zh-CN"/>
                    </w:rPr>
                  </w:pPr>
                  <w:r>
                    <w:rPr>
                      <w:rFonts w:hint="eastAsia" w:ascii="Times New Roman" w:hAnsi="Times New Roman" w:eastAsia="宋体" w:cs="Times New Roman"/>
                      <w:b w:val="0"/>
                      <w:bCs w:val="0"/>
                      <w:kern w:val="0"/>
                      <w:sz w:val="21"/>
                      <w:szCs w:val="21"/>
                      <w:lang w:val="en-US" w:eastAsia="zh-CN"/>
                    </w:rPr>
                    <w:t>设施排放口</w:t>
                  </w:r>
                </w:p>
              </w:tc>
            </w:tr>
          </w:tbl>
          <w:p w14:paraId="385A3383">
            <w:pPr>
              <w:numPr>
                <w:ilvl w:val="0"/>
                <w:numId w:val="0"/>
              </w:numPr>
              <w:spacing w:line="360" w:lineRule="auto"/>
              <w:jc w:val="center"/>
              <w:rPr>
                <w:rFonts w:hint="eastAsia" w:ascii="Times New Roman" w:hAnsi="Times New Roman" w:eastAsia="黑体" w:cs="Times New Roman"/>
                <w:b w:val="0"/>
                <w:bCs w:val="0"/>
                <w:sz w:val="21"/>
                <w:szCs w:val="21"/>
                <w:lang w:val="en-US" w:eastAsia="zh-CN"/>
              </w:rPr>
            </w:pPr>
          </w:p>
          <w:p w14:paraId="4393B0A1">
            <w:pPr>
              <w:numPr>
                <w:ilvl w:val="0"/>
                <w:numId w:val="0"/>
              </w:numPr>
              <w:spacing w:line="360" w:lineRule="auto"/>
              <w:jc w:val="center"/>
              <w:rPr>
                <w:rFonts w:hint="eastAsia" w:ascii="Times New Roman" w:hAnsi="Times New Roman" w:eastAsia="黑体" w:cs="Times New Roman"/>
                <w:b w:val="0"/>
                <w:bCs w:val="0"/>
                <w:sz w:val="21"/>
                <w:szCs w:val="21"/>
                <w:lang w:val="en-US" w:eastAsia="zh-CN"/>
              </w:rPr>
            </w:pPr>
          </w:p>
          <w:p w14:paraId="25E27F88">
            <w:pPr>
              <w:numPr>
                <w:ilvl w:val="0"/>
                <w:numId w:val="0"/>
              </w:numPr>
              <w:spacing w:line="360" w:lineRule="auto"/>
              <w:ind w:firstLine="480" w:firstLineChars="200"/>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3</w:t>
            </w:r>
            <w:r>
              <w:rPr>
                <w:rFonts w:hint="default" w:ascii="Times New Roman" w:hAnsi="Times New Roman" w:cs="Times New Roman"/>
                <w:sz w:val="24"/>
                <w:szCs w:val="24"/>
                <w:vertAlign w:val="baseline"/>
                <w:lang w:val="en-US" w:eastAsia="zh-CN"/>
              </w:rPr>
              <w:t>、</w:t>
            </w:r>
            <w:r>
              <w:rPr>
                <w:rFonts w:hint="default" w:ascii="Times New Roman" w:hAnsi="Times New Roman" w:cs="Times New Roman"/>
                <w:sz w:val="24"/>
              </w:rPr>
              <w:t>废水排放口基本情况表</w:t>
            </w:r>
          </w:p>
          <w:p w14:paraId="1003D2A5">
            <w:pPr>
              <w:numPr>
                <w:ilvl w:val="0"/>
                <w:numId w:val="0"/>
              </w:numPr>
              <w:spacing w:line="360" w:lineRule="auto"/>
              <w:jc w:val="center"/>
              <w:rPr>
                <w:rFonts w:hint="default" w:ascii="Times New Roman" w:hAnsi="Times New Roman" w:eastAsia="黑体" w:cs="Times New Roman"/>
                <w:b w:val="0"/>
                <w:bCs w:val="0"/>
                <w:sz w:val="21"/>
                <w:szCs w:val="21"/>
                <w:lang w:val="en-US" w:eastAsia="zh-CN"/>
              </w:rPr>
            </w:pPr>
            <w:r>
              <w:rPr>
                <w:rFonts w:hint="eastAsia" w:ascii="Times New Roman" w:hAnsi="Times New Roman" w:eastAsia="黑体" w:cs="Times New Roman"/>
                <w:b w:val="0"/>
                <w:bCs w:val="0"/>
                <w:sz w:val="21"/>
                <w:szCs w:val="21"/>
                <w:lang w:val="en-US" w:eastAsia="zh-CN"/>
              </w:rPr>
              <w:t>表4-8 废水间接排放口基本情况表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879"/>
              <w:gridCol w:w="1328"/>
              <w:gridCol w:w="1350"/>
              <w:gridCol w:w="920"/>
              <w:gridCol w:w="1257"/>
              <w:gridCol w:w="1503"/>
              <w:gridCol w:w="864"/>
              <w:gridCol w:w="890"/>
              <w:gridCol w:w="1326"/>
              <w:gridCol w:w="2540"/>
            </w:tblGrid>
            <w:tr w14:paraId="62FC8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 w:type="pct"/>
                  <w:vMerge w:val="restart"/>
                  <w:vAlign w:val="center"/>
                </w:tcPr>
                <w:p w14:paraId="0BC297B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r>
                    <w:rPr>
                      <w:rFonts w:hint="eastAsia" w:ascii="Times New Roman" w:hAnsi="Times New Roman" w:eastAsia="宋体" w:cs="Times New Roman"/>
                      <w:b w:val="0"/>
                      <w:bCs w:val="0"/>
                      <w:kern w:val="0"/>
                      <w:sz w:val="21"/>
                      <w:szCs w:val="21"/>
                      <w:vertAlign w:val="baseline"/>
                      <w:lang w:val="en-US" w:eastAsia="zh-CN"/>
                    </w:rPr>
                    <w:t>序号</w:t>
                  </w:r>
                </w:p>
              </w:tc>
              <w:tc>
                <w:tcPr>
                  <w:tcW w:w="327" w:type="pct"/>
                  <w:vMerge w:val="restart"/>
                  <w:vAlign w:val="center"/>
                </w:tcPr>
                <w:p w14:paraId="4A02DA1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r>
                    <w:rPr>
                      <w:rFonts w:hint="eastAsia" w:ascii="Times New Roman" w:hAnsi="Times New Roman" w:eastAsia="宋体" w:cs="Times New Roman"/>
                      <w:b w:val="0"/>
                      <w:bCs w:val="0"/>
                      <w:kern w:val="0"/>
                      <w:sz w:val="21"/>
                      <w:szCs w:val="21"/>
                      <w:vertAlign w:val="baseline"/>
                      <w:lang w:val="en-US" w:eastAsia="zh-CN"/>
                    </w:rPr>
                    <w:t>排放口编号</w:t>
                  </w:r>
                </w:p>
              </w:tc>
              <w:tc>
                <w:tcPr>
                  <w:tcW w:w="996" w:type="pct"/>
                  <w:gridSpan w:val="2"/>
                  <w:vAlign w:val="center"/>
                </w:tcPr>
                <w:p w14:paraId="19913E1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排放口地理位置</w:t>
                  </w:r>
                </w:p>
              </w:tc>
              <w:tc>
                <w:tcPr>
                  <w:tcW w:w="342" w:type="pct"/>
                  <w:vMerge w:val="restart"/>
                  <w:vAlign w:val="center"/>
                </w:tcPr>
                <w:p w14:paraId="28F3E23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废水排放量t/a</w:t>
                  </w:r>
                </w:p>
              </w:tc>
              <w:tc>
                <w:tcPr>
                  <w:tcW w:w="467" w:type="pct"/>
                  <w:vMerge w:val="restart"/>
                  <w:vAlign w:val="center"/>
                </w:tcPr>
                <w:p w14:paraId="3C7A261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排放去向</w:t>
                  </w:r>
                </w:p>
              </w:tc>
              <w:tc>
                <w:tcPr>
                  <w:tcW w:w="559" w:type="pct"/>
                  <w:vMerge w:val="restart"/>
                  <w:vAlign w:val="center"/>
                </w:tcPr>
                <w:p w14:paraId="1E67871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排放规律</w:t>
                  </w:r>
                </w:p>
              </w:tc>
              <w:tc>
                <w:tcPr>
                  <w:tcW w:w="321" w:type="pct"/>
                  <w:vMerge w:val="restart"/>
                  <w:vAlign w:val="center"/>
                </w:tcPr>
                <w:p w14:paraId="3EE22D3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间歇排放时段</w:t>
                  </w:r>
                </w:p>
              </w:tc>
              <w:tc>
                <w:tcPr>
                  <w:tcW w:w="1769" w:type="pct"/>
                  <w:gridSpan w:val="3"/>
                  <w:vAlign w:val="center"/>
                </w:tcPr>
                <w:p w14:paraId="2F64A1C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污水处理厂接管要求</w:t>
                  </w:r>
                </w:p>
              </w:tc>
            </w:tr>
            <w:tr w14:paraId="775D9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 w:type="pct"/>
                  <w:vMerge w:val="continue"/>
                  <w:vAlign w:val="center"/>
                </w:tcPr>
                <w:p w14:paraId="040A378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p>
              </w:tc>
              <w:tc>
                <w:tcPr>
                  <w:tcW w:w="327" w:type="pct"/>
                  <w:vMerge w:val="continue"/>
                  <w:vAlign w:val="center"/>
                </w:tcPr>
                <w:p w14:paraId="6B49957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p>
              </w:tc>
              <w:tc>
                <w:tcPr>
                  <w:tcW w:w="494" w:type="pct"/>
                  <w:vAlign w:val="center"/>
                </w:tcPr>
                <w:p w14:paraId="01070EE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r>
                    <w:rPr>
                      <w:rFonts w:hint="eastAsia" w:ascii="Times New Roman" w:hAnsi="Times New Roman" w:eastAsia="宋体" w:cs="Times New Roman"/>
                      <w:b w:val="0"/>
                      <w:bCs w:val="0"/>
                      <w:kern w:val="0"/>
                      <w:sz w:val="21"/>
                      <w:szCs w:val="21"/>
                      <w:vertAlign w:val="baseline"/>
                      <w:lang w:val="en-US" w:eastAsia="zh-CN"/>
                    </w:rPr>
                    <w:t>经度</w:t>
                  </w:r>
                </w:p>
              </w:tc>
              <w:tc>
                <w:tcPr>
                  <w:tcW w:w="502" w:type="pct"/>
                  <w:vAlign w:val="center"/>
                </w:tcPr>
                <w:p w14:paraId="03025C4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纬度</w:t>
                  </w:r>
                </w:p>
              </w:tc>
              <w:tc>
                <w:tcPr>
                  <w:tcW w:w="342" w:type="pct"/>
                  <w:vMerge w:val="continue"/>
                  <w:vAlign w:val="center"/>
                </w:tcPr>
                <w:p w14:paraId="08680B6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p>
              </w:tc>
              <w:tc>
                <w:tcPr>
                  <w:tcW w:w="467" w:type="pct"/>
                  <w:vMerge w:val="continue"/>
                  <w:vAlign w:val="center"/>
                </w:tcPr>
                <w:p w14:paraId="68F358E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p>
              </w:tc>
              <w:tc>
                <w:tcPr>
                  <w:tcW w:w="559" w:type="pct"/>
                  <w:vMerge w:val="continue"/>
                  <w:vAlign w:val="center"/>
                </w:tcPr>
                <w:p w14:paraId="5E265A5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p>
              </w:tc>
              <w:tc>
                <w:tcPr>
                  <w:tcW w:w="321" w:type="pct"/>
                  <w:vMerge w:val="continue"/>
                  <w:vAlign w:val="center"/>
                </w:tcPr>
                <w:p w14:paraId="4F190E3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p>
              </w:tc>
              <w:tc>
                <w:tcPr>
                  <w:tcW w:w="331" w:type="pct"/>
                  <w:vAlign w:val="center"/>
                </w:tcPr>
                <w:p w14:paraId="0E0A4C0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名称</w:t>
                  </w:r>
                </w:p>
              </w:tc>
              <w:tc>
                <w:tcPr>
                  <w:tcW w:w="493" w:type="pct"/>
                  <w:vAlign w:val="center"/>
                </w:tcPr>
                <w:p w14:paraId="6E9A959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污染物种类</w:t>
                  </w:r>
                </w:p>
              </w:tc>
              <w:tc>
                <w:tcPr>
                  <w:tcW w:w="944" w:type="pct"/>
                  <w:vAlign w:val="center"/>
                </w:tcPr>
                <w:p w14:paraId="0A543B1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default" w:ascii="Times New Roman" w:hAnsi="Times New Roman" w:eastAsia="宋体" w:cs="Times New Roman"/>
                      <w:b w:val="0"/>
                      <w:bCs w:val="0"/>
                      <w:kern w:val="0"/>
                      <w:sz w:val="21"/>
                      <w:szCs w:val="21"/>
                      <w:lang w:val="en-US" w:eastAsia="zh-CN" w:bidi="ar-SA"/>
                    </w:rPr>
                    <w:t>国家或地方污染物排放标准浓度限值（mg/L）</w:t>
                  </w:r>
                </w:p>
              </w:tc>
            </w:tr>
            <w:tr w14:paraId="71718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216" w:type="pct"/>
                  <w:vMerge w:val="restart"/>
                  <w:vAlign w:val="center"/>
                </w:tcPr>
                <w:p w14:paraId="03598FD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r>
                    <w:rPr>
                      <w:rFonts w:hint="eastAsia" w:ascii="Times New Roman" w:hAnsi="Times New Roman" w:eastAsia="宋体" w:cs="Times New Roman"/>
                      <w:b w:val="0"/>
                      <w:bCs w:val="0"/>
                      <w:kern w:val="0"/>
                      <w:sz w:val="21"/>
                      <w:szCs w:val="21"/>
                      <w:vertAlign w:val="baseline"/>
                      <w:lang w:val="en-US" w:eastAsia="zh-CN"/>
                    </w:rPr>
                    <w:t>1</w:t>
                  </w:r>
                </w:p>
              </w:tc>
              <w:tc>
                <w:tcPr>
                  <w:tcW w:w="327" w:type="pct"/>
                  <w:vMerge w:val="restart"/>
                  <w:vAlign w:val="center"/>
                </w:tcPr>
                <w:p w14:paraId="1638A52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vertAlign w:val="baseline"/>
                      <w:lang w:val="en-US" w:eastAsia="zh-CN"/>
                    </w:rPr>
                  </w:pPr>
                  <w:r>
                    <w:rPr>
                      <w:rFonts w:hint="eastAsia" w:ascii="Times New Roman" w:hAnsi="Times New Roman" w:eastAsia="宋体" w:cs="Times New Roman"/>
                      <w:b w:val="0"/>
                      <w:bCs w:val="0"/>
                      <w:kern w:val="0"/>
                      <w:sz w:val="21"/>
                      <w:szCs w:val="21"/>
                      <w:vertAlign w:val="baseline"/>
                      <w:lang w:val="en-US" w:eastAsia="zh-CN"/>
                    </w:rPr>
                    <w:t>DW001</w:t>
                  </w:r>
                </w:p>
              </w:tc>
              <w:tc>
                <w:tcPr>
                  <w:tcW w:w="494" w:type="pct"/>
                  <w:vMerge w:val="restart"/>
                  <w:vAlign w:val="center"/>
                </w:tcPr>
                <w:p w14:paraId="251B5068">
                  <w:pPr>
                    <w:spacing w:line="360" w:lineRule="exact"/>
                    <w:jc w:val="center"/>
                    <w:rPr>
                      <w:rFonts w:hint="default" w:ascii="Times New Roman" w:hAnsi="Times New Roman" w:eastAsia="宋体" w:cs="Times New Roman"/>
                      <w:b w:val="0"/>
                      <w:bCs w:val="0"/>
                      <w:kern w:val="0"/>
                      <w:sz w:val="21"/>
                      <w:szCs w:val="21"/>
                      <w:vertAlign w:val="baseline"/>
                      <w:lang w:val="en-US" w:eastAsia="zh-CN"/>
                    </w:rPr>
                  </w:pPr>
                  <w:r>
                    <w:rPr>
                      <w:rFonts w:hint="default" w:ascii="Times New Roman" w:hAnsi="Times New Roman" w:eastAsia="宋体" w:cs="Times New Roman"/>
                      <w:sz w:val="21"/>
                      <w:szCs w:val="21"/>
                      <w:lang w:val="en-US" w:eastAsia="zh-CN"/>
                    </w:rPr>
                    <w:t>117</w:t>
                  </w:r>
                  <w:r>
                    <w:rPr>
                      <w:rFonts w:hint="default" w:ascii="Times New Roman" w:hAnsi="Times New Roman" w:cs="Times New Roman"/>
                      <w:color w:val="000000"/>
                      <w:sz w:val="21"/>
                      <w:szCs w:val="21"/>
                    </w:rPr>
                    <w:t>°</w:t>
                  </w:r>
                  <w:r>
                    <w:rPr>
                      <w:rFonts w:hint="default" w:ascii="Times New Roman" w:hAnsi="Times New Roman" w:eastAsia="宋体" w:cs="Times New Roman"/>
                      <w:sz w:val="21"/>
                      <w:szCs w:val="21"/>
                      <w:lang w:val="en-US" w:eastAsia="zh-CN"/>
                    </w:rPr>
                    <w:t>39</w:t>
                  </w:r>
                  <w:r>
                    <w:rPr>
                      <w:rFonts w:hint="default" w:ascii="Times New Roman" w:hAnsi="Times New Roman" w:cs="Times New Roman"/>
                      <w:color w:val="000000"/>
                      <w:sz w:val="21"/>
                      <w:szCs w:val="21"/>
                    </w:rPr>
                    <w:t>′</w:t>
                  </w:r>
                  <w:r>
                    <w:rPr>
                      <w:rFonts w:hint="eastAsia" w:ascii="Times New Roman" w:hAnsi="Times New Roman" w:eastAsia="宋体" w:cs="Times New Roman"/>
                      <w:sz w:val="21"/>
                      <w:szCs w:val="21"/>
                      <w:lang w:val="en-US" w:eastAsia="zh-CN"/>
                    </w:rPr>
                    <w:t>7.54</w:t>
                  </w:r>
                  <w:r>
                    <w:rPr>
                      <w:rFonts w:hint="default" w:ascii="Times New Roman" w:hAnsi="Times New Roman" w:cs="Times New Roman"/>
                      <w:color w:val="000000"/>
                      <w:sz w:val="21"/>
                      <w:szCs w:val="21"/>
                    </w:rPr>
                    <w:t>″</w:t>
                  </w:r>
                </w:p>
              </w:tc>
              <w:tc>
                <w:tcPr>
                  <w:tcW w:w="502" w:type="pct"/>
                  <w:vMerge w:val="restart"/>
                  <w:vAlign w:val="center"/>
                </w:tcPr>
                <w:p w14:paraId="5FAD0462">
                  <w:pPr>
                    <w:spacing w:line="360" w:lineRule="exact"/>
                    <w:jc w:val="center"/>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sz w:val="21"/>
                      <w:szCs w:val="21"/>
                      <w:lang w:val="en-US" w:eastAsia="zh-CN"/>
                    </w:rPr>
                    <w:t>30</w:t>
                  </w:r>
                  <w:r>
                    <w:rPr>
                      <w:rFonts w:hint="default" w:ascii="Times New Roman" w:hAnsi="Times New Roman" w:cs="Times New Roman"/>
                      <w:color w:val="000000"/>
                      <w:sz w:val="21"/>
                      <w:szCs w:val="21"/>
                    </w:rPr>
                    <w:t>°</w:t>
                  </w:r>
                  <w:r>
                    <w:rPr>
                      <w:rFonts w:hint="eastAsia" w:ascii="Times New Roman" w:hAnsi="Times New Roman" w:eastAsia="宋体" w:cs="Times New Roman"/>
                      <w:sz w:val="21"/>
                      <w:szCs w:val="21"/>
                      <w:lang w:val="en-US" w:eastAsia="zh-CN"/>
                    </w:rPr>
                    <w:t>45</w:t>
                  </w:r>
                  <w:r>
                    <w:rPr>
                      <w:rFonts w:hint="default" w:ascii="Times New Roman" w:hAnsi="Times New Roman" w:cs="Times New Roman"/>
                      <w:color w:val="000000"/>
                      <w:sz w:val="21"/>
                      <w:szCs w:val="21"/>
                    </w:rPr>
                    <w:t>′</w:t>
                  </w:r>
                  <w:r>
                    <w:rPr>
                      <w:rFonts w:hint="eastAsia" w:ascii="Times New Roman" w:hAnsi="Times New Roman" w:cs="Times New Roman"/>
                      <w:color w:val="000000"/>
                      <w:sz w:val="21"/>
                      <w:szCs w:val="21"/>
                      <w:lang w:val="en-US" w:eastAsia="zh-CN"/>
                    </w:rPr>
                    <w:t>28.48</w:t>
                  </w:r>
                  <w:r>
                    <w:rPr>
                      <w:rFonts w:hint="default" w:ascii="Times New Roman" w:hAnsi="Times New Roman" w:cs="Times New Roman"/>
                      <w:color w:val="000000"/>
                      <w:sz w:val="21"/>
                      <w:szCs w:val="21"/>
                    </w:rPr>
                    <w:t>″</w:t>
                  </w:r>
                </w:p>
              </w:tc>
              <w:tc>
                <w:tcPr>
                  <w:tcW w:w="342" w:type="pct"/>
                  <w:vMerge w:val="restart"/>
                  <w:vAlign w:val="center"/>
                </w:tcPr>
                <w:p w14:paraId="103BEBB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vertAlign w:val="baseline"/>
                      <w:lang w:val="en-US" w:eastAsia="zh-CN"/>
                    </w:rPr>
                    <w:t>360</w:t>
                  </w:r>
                </w:p>
              </w:tc>
              <w:tc>
                <w:tcPr>
                  <w:tcW w:w="467" w:type="pct"/>
                  <w:vMerge w:val="restart"/>
                  <w:vAlign w:val="center"/>
                </w:tcPr>
                <w:p w14:paraId="19DDECD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default" w:ascii="Times New Roman" w:hAnsi="Times New Roman" w:eastAsia="宋体" w:cs="Times New Roman"/>
                      <w:b w:val="0"/>
                      <w:bCs w:val="0"/>
                      <w:kern w:val="0"/>
                      <w:sz w:val="21"/>
                      <w:szCs w:val="21"/>
                      <w:lang w:val="en-US" w:eastAsia="zh-CN" w:bidi="ar-SA"/>
                    </w:rPr>
                    <w:t>江南产业集中区第一污水处理厂</w:t>
                  </w:r>
                </w:p>
              </w:tc>
              <w:tc>
                <w:tcPr>
                  <w:tcW w:w="559" w:type="pct"/>
                  <w:vMerge w:val="restart"/>
                  <w:vAlign w:val="center"/>
                </w:tcPr>
                <w:p w14:paraId="1184EB3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间歇</w:t>
                  </w:r>
                  <w:r>
                    <w:rPr>
                      <w:rFonts w:hint="default" w:ascii="Times New Roman" w:hAnsi="Times New Roman" w:eastAsia="宋体" w:cs="Times New Roman"/>
                      <w:b w:val="0"/>
                      <w:bCs w:val="0"/>
                      <w:kern w:val="0"/>
                      <w:sz w:val="21"/>
                      <w:szCs w:val="21"/>
                      <w:lang w:val="en-US" w:eastAsia="zh-CN" w:bidi="ar-SA"/>
                    </w:rPr>
                    <w:t>排放，流量不稳定且无规律，但不属于冲击型排放</w:t>
                  </w:r>
                </w:p>
              </w:tc>
              <w:tc>
                <w:tcPr>
                  <w:tcW w:w="321" w:type="pct"/>
                  <w:vMerge w:val="restart"/>
                  <w:vAlign w:val="center"/>
                </w:tcPr>
                <w:p w14:paraId="1BD8D58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w:t>
                  </w:r>
                </w:p>
              </w:tc>
              <w:tc>
                <w:tcPr>
                  <w:tcW w:w="331" w:type="pct"/>
                  <w:vMerge w:val="restart"/>
                  <w:vAlign w:val="center"/>
                </w:tcPr>
                <w:p w14:paraId="1663BB4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default" w:ascii="Times New Roman" w:hAnsi="Times New Roman" w:eastAsia="宋体" w:cs="Times New Roman"/>
                      <w:b w:val="0"/>
                      <w:bCs w:val="0"/>
                      <w:kern w:val="0"/>
                      <w:sz w:val="21"/>
                      <w:szCs w:val="21"/>
                      <w:lang w:val="en-US" w:eastAsia="zh-CN" w:bidi="ar-SA"/>
                    </w:rPr>
                    <w:t>江南产业集中区第一污水处理厂</w:t>
                  </w:r>
                </w:p>
              </w:tc>
              <w:tc>
                <w:tcPr>
                  <w:tcW w:w="493" w:type="pct"/>
                  <w:vAlign w:val="center"/>
                </w:tcPr>
                <w:p w14:paraId="27AF8A7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pH</w:t>
                  </w:r>
                </w:p>
              </w:tc>
              <w:tc>
                <w:tcPr>
                  <w:tcW w:w="944" w:type="pct"/>
                  <w:vAlign w:val="center"/>
                </w:tcPr>
                <w:p w14:paraId="5FEAAB4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6-9</w:t>
                  </w:r>
                </w:p>
              </w:tc>
            </w:tr>
            <w:tr w14:paraId="2DFC9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216" w:type="pct"/>
                  <w:vMerge w:val="continue"/>
                  <w:vAlign w:val="center"/>
                </w:tcPr>
                <w:p w14:paraId="2FB2AF9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b w:val="0"/>
                      <w:bCs w:val="0"/>
                    </w:rPr>
                  </w:pPr>
                </w:p>
              </w:tc>
              <w:tc>
                <w:tcPr>
                  <w:tcW w:w="327" w:type="pct"/>
                  <w:vMerge w:val="continue"/>
                  <w:vAlign w:val="center"/>
                </w:tcPr>
                <w:p w14:paraId="38207E6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b w:val="0"/>
                      <w:bCs w:val="0"/>
                    </w:rPr>
                  </w:pPr>
                </w:p>
              </w:tc>
              <w:tc>
                <w:tcPr>
                  <w:tcW w:w="494" w:type="pct"/>
                  <w:vMerge w:val="continue"/>
                  <w:vAlign w:val="center"/>
                </w:tcPr>
                <w:p w14:paraId="33D72B2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b w:val="0"/>
                      <w:bCs w:val="0"/>
                    </w:rPr>
                  </w:pPr>
                </w:p>
              </w:tc>
              <w:tc>
                <w:tcPr>
                  <w:tcW w:w="502" w:type="pct"/>
                  <w:vMerge w:val="continue"/>
                  <w:vAlign w:val="center"/>
                </w:tcPr>
                <w:p w14:paraId="0BEC492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b w:val="0"/>
                      <w:bCs w:val="0"/>
                    </w:rPr>
                  </w:pPr>
                </w:p>
              </w:tc>
              <w:tc>
                <w:tcPr>
                  <w:tcW w:w="342" w:type="pct"/>
                  <w:vMerge w:val="continue"/>
                  <w:vAlign w:val="center"/>
                </w:tcPr>
                <w:p w14:paraId="0F0C9EE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b w:val="0"/>
                      <w:bCs w:val="0"/>
                    </w:rPr>
                  </w:pPr>
                </w:p>
              </w:tc>
              <w:tc>
                <w:tcPr>
                  <w:tcW w:w="467" w:type="pct"/>
                  <w:vMerge w:val="continue"/>
                  <w:vAlign w:val="center"/>
                </w:tcPr>
                <w:p w14:paraId="449D6DC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b w:val="0"/>
                      <w:bCs w:val="0"/>
                    </w:rPr>
                  </w:pPr>
                </w:p>
              </w:tc>
              <w:tc>
                <w:tcPr>
                  <w:tcW w:w="559" w:type="pct"/>
                  <w:vMerge w:val="continue"/>
                  <w:vAlign w:val="center"/>
                </w:tcPr>
                <w:p w14:paraId="7531677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b w:val="0"/>
                      <w:bCs w:val="0"/>
                    </w:rPr>
                  </w:pPr>
                </w:p>
              </w:tc>
              <w:tc>
                <w:tcPr>
                  <w:tcW w:w="321" w:type="pct"/>
                  <w:vMerge w:val="continue"/>
                  <w:vAlign w:val="center"/>
                </w:tcPr>
                <w:p w14:paraId="507535B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b w:val="0"/>
                      <w:bCs w:val="0"/>
                    </w:rPr>
                  </w:pPr>
                </w:p>
              </w:tc>
              <w:tc>
                <w:tcPr>
                  <w:tcW w:w="331" w:type="pct"/>
                  <w:vMerge w:val="continue"/>
                  <w:vAlign w:val="center"/>
                </w:tcPr>
                <w:p w14:paraId="34FEBD4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b w:val="0"/>
                      <w:bCs w:val="0"/>
                    </w:rPr>
                  </w:pPr>
                </w:p>
              </w:tc>
              <w:tc>
                <w:tcPr>
                  <w:tcW w:w="493" w:type="pct"/>
                  <w:vAlign w:val="center"/>
                </w:tcPr>
                <w:p w14:paraId="7EFAEF4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COD</w:t>
                  </w:r>
                </w:p>
              </w:tc>
              <w:tc>
                <w:tcPr>
                  <w:tcW w:w="944" w:type="pct"/>
                  <w:shd w:val="clear" w:color="auto" w:fill="auto"/>
                  <w:vAlign w:val="center"/>
                </w:tcPr>
                <w:p w14:paraId="7BDFF77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default" w:ascii="Times New Roman" w:hAnsi="Times New Roman" w:eastAsia="宋体" w:cs="Times New Roman"/>
                      <w:b w:val="0"/>
                      <w:bCs w:val="0"/>
                      <w:kern w:val="0"/>
                      <w:sz w:val="21"/>
                      <w:szCs w:val="21"/>
                      <w:lang w:val="en-US" w:eastAsia="zh-CN"/>
                    </w:rPr>
                    <w:t>500</w:t>
                  </w:r>
                </w:p>
              </w:tc>
            </w:tr>
            <w:tr w14:paraId="7B175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216" w:type="pct"/>
                  <w:vMerge w:val="continue"/>
                  <w:vAlign w:val="center"/>
                </w:tcPr>
                <w:p w14:paraId="18BDBDC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27" w:type="pct"/>
                  <w:vMerge w:val="continue"/>
                  <w:vAlign w:val="center"/>
                </w:tcPr>
                <w:p w14:paraId="725F2B4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494" w:type="pct"/>
                  <w:vMerge w:val="continue"/>
                  <w:vAlign w:val="center"/>
                </w:tcPr>
                <w:p w14:paraId="5DB9CA0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502" w:type="pct"/>
                  <w:vMerge w:val="continue"/>
                  <w:vAlign w:val="center"/>
                </w:tcPr>
                <w:p w14:paraId="1D698EF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42" w:type="pct"/>
                  <w:vMerge w:val="continue"/>
                  <w:vAlign w:val="center"/>
                </w:tcPr>
                <w:p w14:paraId="4E797E1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467" w:type="pct"/>
                  <w:vMerge w:val="continue"/>
                  <w:vAlign w:val="center"/>
                </w:tcPr>
                <w:p w14:paraId="453BF6B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559" w:type="pct"/>
                  <w:vMerge w:val="continue"/>
                  <w:vAlign w:val="center"/>
                </w:tcPr>
                <w:p w14:paraId="6BE827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21" w:type="pct"/>
                  <w:vMerge w:val="continue"/>
                  <w:vAlign w:val="center"/>
                </w:tcPr>
                <w:p w14:paraId="10ECFB9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31" w:type="pct"/>
                  <w:vMerge w:val="continue"/>
                  <w:vAlign w:val="center"/>
                </w:tcPr>
                <w:p w14:paraId="1CB9AB1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493" w:type="pct"/>
                  <w:vAlign w:val="center"/>
                </w:tcPr>
                <w:p w14:paraId="3DD51CA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BOD</w:t>
                  </w:r>
                  <w:r>
                    <w:rPr>
                      <w:rFonts w:hint="eastAsia" w:ascii="Times New Roman" w:hAnsi="Times New Roman" w:eastAsia="宋体" w:cs="Times New Roman"/>
                      <w:b w:val="0"/>
                      <w:bCs w:val="0"/>
                      <w:kern w:val="0"/>
                      <w:sz w:val="21"/>
                      <w:szCs w:val="21"/>
                      <w:vertAlign w:val="subscript"/>
                      <w:lang w:val="en-US" w:eastAsia="zh-CN" w:bidi="ar-SA"/>
                    </w:rPr>
                    <w:t>5</w:t>
                  </w:r>
                </w:p>
              </w:tc>
              <w:tc>
                <w:tcPr>
                  <w:tcW w:w="944" w:type="pct"/>
                  <w:shd w:val="clear" w:color="auto" w:fill="auto"/>
                  <w:vAlign w:val="center"/>
                </w:tcPr>
                <w:p w14:paraId="77508D1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150</w:t>
                  </w:r>
                </w:p>
              </w:tc>
            </w:tr>
            <w:tr w14:paraId="05D82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216" w:type="pct"/>
                  <w:vMerge w:val="continue"/>
                  <w:vAlign w:val="center"/>
                </w:tcPr>
                <w:p w14:paraId="446BF6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27" w:type="pct"/>
                  <w:vMerge w:val="continue"/>
                  <w:vAlign w:val="center"/>
                </w:tcPr>
                <w:p w14:paraId="76C746E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494" w:type="pct"/>
                  <w:vMerge w:val="continue"/>
                  <w:vAlign w:val="center"/>
                </w:tcPr>
                <w:p w14:paraId="06F192C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502" w:type="pct"/>
                  <w:vMerge w:val="continue"/>
                  <w:vAlign w:val="center"/>
                </w:tcPr>
                <w:p w14:paraId="7D78D5C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42" w:type="pct"/>
                  <w:vMerge w:val="continue"/>
                  <w:vAlign w:val="center"/>
                </w:tcPr>
                <w:p w14:paraId="4FEF387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467" w:type="pct"/>
                  <w:vMerge w:val="continue"/>
                  <w:vAlign w:val="center"/>
                </w:tcPr>
                <w:p w14:paraId="1E2AC49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559" w:type="pct"/>
                  <w:vMerge w:val="continue"/>
                  <w:vAlign w:val="center"/>
                </w:tcPr>
                <w:p w14:paraId="709470C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21" w:type="pct"/>
                  <w:vMerge w:val="continue"/>
                  <w:vAlign w:val="center"/>
                </w:tcPr>
                <w:p w14:paraId="72EDD8B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31" w:type="pct"/>
                  <w:vMerge w:val="continue"/>
                  <w:vAlign w:val="center"/>
                </w:tcPr>
                <w:p w14:paraId="2084330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493" w:type="pct"/>
                  <w:vAlign w:val="center"/>
                </w:tcPr>
                <w:p w14:paraId="5907B21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SS</w:t>
                  </w:r>
                </w:p>
              </w:tc>
              <w:tc>
                <w:tcPr>
                  <w:tcW w:w="944" w:type="pct"/>
                  <w:shd w:val="clear" w:color="auto" w:fill="auto"/>
                  <w:vAlign w:val="center"/>
                </w:tcPr>
                <w:p w14:paraId="55487E9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240</w:t>
                  </w:r>
                </w:p>
              </w:tc>
            </w:tr>
            <w:tr w14:paraId="3ED3E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216" w:type="pct"/>
                  <w:vMerge w:val="continue"/>
                  <w:vAlign w:val="center"/>
                </w:tcPr>
                <w:p w14:paraId="4311555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27" w:type="pct"/>
                  <w:vMerge w:val="continue"/>
                  <w:vAlign w:val="center"/>
                </w:tcPr>
                <w:p w14:paraId="26C22F6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494" w:type="pct"/>
                  <w:vMerge w:val="continue"/>
                  <w:vAlign w:val="center"/>
                </w:tcPr>
                <w:p w14:paraId="61AB859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502" w:type="pct"/>
                  <w:vMerge w:val="continue"/>
                  <w:vAlign w:val="center"/>
                </w:tcPr>
                <w:p w14:paraId="5612400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42" w:type="pct"/>
                  <w:vMerge w:val="continue"/>
                  <w:vAlign w:val="center"/>
                </w:tcPr>
                <w:p w14:paraId="699DB0E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467" w:type="pct"/>
                  <w:vMerge w:val="continue"/>
                  <w:vAlign w:val="center"/>
                </w:tcPr>
                <w:p w14:paraId="6153D42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559" w:type="pct"/>
                  <w:vMerge w:val="continue"/>
                  <w:vAlign w:val="center"/>
                </w:tcPr>
                <w:p w14:paraId="1736496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21" w:type="pct"/>
                  <w:vMerge w:val="continue"/>
                  <w:vAlign w:val="center"/>
                </w:tcPr>
                <w:p w14:paraId="63F2047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31" w:type="pct"/>
                  <w:vMerge w:val="continue"/>
                  <w:vAlign w:val="center"/>
                </w:tcPr>
                <w:p w14:paraId="799853C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493" w:type="pct"/>
                  <w:vAlign w:val="center"/>
                </w:tcPr>
                <w:p w14:paraId="1FBA9D9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氨氮</w:t>
                  </w:r>
                </w:p>
              </w:tc>
              <w:tc>
                <w:tcPr>
                  <w:tcW w:w="944" w:type="pct"/>
                  <w:shd w:val="clear" w:color="auto" w:fill="auto"/>
                  <w:vAlign w:val="center"/>
                </w:tcPr>
                <w:p w14:paraId="794B377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25</w:t>
                  </w:r>
                </w:p>
              </w:tc>
            </w:tr>
            <w:tr w14:paraId="39CF0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216" w:type="pct"/>
                  <w:vMerge w:val="continue"/>
                  <w:vAlign w:val="center"/>
                </w:tcPr>
                <w:p w14:paraId="16BFC2C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27" w:type="pct"/>
                  <w:vMerge w:val="continue"/>
                  <w:vAlign w:val="center"/>
                </w:tcPr>
                <w:p w14:paraId="0B39B1D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494" w:type="pct"/>
                  <w:vMerge w:val="continue"/>
                  <w:vAlign w:val="center"/>
                </w:tcPr>
                <w:p w14:paraId="7F76DAA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502" w:type="pct"/>
                  <w:vMerge w:val="continue"/>
                  <w:vAlign w:val="center"/>
                </w:tcPr>
                <w:p w14:paraId="40D4F09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42" w:type="pct"/>
                  <w:vMerge w:val="continue"/>
                  <w:vAlign w:val="center"/>
                </w:tcPr>
                <w:p w14:paraId="0826D09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467" w:type="pct"/>
                  <w:vMerge w:val="continue"/>
                  <w:vAlign w:val="center"/>
                </w:tcPr>
                <w:p w14:paraId="62526A8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559" w:type="pct"/>
                  <w:vMerge w:val="continue"/>
                  <w:vAlign w:val="center"/>
                </w:tcPr>
                <w:p w14:paraId="410CF35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21" w:type="pct"/>
                  <w:vMerge w:val="continue"/>
                  <w:vAlign w:val="center"/>
                </w:tcPr>
                <w:p w14:paraId="7E1D629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31" w:type="pct"/>
                  <w:vMerge w:val="continue"/>
                  <w:vAlign w:val="center"/>
                </w:tcPr>
                <w:p w14:paraId="67C2662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493" w:type="pct"/>
                  <w:shd w:val="clear" w:color="auto" w:fill="auto"/>
                  <w:vAlign w:val="center"/>
                </w:tcPr>
                <w:p w14:paraId="0C743ED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TP</w:t>
                  </w:r>
                </w:p>
              </w:tc>
              <w:tc>
                <w:tcPr>
                  <w:tcW w:w="944" w:type="pct"/>
                  <w:shd w:val="clear" w:color="auto" w:fill="auto"/>
                  <w:vAlign w:val="center"/>
                </w:tcPr>
                <w:p w14:paraId="43B5C92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3</w:t>
                  </w:r>
                </w:p>
              </w:tc>
            </w:tr>
            <w:tr w14:paraId="11B66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216" w:type="pct"/>
                  <w:vMerge w:val="continue"/>
                  <w:vAlign w:val="center"/>
                </w:tcPr>
                <w:p w14:paraId="296B06B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27" w:type="pct"/>
                  <w:vMerge w:val="continue"/>
                  <w:vAlign w:val="center"/>
                </w:tcPr>
                <w:p w14:paraId="40CBAFF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494" w:type="pct"/>
                  <w:vMerge w:val="continue"/>
                  <w:vAlign w:val="center"/>
                </w:tcPr>
                <w:p w14:paraId="5FBC0A7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502" w:type="pct"/>
                  <w:vMerge w:val="continue"/>
                  <w:vAlign w:val="center"/>
                </w:tcPr>
                <w:p w14:paraId="023774E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42" w:type="pct"/>
                  <w:vMerge w:val="continue"/>
                  <w:vAlign w:val="center"/>
                </w:tcPr>
                <w:p w14:paraId="2FD11FD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467" w:type="pct"/>
                  <w:vMerge w:val="continue"/>
                  <w:vAlign w:val="center"/>
                </w:tcPr>
                <w:p w14:paraId="2608CEB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559" w:type="pct"/>
                  <w:vMerge w:val="continue"/>
                  <w:vAlign w:val="center"/>
                </w:tcPr>
                <w:p w14:paraId="2340F2C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21" w:type="pct"/>
                  <w:vMerge w:val="continue"/>
                  <w:vAlign w:val="center"/>
                </w:tcPr>
                <w:p w14:paraId="2306AC1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331" w:type="pct"/>
                  <w:vMerge w:val="continue"/>
                  <w:vAlign w:val="center"/>
                </w:tcPr>
                <w:p w14:paraId="473FDDA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bCs/>
                      <w:kern w:val="0"/>
                      <w:sz w:val="21"/>
                      <w:szCs w:val="21"/>
                      <w:lang w:val="en-US" w:eastAsia="zh-CN" w:bidi="ar-SA"/>
                    </w:rPr>
                  </w:pPr>
                </w:p>
              </w:tc>
              <w:tc>
                <w:tcPr>
                  <w:tcW w:w="493" w:type="pct"/>
                  <w:vAlign w:val="center"/>
                </w:tcPr>
                <w:p w14:paraId="177D064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TN</w:t>
                  </w:r>
                </w:p>
              </w:tc>
              <w:tc>
                <w:tcPr>
                  <w:tcW w:w="944" w:type="pct"/>
                  <w:shd w:val="clear" w:color="auto" w:fill="auto"/>
                  <w:vAlign w:val="center"/>
                </w:tcPr>
                <w:p w14:paraId="00D9FA2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35</w:t>
                  </w:r>
                </w:p>
              </w:tc>
            </w:tr>
          </w:tbl>
          <w:p w14:paraId="52B7FE20">
            <w:pPr>
              <w:rPr>
                <w:rFonts w:hint="eastAsia"/>
                <w:vertAlign w:val="baseline"/>
                <w:lang w:eastAsia="zh-CN"/>
              </w:rPr>
            </w:pPr>
          </w:p>
          <w:p w14:paraId="2AA559C6">
            <w:pPr>
              <w:rPr>
                <w:rFonts w:hint="eastAsia"/>
                <w:vertAlign w:val="baseline"/>
                <w:lang w:eastAsia="zh-CN"/>
              </w:rPr>
            </w:pPr>
          </w:p>
          <w:p w14:paraId="3CCA32A2">
            <w:pPr>
              <w:rPr>
                <w:rFonts w:hint="eastAsia"/>
                <w:vertAlign w:val="baseline"/>
                <w:lang w:eastAsia="zh-CN"/>
              </w:rPr>
            </w:pPr>
          </w:p>
          <w:p w14:paraId="1F55B8EE">
            <w:pPr>
              <w:rPr>
                <w:rFonts w:hint="eastAsia"/>
                <w:vertAlign w:val="baseline"/>
                <w:lang w:eastAsia="zh-CN"/>
              </w:rPr>
            </w:pPr>
          </w:p>
          <w:p w14:paraId="220EDC4C">
            <w:pPr>
              <w:rPr>
                <w:rFonts w:hint="eastAsia"/>
                <w:vertAlign w:val="baseline"/>
                <w:lang w:eastAsia="zh-CN"/>
              </w:rPr>
            </w:pPr>
          </w:p>
          <w:p w14:paraId="3A2B6D8A">
            <w:pPr>
              <w:rPr>
                <w:rFonts w:hint="eastAsia"/>
                <w:vertAlign w:val="baseline"/>
                <w:lang w:eastAsia="zh-CN"/>
              </w:rPr>
            </w:pPr>
          </w:p>
          <w:p w14:paraId="435F8A31">
            <w:pPr>
              <w:rPr>
                <w:rFonts w:hint="eastAsia"/>
                <w:vertAlign w:val="baseline"/>
                <w:lang w:eastAsia="zh-CN"/>
              </w:rPr>
            </w:pPr>
          </w:p>
          <w:p w14:paraId="3F290740">
            <w:pPr>
              <w:rPr>
                <w:rFonts w:hint="eastAsia"/>
                <w:vertAlign w:val="baseline"/>
                <w:lang w:eastAsia="zh-CN"/>
              </w:rPr>
            </w:pPr>
          </w:p>
          <w:p w14:paraId="235AE5C6">
            <w:pPr>
              <w:rPr>
                <w:rFonts w:hint="eastAsia"/>
                <w:vertAlign w:val="baseline"/>
                <w:lang w:eastAsia="zh-CN"/>
              </w:rPr>
            </w:pPr>
          </w:p>
          <w:p w14:paraId="3222C184">
            <w:pPr>
              <w:rPr>
                <w:rFonts w:hint="eastAsia"/>
                <w:vertAlign w:val="baseline"/>
                <w:lang w:eastAsia="zh-CN"/>
              </w:rPr>
            </w:pPr>
          </w:p>
          <w:p w14:paraId="3BFADB68">
            <w:pPr>
              <w:rPr>
                <w:rFonts w:hint="eastAsia"/>
                <w:vertAlign w:val="baseline"/>
                <w:lang w:eastAsia="zh-CN"/>
              </w:rPr>
            </w:pPr>
          </w:p>
          <w:p w14:paraId="3363455D">
            <w:pPr>
              <w:rPr>
                <w:rFonts w:hint="eastAsia"/>
                <w:vertAlign w:val="baseline"/>
                <w:lang w:eastAsia="zh-CN"/>
              </w:rPr>
            </w:pPr>
          </w:p>
          <w:p w14:paraId="3F5C6F9D">
            <w:pPr>
              <w:rPr>
                <w:rFonts w:hint="eastAsia"/>
                <w:vertAlign w:val="baseline"/>
                <w:lang w:eastAsia="zh-CN"/>
              </w:rPr>
            </w:pPr>
          </w:p>
          <w:p w14:paraId="34708E7D">
            <w:pPr>
              <w:rPr>
                <w:rFonts w:hint="eastAsia" w:eastAsiaTheme="minorEastAsia"/>
                <w:vertAlign w:val="baseline"/>
                <w:lang w:eastAsia="zh-CN"/>
              </w:rPr>
            </w:pPr>
          </w:p>
        </w:tc>
      </w:tr>
    </w:tbl>
    <w:p w14:paraId="1AF3A21F">
      <w:pPr>
        <w:sectPr>
          <w:pgSz w:w="16838" w:h="11906" w:orient="landscape"/>
          <w:pgMar w:top="1417" w:right="1417" w:bottom="1417" w:left="1417" w:header="851" w:footer="992" w:gutter="0"/>
          <w:pgNumType w:fmt="decimal"/>
          <w:cols w:space="425" w:num="1"/>
          <w:docGrid w:type="lines" w:linePitch="312" w:charSpace="0"/>
        </w:sectPr>
      </w:pP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
        <w:gridCol w:w="8385"/>
      </w:tblGrid>
      <w:tr w14:paraId="4EBE9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5" w:type="pct"/>
          </w:tcPr>
          <w:p w14:paraId="014AA772">
            <w:pPr>
              <w:rPr>
                <w:vertAlign w:val="baseline"/>
              </w:rPr>
            </w:pPr>
          </w:p>
        </w:tc>
        <w:tc>
          <w:tcPr>
            <w:tcW w:w="4514" w:type="pct"/>
          </w:tcPr>
          <w:p w14:paraId="06C16B6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4、废水治理措施可行性</w:t>
            </w:r>
          </w:p>
          <w:p w14:paraId="211CF41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本项目无生产废水产生，生活污水依托园区化粪池处理后通过市政污水管网送至江南产业集中区第一污水处理厂处理。根据《排污许可证申请与核发技术规范 电子工业》（HJ1031—2019） 表B.2 电子工业排污单位废水防治可行技术参考表，生活污水主要污染项目为化学需氧量、氨氮等，推荐可行技术为“隔油池+化粪池”。本项目不提供食宿，生活污水采用化粪池处理可行。</w:t>
            </w:r>
          </w:p>
          <w:p w14:paraId="3A21ED8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sz w:val="24"/>
                <w:lang w:val="en-US" w:eastAsia="zh-CN"/>
              </w:rPr>
              <w:t>5</w:t>
            </w:r>
            <w:r>
              <w:rPr>
                <w:rFonts w:hint="default" w:ascii="Times New Roman" w:hAnsi="Times New Roman" w:eastAsia="宋体" w:cs="Times New Roman"/>
                <w:sz w:val="24"/>
                <w:lang w:val="en-US" w:eastAsia="zh-CN"/>
              </w:rPr>
              <w:t>、</w:t>
            </w:r>
            <w:r>
              <w:rPr>
                <w:rFonts w:hint="default" w:ascii="Times New Roman" w:hAnsi="Times New Roman" w:eastAsia="宋体" w:cs="Times New Roman"/>
                <w:sz w:val="24"/>
              </w:rPr>
              <w:t>依托</w:t>
            </w:r>
            <w:r>
              <w:rPr>
                <w:rFonts w:hint="eastAsia" w:ascii="Times New Roman" w:hAnsi="Times New Roman" w:eastAsia="宋体" w:cs="Times New Roman"/>
                <w:sz w:val="24"/>
                <w:lang w:val="en-US" w:eastAsia="zh-CN"/>
              </w:rPr>
              <w:t>江南产业集中区第一污水处理厂</w:t>
            </w:r>
            <w:r>
              <w:rPr>
                <w:rFonts w:hint="default" w:ascii="Times New Roman" w:hAnsi="Times New Roman" w:eastAsia="宋体" w:cs="Times New Roman"/>
                <w:sz w:val="24"/>
              </w:rPr>
              <w:t>的可行性分析</w:t>
            </w:r>
          </w:p>
          <w:p w14:paraId="496196F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b w:val="0"/>
                <w:bCs w:val="0"/>
                <w:sz w:val="24"/>
              </w:rPr>
            </w:pPr>
            <w:r>
              <w:rPr>
                <w:rFonts w:hint="eastAsia" w:ascii="Times New Roman" w:hAnsi="Times New Roman" w:eastAsia="宋体" w:cs="Times New Roman"/>
                <w:b w:val="0"/>
                <w:bCs w:val="0"/>
                <w:sz w:val="24"/>
                <w:lang w:eastAsia="zh-CN"/>
              </w:rPr>
              <w:t>（</w:t>
            </w:r>
            <w:r>
              <w:rPr>
                <w:rFonts w:hint="eastAsia" w:ascii="Times New Roman" w:hAnsi="Times New Roman" w:eastAsia="宋体" w:cs="Times New Roman"/>
                <w:b w:val="0"/>
                <w:bCs w:val="0"/>
                <w:sz w:val="24"/>
                <w:lang w:val="en-US" w:eastAsia="zh-CN"/>
              </w:rPr>
              <w:t>1</w:t>
            </w:r>
            <w:r>
              <w:rPr>
                <w:rFonts w:hint="eastAsia" w:ascii="Times New Roman" w:hAnsi="Times New Roman" w:eastAsia="宋体" w:cs="Times New Roman"/>
                <w:b w:val="0"/>
                <w:bCs w:val="0"/>
                <w:sz w:val="24"/>
                <w:lang w:eastAsia="zh-CN"/>
              </w:rPr>
              <w:t>）</w:t>
            </w:r>
            <w:r>
              <w:rPr>
                <w:rFonts w:hint="eastAsia" w:ascii="Times New Roman" w:hAnsi="Times New Roman" w:eastAsia="宋体" w:cs="Times New Roman"/>
                <w:sz w:val="24"/>
                <w:lang w:val="en-US" w:eastAsia="zh-CN"/>
              </w:rPr>
              <w:t>江南产业集中区第一污水处理厂</w:t>
            </w:r>
            <w:r>
              <w:rPr>
                <w:rFonts w:hint="default" w:ascii="Times New Roman" w:hAnsi="Times New Roman" w:eastAsia="宋体" w:cs="Times New Roman"/>
                <w:b w:val="0"/>
                <w:bCs w:val="0"/>
                <w:sz w:val="24"/>
              </w:rPr>
              <w:t>概况</w:t>
            </w:r>
          </w:p>
          <w:p w14:paraId="1F504E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b w:val="0"/>
                <w:bCs w:val="0"/>
                <w:sz w:val="24"/>
              </w:rPr>
            </w:pPr>
            <w:r>
              <w:rPr>
                <w:rFonts w:hint="eastAsia" w:ascii="Times New Roman" w:hAnsi="Times New Roman" w:eastAsia="宋体" w:cs="Times New Roman"/>
                <w:sz w:val="24"/>
                <w:lang w:val="en-US" w:eastAsia="zh-CN"/>
              </w:rPr>
              <w:t>江南产业集中区第一污水处理厂位于江南产业集中区，九华河东岸、龙腾大道南侧。根据集中区总体规划，第一污水处理厂规划远期总建设规模20万m</w:t>
            </w:r>
            <w:r>
              <w:rPr>
                <w:rFonts w:hint="eastAsia" w:ascii="Times New Roman" w:hAnsi="Times New Roman" w:eastAsia="宋体" w:cs="Times New Roman"/>
                <w:sz w:val="24"/>
                <w:vertAlign w:val="superscript"/>
                <w:lang w:val="en-US" w:eastAsia="zh-CN"/>
              </w:rPr>
              <w:t>3</w:t>
            </w:r>
            <w:r>
              <w:rPr>
                <w:rFonts w:hint="eastAsia" w:ascii="Times New Roman" w:hAnsi="Times New Roman" w:eastAsia="宋体" w:cs="Times New Roman"/>
                <w:sz w:val="24"/>
                <w:lang w:val="en-US" w:eastAsia="zh-CN"/>
              </w:rPr>
              <w:t>/d，需分期建设，总用地规模270.11亩，其中一期工程建设规模5万m</w:t>
            </w:r>
            <w:r>
              <w:rPr>
                <w:rFonts w:hint="eastAsia" w:ascii="Times New Roman" w:hAnsi="Times New Roman" w:eastAsia="宋体" w:cs="Times New Roman"/>
                <w:sz w:val="24"/>
                <w:vertAlign w:val="superscript"/>
                <w:lang w:val="en-US" w:eastAsia="zh-CN"/>
              </w:rPr>
              <w:t>3</w:t>
            </w:r>
            <w:r>
              <w:rPr>
                <w:rFonts w:hint="eastAsia" w:ascii="Times New Roman" w:hAnsi="Times New Roman" w:eastAsia="宋体" w:cs="Times New Roman"/>
                <w:sz w:val="24"/>
                <w:lang w:val="en-US" w:eastAsia="zh-CN"/>
              </w:rPr>
              <w:t>/d，分为两组，每组建设规模2.5万m</w:t>
            </w:r>
            <w:r>
              <w:rPr>
                <w:rFonts w:hint="eastAsia" w:ascii="Times New Roman" w:hAnsi="Times New Roman" w:eastAsia="宋体" w:cs="Times New Roman"/>
                <w:sz w:val="24"/>
                <w:vertAlign w:val="superscript"/>
                <w:lang w:val="en-US" w:eastAsia="zh-CN"/>
              </w:rPr>
              <w:t>3</w:t>
            </w:r>
            <w:r>
              <w:rPr>
                <w:rFonts w:hint="eastAsia" w:ascii="Times New Roman" w:hAnsi="Times New Roman" w:eastAsia="宋体" w:cs="Times New Roman"/>
                <w:sz w:val="24"/>
                <w:lang w:val="en-US" w:eastAsia="zh-CN"/>
              </w:rPr>
              <w:t>/d。一期工程已基本完成所有土建工程，目前一期一组2.5万m</w:t>
            </w:r>
            <w:r>
              <w:rPr>
                <w:rFonts w:hint="eastAsia" w:ascii="Times New Roman" w:hAnsi="Times New Roman" w:eastAsia="宋体" w:cs="Times New Roman"/>
                <w:sz w:val="24"/>
                <w:vertAlign w:val="superscript"/>
                <w:lang w:val="en-US" w:eastAsia="zh-CN"/>
              </w:rPr>
              <w:t>3</w:t>
            </w:r>
            <w:r>
              <w:rPr>
                <w:rFonts w:hint="eastAsia" w:ascii="Times New Roman" w:hAnsi="Times New Roman" w:eastAsia="宋体" w:cs="Times New Roman"/>
                <w:sz w:val="24"/>
                <w:lang w:val="en-US" w:eastAsia="zh-CN"/>
              </w:rPr>
              <w:t>/d设施已投入运行。第一污水处理厂采用“预处理+水解酸化池+改良型A</w:t>
            </w:r>
            <w:r>
              <w:rPr>
                <w:rFonts w:hint="eastAsia" w:ascii="Times New Roman" w:hAnsi="Times New Roman" w:eastAsia="宋体" w:cs="Times New Roman"/>
                <w:sz w:val="24"/>
                <w:vertAlign w:val="superscript"/>
                <w:lang w:val="en-US" w:eastAsia="zh-CN"/>
              </w:rPr>
              <w:t>2</w:t>
            </w:r>
            <w:r>
              <w:rPr>
                <w:rFonts w:hint="eastAsia" w:ascii="Times New Roman" w:hAnsi="Times New Roman" w:eastAsia="宋体" w:cs="Times New Roman"/>
                <w:sz w:val="24"/>
                <w:lang w:val="en-US" w:eastAsia="zh-CN"/>
              </w:rPr>
              <w:t>/O生化池+二沉池+BAF池+混合絮凝沉淀池+精密过滤池+紫外线消毒”工艺。污泥处理采用电渗透污泥干化技术工艺，臭气处理采用生物滤池工艺。尾水排放执行《城镇污水处理厂污染物排放标准》（GB18918-2002）中一级A标准，经九华河汇入长江。服务范围为江南集中区规划范围，江南产业集中区第一污水处理厂工艺流程图如下</w:t>
            </w:r>
            <w:r>
              <w:rPr>
                <w:rFonts w:hint="default" w:ascii="Times New Roman" w:hAnsi="Times New Roman" w:eastAsia="宋体" w:cs="Times New Roman"/>
                <w:b w:val="0"/>
                <w:bCs w:val="0"/>
                <w:sz w:val="24"/>
              </w:rPr>
              <w:t>。</w:t>
            </w:r>
          </w:p>
          <w:p w14:paraId="739292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b w:val="0"/>
                <w:bCs w:val="0"/>
                <w:sz w:val="24"/>
                <w:lang w:val="en-US" w:eastAsia="zh-CN"/>
              </w:rPr>
            </w:pPr>
            <w:r>
              <w:rPr>
                <w:color w:val="auto"/>
              </w:rPr>
              <w:drawing>
                <wp:inline distT="0" distB="0" distL="114300" distR="114300">
                  <wp:extent cx="4051935" cy="2415540"/>
                  <wp:effectExtent l="0" t="0" r="5715" b="3810"/>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10"/>
                          <a:stretch>
                            <a:fillRect/>
                          </a:stretch>
                        </pic:blipFill>
                        <pic:spPr>
                          <a:xfrm>
                            <a:off x="0" y="0"/>
                            <a:ext cx="4051935" cy="2415540"/>
                          </a:xfrm>
                          <a:prstGeom prst="rect">
                            <a:avLst/>
                          </a:prstGeom>
                          <a:noFill/>
                          <a:ln>
                            <a:noFill/>
                          </a:ln>
                        </pic:spPr>
                      </pic:pic>
                    </a:graphicData>
                  </a:graphic>
                </wp:inline>
              </w:drawing>
            </w:r>
          </w:p>
          <w:p w14:paraId="7BCF483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黑体" w:cs="Times New Roman"/>
                <w:b w:val="0"/>
                <w:bCs w:val="0"/>
                <w:sz w:val="21"/>
                <w:szCs w:val="21"/>
                <w:lang w:val="en-US" w:eastAsia="zh-CN"/>
              </w:rPr>
            </w:pPr>
            <w:r>
              <w:rPr>
                <w:rFonts w:hint="eastAsia" w:ascii="Times New Roman" w:hAnsi="Times New Roman" w:eastAsia="黑体" w:cs="Times New Roman"/>
                <w:b w:val="0"/>
                <w:bCs w:val="0"/>
                <w:sz w:val="21"/>
                <w:szCs w:val="21"/>
                <w:lang w:val="en-US" w:eastAsia="zh-CN"/>
              </w:rPr>
              <w:t>图4-1 江南产业集中区第一污水处理厂污水处理工艺流程图</w:t>
            </w:r>
          </w:p>
          <w:p w14:paraId="6BF5CDD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b w:val="0"/>
                <w:bCs w:val="0"/>
                <w:sz w:val="24"/>
              </w:rPr>
            </w:pPr>
            <w:r>
              <w:rPr>
                <w:rFonts w:hint="eastAsia" w:ascii="Times New Roman" w:hAnsi="Times New Roman" w:eastAsia="宋体" w:cs="Times New Roman"/>
                <w:b w:val="0"/>
                <w:bCs w:val="0"/>
                <w:sz w:val="24"/>
                <w:lang w:val="en-US" w:eastAsia="zh-CN"/>
              </w:rPr>
              <w:t>（2）</w:t>
            </w:r>
            <w:r>
              <w:rPr>
                <w:rFonts w:hint="default" w:ascii="Times New Roman" w:hAnsi="Times New Roman" w:eastAsia="宋体" w:cs="Times New Roman"/>
                <w:b w:val="0"/>
                <w:bCs w:val="0"/>
                <w:sz w:val="24"/>
              </w:rPr>
              <w:t>污水接管可行性和可靠性分析</w:t>
            </w:r>
          </w:p>
          <w:p w14:paraId="26FD53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t>收水范围：本项目位于皖江江南新兴产业集中区内，项目位置市政管网完备</w:t>
            </w:r>
            <w:r>
              <w:rPr>
                <w:rFonts w:hint="eastAsia" w:ascii="Times New Roman" w:hAnsi="Times New Roman" w:eastAsia="宋体" w:cs="Times New Roman"/>
                <w:b w:val="0"/>
                <w:bCs w:val="0"/>
                <w:sz w:val="24"/>
                <w:lang w:eastAsia="zh-CN"/>
              </w:rPr>
              <w:t>（</w:t>
            </w:r>
            <w:r>
              <w:rPr>
                <w:rFonts w:hint="eastAsia" w:ascii="Times New Roman" w:hAnsi="Times New Roman" w:eastAsia="宋体" w:cs="Times New Roman"/>
                <w:b w:val="0"/>
                <w:bCs w:val="0"/>
                <w:sz w:val="24"/>
                <w:lang w:val="en-US" w:eastAsia="zh-CN"/>
              </w:rPr>
              <w:t>详见附图10</w:t>
            </w:r>
            <w:r>
              <w:rPr>
                <w:rFonts w:hint="eastAsia" w:ascii="Times New Roman" w:hAnsi="Times New Roman" w:eastAsia="宋体" w:cs="Times New Roman"/>
                <w:b w:val="0"/>
                <w:bCs w:val="0"/>
                <w:sz w:val="24"/>
                <w:lang w:eastAsia="zh-CN"/>
              </w:rPr>
              <w:t>）</w:t>
            </w:r>
            <w:r>
              <w:rPr>
                <w:rFonts w:hint="default" w:ascii="Times New Roman" w:hAnsi="Times New Roman" w:eastAsia="宋体" w:cs="Times New Roman"/>
                <w:b w:val="0"/>
                <w:bCs w:val="0"/>
                <w:sz w:val="24"/>
              </w:rPr>
              <w:t>，因此废水能够通过市政污水管网进入江南产业集中区第一污水处理厂。</w:t>
            </w:r>
          </w:p>
          <w:p w14:paraId="0EBFB64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t>水量：本项目年新增废水排放量</w:t>
            </w:r>
            <w:r>
              <w:rPr>
                <w:rFonts w:hint="eastAsia" w:ascii="Times New Roman" w:hAnsi="Times New Roman" w:eastAsia="宋体" w:cs="Times New Roman"/>
                <w:b w:val="0"/>
                <w:bCs w:val="0"/>
                <w:sz w:val="24"/>
                <w:lang w:val="en-US" w:eastAsia="zh-CN"/>
              </w:rPr>
              <w:t>360t</w:t>
            </w:r>
            <w:r>
              <w:rPr>
                <w:rFonts w:hint="default" w:ascii="Times New Roman" w:hAnsi="Times New Roman" w:eastAsia="宋体" w:cs="Times New Roman"/>
                <w:b w:val="0"/>
                <w:bCs w:val="0"/>
                <w:sz w:val="24"/>
              </w:rPr>
              <w:t>/a（平均排放</w:t>
            </w:r>
            <w:r>
              <w:rPr>
                <w:rFonts w:hint="eastAsia" w:ascii="Times New Roman" w:hAnsi="Times New Roman" w:eastAsia="宋体" w:cs="Times New Roman"/>
                <w:b w:val="0"/>
                <w:bCs w:val="0"/>
                <w:sz w:val="24"/>
                <w:lang w:val="en-US" w:eastAsia="zh-CN"/>
              </w:rPr>
              <w:t>1.2t</w:t>
            </w:r>
            <w:r>
              <w:rPr>
                <w:rFonts w:hint="default" w:ascii="Times New Roman" w:hAnsi="Times New Roman" w:eastAsia="宋体" w:cs="Times New Roman"/>
                <w:b w:val="0"/>
                <w:bCs w:val="0"/>
                <w:sz w:val="24"/>
              </w:rPr>
              <w:t>/d），排放水量占第一污水处理厂一期</w:t>
            </w:r>
            <w:r>
              <w:rPr>
                <w:rFonts w:hint="eastAsia" w:ascii="Times New Roman" w:hAnsi="Times New Roman" w:eastAsia="宋体" w:cs="Times New Roman"/>
                <w:b w:val="0"/>
                <w:bCs w:val="0"/>
                <w:sz w:val="24"/>
                <w:lang w:val="en-US" w:eastAsia="zh-CN"/>
              </w:rPr>
              <w:t>一组</w:t>
            </w:r>
            <w:r>
              <w:rPr>
                <w:rFonts w:hint="default" w:ascii="Times New Roman" w:hAnsi="Times New Roman" w:eastAsia="宋体" w:cs="Times New Roman"/>
                <w:b w:val="0"/>
                <w:bCs w:val="0"/>
                <w:sz w:val="24"/>
              </w:rPr>
              <w:t>总处理规模（</w:t>
            </w:r>
            <w:r>
              <w:rPr>
                <w:rFonts w:hint="eastAsia" w:ascii="Times New Roman" w:hAnsi="Times New Roman" w:eastAsia="宋体" w:cs="Times New Roman"/>
                <w:b w:val="0"/>
                <w:bCs w:val="0"/>
                <w:sz w:val="24"/>
                <w:lang w:val="en-US" w:eastAsia="zh-CN"/>
              </w:rPr>
              <w:t>2.</w:t>
            </w:r>
            <w:r>
              <w:rPr>
                <w:rFonts w:hint="default" w:ascii="Times New Roman" w:hAnsi="Times New Roman" w:eastAsia="宋体" w:cs="Times New Roman"/>
                <w:b w:val="0"/>
                <w:bCs w:val="0"/>
                <w:sz w:val="24"/>
              </w:rPr>
              <w:t>5万m</w:t>
            </w:r>
            <w:r>
              <w:rPr>
                <w:rFonts w:hint="default" w:ascii="Times New Roman" w:hAnsi="Times New Roman" w:eastAsia="宋体" w:cs="Times New Roman"/>
                <w:b w:val="0"/>
                <w:bCs w:val="0"/>
                <w:sz w:val="24"/>
                <w:vertAlign w:val="superscript"/>
              </w:rPr>
              <w:t>3</w:t>
            </w:r>
            <w:r>
              <w:rPr>
                <w:rFonts w:hint="default" w:ascii="Times New Roman" w:hAnsi="Times New Roman" w:eastAsia="宋体" w:cs="Times New Roman"/>
                <w:b w:val="0"/>
                <w:bCs w:val="0"/>
                <w:sz w:val="24"/>
              </w:rPr>
              <w:t>/d）的0.</w:t>
            </w:r>
            <w:r>
              <w:rPr>
                <w:rFonts w:hint="eastAsia" w:ascii="Times New Roman" w:hAnsi="Times New Roman" w:eastAsia="宋体" w:cs="Times New Roman"/>
                <w:b w:val="0"/>
                <w:bCs w:val="0"/>
                <w:sz w:val="24"/>
                <w:lang w:val="en-US" w:eastAsia="zh-CN"/>
              </w:rPr>
              <w:t>0048</w:t>
            </w:r>
            <w:r>
              <w:rPr>
                <w:rFonts w:hint="default" w:ascii="Times New Roman" w:hAnsi="Times New Roman" w:eastAsia="宋体" w:cs="Times New Roman"/>
                <w:b w:val="0"/>
                <w:bCs w:val="0"/>
                <w:sz w:val="24"/>
              </w:rPr>
              <w:t>%，不会对第一污水处理厂造成冲击。</w:t>
            </w:r>
          </w:p>
          <w:p w14:paraId="6987CC7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t>水质：江南产业集中区第一污水处理厂承担规划范围内居民生活污水及工业园区工业废水，本项目外排废水为生活污水及生产废水，主要污染物为COD、</w:t>
            </w:r>
            <w:r>
              <w:rPr>
                <w:rFonts w:hint="eastAsia" w:ascii="Times New Roman" w:hAnsi="Times New Roman" w:eastAsia="宋体" w:cs="Times New Roman"/>
                <w:b w:val="0"/>
                <w:bCs w:val="0"/>
                <w:sz w:val="24"/>
                <w:lang w:val="en-US" w:eastAsia="zh-CN"/>
              </w:rPr>
              <w:t>BOD</w:t>
            </w:r>
            <w:r>
              <w:rPr>
                <w:rFonts w:hint="eastAsia" w:ascii="Times New Roman" w:hAnsi="Times New Roman" w:eastAsia="宋体" w:cs="Times New Roman"/>
                <w:b w:val="0"/>
                <w:bCs w:val="0"/>
                <w:sz w:val="24"/>
                <w:vertAlign w:val="subscript"/>
                <w:lang w:val="en-US" w:eastAsia="zh-CN"/>
              </w:rPr>
              <w:t>5</w:t>
            </w:r>
            <w:r>
              <w:rPr>
                <w:rFonts w:hint="eastAsia" w:ascii="Times New Roman" w:hAnsi="Times New Roman" w:eastAsia="宋体" w:cs="Times New Roman"/>
                <w:b w:val="0"/>
                <w:bCs w:val="0"/>
                <w:sz w:val="24"/>
                <w:lang w:val="en-US" w:eastAsia="zh-CN"/>
              </w:rPr>
              <w:t>、</w:t>
            </w:r>
            <w:r>
              <w:rPr>
                <w:rFonts w:hint="default" w:ascii="Times New Roman" w:hAnsi="Times New Roman" w:eastAsia="宋体" w:cs="Times New Roman"/>
                <w:b w:val="0"/>
                <w:bCs w:val="0"/>
                <w:sz w:val="24"/>
              </w:rPr>
              <w:t>氨氮、SS、</w:t>
            </w:r>
            <w:r>
              <w:rPr>
                <w:rFonts w:hint="eastAsia" w:ascii="Times New Roman" w:hAnsi="Times New Roman" w:eastAsia="宋体" w:cs="Times New Roman"/>
                <w:b w:val="0"/>
                <w:bCs w:val="0"/>
                <w:sz w:val="24"/>
                <w:lang w:val="en-US" w:eastAsia="zh-CN"/>
              </w:rPr>
              <w:t>TP、TN</w:t>
            </w:r>
            <w:r>
              <w:rPr>
                <w:rFonts w:hint="default" w:ascii="Times New Roman" w:hAnsi="Times New Roman" w:eastAsia="宋体" w:cs="Times New Roman"/>
                <w:b w:val="0"/>
                <w:bCs w:val="0"/>
                <w:sz w:val="24"/>
              </w:rPr>
              <w:t>，没有特殊的污染因子，因此本项目废水排入江南产业集中区第一污水处理厂后不会对其水质造成冲击，从水质角度接管是可行的。</w:t>
            </w:r>
          </w:p>
          <w:p w14:paraId="3B94F71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t>综上，本项目废水量较小，进入江南产业集中区第一污水处理厂深度处理达到排放标准后，对地表水体不会造成不利影响，满足环境管理要求。</w:t>
            </w:r>
          </w:p>
          <w:p w14:paraId="117BABB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b w:val="0"/>
                <w:bCs w:val="0"/>
                <w:sz w:val="24"/>
              </w:rPr>
            </w:pPr>
            <w:r>
              <w:rPr>
                <w:rFonts w:hint="eastAsia" w:ascii="Times New Roman" w:hAnsi="Times New Roman" w:eastAsia="宋体" w:cs="Times New Roman"/>
                <w:b w:val="0"/>
                <w:bCs w:val="0"/>
                <w:sz w:val="24"/>
                <w:lang w:val="en-US" w:eastAsia="zh-CN"/>
              </w:rPr>
              <w:t>6</w:t>
            </w:r>
            <w:r>
              <w:rPr>
                <w:rFonts w:hint="eastAsia" w:ascii="Times New Roman" w:hAnsi="Times New Roman" w:eastAsia="宋体" w:cs="Times New Roman"/>
                <w:b w:val="0"/>
                <w:bCs w:val="0"/>
                <w:sz w:val="24"/>
                <w:lang w:eastAsia="zh-CN"/>
              </w:rPr>
              <w:t>、</w:t>
            </w:r>
            <w:r>
              <w:rPr>
                <w:rFonts w:hint="default" w:ascii="Times New Roman" w:hAnsi="Times New Roman" w:eastAsia="宋体" w:cs="Times New Roman"/>
                <w:b w:val="0"/>
                <w:bCs w:val="0"/>
                <w:sz w:val="24"/>
              </w:rPr>
              <w:t>环境监测计划</w:t>
            </w:r>
          </w:p>
          <w:p w14:paraId="43C899F8">
            <w:pPr>
              <w:spacing w:line="360" w:lineRule="auto"/>
              <w:ind w:firstLine="480" w:firstLineChars="200"/>
              <w:rPr>
                <w:rFonts w:hint="default" w:ascii="Times New Roman" w:hAnsi="Times New Roman" w:eastAsia="黑体" w:cs="Times New Roman"/>
                <w:kern w:val="0"/>
                <w:sz w:val="21"/>
                <w:szCs w:val="21"/>
              </w:rPr>
            </w:pPr>
            <w:r>
              <w:rPr>
                <w:rFonts w:hint="default" w:ascii="Times New Roman" w:hAnsi="Times New Roman" w:eastAsia="宋体" w:cs="Times New Roman"/>
                <w:kern w:val="0"/>
                <w:sz w:val="24"/>
              </w:rPr>
              <w:t>根据《排污单位自行监测技术指南 电子工业》（HJ1253-2022）制定</w:t>
            </w:r>
            <w:r>
              <w:rPr>
                <w:rFonts w:hint="eastAsia" w:ascii="Times New Roman" w:hAnsi="Times New Roman" w:eastAsia="宋体" w:cs="Times New Roman"/>
                <w:kern w:val="0"/>
                <w:sz w:val="24"/>
                <w:lang w:val="en-US" w:eastAsia="zh-CN"/>
              </w:rPr>
              <w:t>废水</w:t>
            </w:r>
            <w:r>
              <w:rPr>
                <w:rFonts w:hint="default" w:ascii="Times New Roman" w:hAnsi="Times New Roman" w:eastAsia="宋体" w:cs="Times New Roman"/>
                <w:kern w:val="0"/>
                <w:sz w:val="24"/>
              </w:rPr>
              <w:t>监测计划，具体如下</w:t>
            </w:r>
            <w:r>
              <w:rPr>
                <w:rFonts w:hint="default" w:ascii="Times New Roman" w:hAnsi="Times New Roman" w:cs="Times New Roman"/>
                <w:bCs/>
                <w:sz w:val="24"/>
              </w:rPr>
              <w:t>。</w:t>
            </w:r>
          </w:p>
          <w:p w14:paraId="521D99D0">
            <w:pPr>
              <w:spacing w:line="360" w:lineRule="auto"/>
              <w:jc w:val="center"/>
              <w:rPr>
                <w:rFonts w:hint="default" w:ascii="Times New Roman" w:hAnsi="Times New Roman" w:eastAsia="黑体" w:cs="Times New Roman"/>
                <w:kern w:val="0"/>
                <w:sz w:val="21"/>
                <w:szCs w:val="21"/>
                <w:vertAlign w:val="baseline"/>
                <w:lang w:val="en-US" w:eastAsia="zh-CN"/>
              </w:rPr>
            </w:pPr>
            <w:r>
              <w:rPr>
                <w:rFonts w:hint="default" w:ascii="Times New Roman" w:hAnsi="Times New Roman" w:eastAsia="黑体" w:cs="Times New Roman"/>
                <w:kern w:val="0"/>
                <w:sz w:val="21"/>
                <w:szCs w:val="21"/>
              </w:rPr>
              <w:t>表</w:t>
            </w:r>
            <w:r>
              <w:rPr>
                <w:rFonts w:hint="eastAsia" w:ascii="Times New Roman" w:hAnsi="Times New Roman" w:eastAsia="黑体" w:cs="Times New Roman"/>
                <w:kern w:val="0"/>
                <w:sz w:val="21"/>
                <w:szCs w:val="21"/>
                <w:lang w:val="en-US" w:eastAsia="zh-CN"/>
              </w:rPr>
              <w:t>4-9</w:t>
            </w:r>
            <w:r>
              <w:rPr>
                <w:rFonts w:hint="default" w:ascii="Times New Roman" w:hAnsi="Times New Roman" w:eastAsia="黑体" w:cs="Times New Roman"/>
                <w:kern w:val="0"/>
                <w:sz w:val="21"/>
                <w:szCs w:val="21"/>
              </w:rPr>
              <w:t xml:space="preserve"> </w:t>
            </w:r>
            <w:r>
              <w:rPr>
                <w:rFonts w:hint="default" w:ascii="Times New Roman" w:hAnsi="Times New Roman" w:eastAsia="黑体" w:cs="Times New Roman"/>
                <w:kern w:val="0"/>
                <w:sz w:val="21"/>
                <w:szCs w:val="21"/>
                <w:lang w:val="en-US" w:eastAsia="zh-CN"/>
              </w:rPr>
              <w:t>运营期废</w:t>
            </w:r>
            <w:r>
              <w:rPr>
                <w:rFonts w:hint="eastAsia" w:ascii="Times New Roman" w:hAnsi="Times New Roman" w:eastAsia="黑体" w:cs="Times New Roman"/>
                <w:kern w:val="0"/>
                <w:sz w:val="21"/>
                <w:szCs w:val="21"/>
                <w:lang w:val="en-US" w:eastAsia="zh-CN"/>
              </w:rPr>
              <w:t>水</w:t>
            </w:r>
            <w:r>
              <w:rPr>
                <w:rFonts w:hint="default" w:ascii="Times New Roman" w:hAnsi="Times New Roman" w:eastAsia="黑体" w:cs="Times New Roman"/>
                <w:kern w:val="0"/>
                <w:sz w:val="21"/>
                <w:szCs w:val="21"/>
                <w:lang w:val="en-US" w:eastAsia="zh-CN"/>
              </w:rPr>
              <w:t>自行监测方案</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1"/>
              <w:gridCol w:w="1607"/>
              <w:gridCol w:w="3935"/>
              <w:gridCol w:w="1423"/>
            </w:tblGrid>
            <w:tr w14:paraId="67878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0" w:type="pct"/>
                  <w:vAlign w:val="center"/>
                </w:tcPr>
                <w:p w14:paraId="3193EA6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r>
                    <w:rPr>
                      <w:rFonts w:hint="default" w:ascii="Times New Roman" w:hAnsi="Times New Roman" w:eastAsia="宋体" w:cs="Times New Roman"/>
                      <w:kern w:val="0"/>
                      <w:sz w:val="21"/>
                      <w:szCs w:val="21"/>
                      <w:vertAlign w:val="baseline"/>
                      <w:lang w:val="en-US" w:eastAsia="zh-CN"/>
                    </w:rPr>
                    <w:t>监测类别</w:t>
                  </w:r>
                </w:p>
              </w:tc>
              <w:tc>
                <w:tcPr>
                  <w:tcW w:w="985" w:type="pct"/>
                  <w:vAlign w:val="center"/>
                </w:tcPr>
                <w:p w14:paraId="3DF185F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r>
                    <w:rPr>
                      <w:rFonts w:hint="default" w:ascii="Times New Roman" w:hAnsi="Times New Roman" w:eastAsia="宋体" w:cs="Times New Roman"/>
                      <w:kern w:val="0"/>
                      <w:sz w:val="21"/>
                      <w:szCs w:val="21"/>
                      <w:vertAlign w:val="baseline"/>
                      <w:lang w:val="en-US" w:eastAsia="zh-CN"/>
                    </w:rPr>
                    <w:t>监测位置</w:t>
                  </w:r>
                </w:p>
              </w:tc>
              <w:tc>
                <w:tcPr>
                  <w:tcW w:w="2412" w:type="pct"/>
                  <w:vAlign w:val="center"/>
                </w:tcPr>
                <w:p w14:paraId="0BD1B89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bidi="ar-SA"/>
                    </w:rPr>
                    <w:t>监测</w:t>
                  </w:r>
                  <w:r>
                    <w:rPr>
                      <w:rFonts w:hint="eastAsia" w:ascii="Times New Roman" w:hAnsi="Times New Roman" w:cs="Times New Roman"/>
                      <w:kern w:val="0"/>
                      <w:sz w:val="21"/>
                      <w:szCs w:val="21"/>
                      <w:lang w:val="en-US" w:eastAsia="zh-CN" w:bidi="ar-SA"/>
                    </w:rPr>
                    <w:t>因子</w:t>
                  </w:r>
                </w:p>
              </w:tc>
              <w:tc>
                <w:tcPr>
                  <w:tcW w:w="872" w:type="pct"/>
                  <w:vAlign w:val="center"/>
                </w:tcPr>
                <w:p w14:paraId="1C8E40B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kern w:val="0"/>
                      <w:sz w:val="21"/>
                      <w:szCs w:val="21"/>
                      <w:lang w:val="en-US" w:eastAsia="zh-CN" w:bidi="ar-SA"/>
                    </w:rPr>
                  </w:pPr>
                  <w:r>
                    <w:rPr>
                      <w:rFonts w:hint="default" w:ascii="Times New Roman" w:hAnsi="Times New Roman" w:cs="Times New Roman"/>
                      <w:kern w:val="0"/>
                      <w:sz w:val="21"/>
                      <w:szCs w:val="21"/>
                      <w:lang w:val="en-US" w:eastAsia="zh-CN" w:bidi="ar-SA"/>
                    </w:rPr>
                    <w:t>监测频</w:t>
                  </w:r>
                  <w:r>
                    <w:rPr>
                      <w:rFonts w:hint="eastAsia" w:ascii="Times New Roman" w:hAnsi="Times New Roman" w:cs="Times New Roman"/>
                      <w:kern w:val="0"/>
                      <w:sz w:val="21"/>
                      <w:szCs w:val="21"/>
                      <w:lang w:val="en-US" w:eastAsia="zh-CN" w:bidi="ar-SA"/>
                    </w:rPr>
                    <w:t>次</w:t>
                  </w:r>
                </w:p>
              </w:tc>
            </w:tr>
            <w:tr w14:paraId="550B6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0" w:type="pct"/>
                  <w:vAlign w:val="center"/>
                </w:tcPr>
                <w:p w14:paraId="33E4FBF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r>
                    <w:rPr>
                      <w:rFonts w:hint="default" w:ascii="Times New Roman" w:hAnsi="Times New Roman" w:eastAsia="宋体" w:cs="Times New Roman"/>
                      <w:kern w:val="0"/>
                      <w:sz w:val="21"/>
                      <w:szCs w:val="21"/>
                      <w:vertAlign w:val="baseline"/>
                      <w:lang w:val="en-US" w:eastAsia="zh-CN"/>
                    </w:rPr>
                    <w:t>废</w:t>
                  </w:r>
                  <w:r>
                    <w:rPr>
                      <w:rFonts w:hint="eastAsia" w:ascii="Times New Roman" w:hAnsi="Times New Roman" w:eastAsia="宋体" w:cs="Times New Roman"/>
                      <w:kern w:val="0"/>
                      <w:sz w:val="21"/>
                      <w:szCs w:val="21"/>
                      <w:vertAlign w:val="baseline"/>
                      <w:lang w:val="en-US" w:eastAsia="zh-CN"/>
                    </w:rPr>
                    <w:t>水</w:t>
                  </w:r>
                </w:p>
              </w:tc>
              <w:tc>
                <w:tcPr>
                  <w:tcW w:w="985" w:type="pct"/>
                  <w:vAlign w:val="center"/>
                </w:tcPr>
                <w:p w14:paraId="5D0D2E0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r>
                    <w:rPr>
                      <w:rFonts w:hint="eastAsia" w:ascii="Times New Roman" w:hAnsi="Times New Roman" w:eastAsia="宋体" w:cs="Times New Roman"/>
                      <w:kern w:val="0"/>
                      <w:sz w:val="21"/>
                      <w:szCs w:val="21"/>
                      <w:vertAlign w:val="baseline"/>
                      <w:lang w:val="en-US" w:eastAsia="zh-CN"/>
                    </w:rPr>
                    <w:t>废水总排口</w:t>
                  </w:r>
                </w:p>
              </w:tc>
              <w:tc>
                <w:tcPr>
                  <w:tcW w:w="2412" w:type="pct"/>
                  <w:vAlign w:val="center"/>
                </w:tcPr>
                <w:p w14:paraId="5780323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eastAsiaTheme="minorEastAsia"/>
                      <w:kern w:val="0"/>
                      <w:sz w:val="21"/>
                      <w:szCs w:val="21"/>
                      <w:lang w:val="en-US" w:eastAsia="zh-CN" w:bidi="ar-SA"/>
                    </w:rPr>
                    <w:t>pH、COD、BOD</w:t>
                  </w:r>
                  <w:r>
                    <w:rPr>
                      <w:rFonts w:hint="default" w:ascii="Times New Roman" w:hAnsi="Times New Roman" w:cs="Times New Roman" w:eastAsiaTheme="minorEastAsia"/>
                      <w:kern w:val="0"/>
                      <w:sz w:val="21"/>
                      <w:szCs w:val="21"/>
                      <w:vertAlign w:val="subscript"/>
                      <w:lang w:val="en-US" w:eastAsia="zh-CN" w:bidi="ar-SA"/>
                    </w:rPr>
                    <w:t>5</w:t>
                  </w:r>
                  <w:r>
                    <w:rPr>
                      <w:rFonts w:hint="default" w:ascii="Times New Roman" w:hAnsi="Times New Roman" w:cs="Times New Roman" w:eastAsiaTheme="minorEastAsia"/>
                      <w:kern w:val="0"/>
                      <w:sz w:val="21"/>
                      <w:szCs w:val="21"/>
                      <w:lang w:val="en-US" w:eastAsia="zh-CN" w:bidi="ar-SA"/>
                    </w:rPr>
                    <w:t>、SS、氨氮、TP、TN</w:t>
                  </w:r>
                </w:p>
              </w:tc>
              <w:tc>
                <w:tcPr>
                  <w:tcW w:w="872" w:type="pct"/>
                  <w:vAlign w:val="center"/>
                </w:tcPr>
                <w:p w14:paraId="044D9B5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bidi="ar-SA"/>
                    </w:rPr>
                    <w:t>1次/年</w:t>
                  </w:r>
                </w:p>
              </w:tc>
            </w:tr>
          </w:tbl>
          <w:p w14:paraId="6451121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rPr>
              <w:t>三、声环境影响分析</w:t>
            </w:r>
          </w:p>
          <w:p w14:paraId="0A276878">
            <w:pPr>
              <w:pStyle w:val="13"/>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rPr>
            </w:pPr>
            <w:r>
              <w:rPr>
                <w:rFonts w:hint="default" w:ascii="Times New Roman" w:hAnsi="Times New Roman" w:eastAsia="宋体" w:cs="Times New Roman"/>
                <w:b w:val="0"/>
                <w:bCs w:val="0"/>
                <w:sz w:val="24"/>
              </w:rPr>
              <w:t>1、源强及其他参数计算</w:t>
            </w:r>
          </w:p>
          <w:p w14:paraId="6D44D7F7">
            <w:pPr>
              <w:pStyle w:val="13"/>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sz w:val="24"/>
                <w:lang w:val="en-US"/>
              </w:rPr>
            </w:pPr>
            <w:r>
              <w:rPr>
                <w:rFonts w:hint="default" w:ascii="Times New Roman" w:hAnsi="Times New Roman" w:eastAsia="宋体" w:cs="Times New Roman"/>
                <w:b w:val="0"/>
                <w:bCs w:val="0"/>
                <w:sz w:val="24"/>
              </w:rPr>
              <w:t>本项目生产线主要噪声为</w:t>
            </w:r>
            <w:r>
              <w:rPr>
                <w:rFonts w:hint="eastAsia" w:ascii="Times New Roman" w:hAnsi="Times New Roman" w:eastAsia="宋体" w:cs="Times New Roman"/>
                <w:b w:val="0"/>
                <w:bCs w:val="0"/>
                <w:sz w:val="24"/>
                <w:lang w:val="en-US" w:eastAsia="zh-CN"/>
              </w:rPr>
              <w:t>全自动上板机、印刷机、贴片机、空气回流焊、电烙铁、空压机、风机</w:t>
            </w:r>
            <w:r>
              <w:rPr>
                <w:rFonts w:hint="default" w:ascii="Times New Roman" w:hAnsi="Times New Roman" w:eastAsia="宋体" w:cs="Times New Roman"/>
                <w:b w:val="0"/>
                <w:bCs w:val="0"/>
                <w:sz w:val="24"/>
              </w:rPr>
              <w:t>等生产设备及风机运行产生的机械噪声。声压级在</w:t>
            </w:r>
            <w:r>
              <w:rPr>
                <w:rFonts w:hint="eastAsia" w:ascii="Times New Roman" w:hAnsi="Times New Roman" w:eastAsia="宋体" w:cs="Times New Roman"/>
                <w:b w:val="0"/>
                <w:bCs w:val="0"/>
                <w:sz w:val="24"/>
                <w:lang w:val="en-US" w:eastAsia="zh-CN"/>
              </w:rPr>
              <w:t>60~85</w:t>
            </w:r>
            <w:r>
              <w:rPr>
                <w:rFonts w:hint="default" w:ascii="Times New Roman" w:hAnsi="Times New Roman" w:eastAsia="宋体" w:cs="Times New Roman"/>
                <w:b w:val="0"/>
                <w:bCs w:val="0"/>
                <w:sz w:val="24"/>
              </w:rPr>
              <w:t>dB（A）</w:t>
            </w:r>
            <w:r>
              <w:rPr>
                <w:rFonts w:hint="eastAsia" w:ascii="Times New Roman" w:hAnsi="Times New Roman" w:eastAsia="宋体" w:cs="Times New Roman"/>
                <w:b w:val="0"/>
                <w:bCs w:val="0"/>
                <w:sz w:val="24"/>
                <w:lang w:val="en-US" w:eastAsia="zh-CN"/>
              </w:rPr>
              <w:t>之间</w:t>
            </w:r>
            <w:r>
              <w:rPr>
                <w:rFonts w:hint="default" w:ascii="Times New Roman" w:hAnsi="Times New Roman" w:eastAsia="宋体" w:cs="Times New Roman"/>
                <w:b w:val="0"/>
                <w:bCs w:val="0"/>
                <w:sz w:val="24"/>
              </w:rPr>
              <w:t>。</w:t>
            </w:r>
            <w:r>
              <w:rPr>
                <w:rFonts w:hint="eastAsia" w:ascii="Times New Roman" w:hAnsi="Times New Roman" w:eastAsia="宋体" w:cs="Times New Roman"/>
                <w:b w:val="0"/>
                <w:bCs w:val="0"/>
                <w:sz w:val="24"/>
                <w:lang w:val="en-US" w:eastAsia="zh-CN"/>
              </w:rPr>
              <w:t>噪声源强见下表。</w:t>
            </w:r>
          </w:p>
          <w:p w14:paraId="707FA3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 xml:space="preserve">    </w:t>
            </w:r>
          </w:p>
          <w:p w14:paraId="06C70E6A">
            <w:pPr>
              <w:rPr>
                <w:rFonts w:hint="eastAsia"/>
                <w:vertAlign w:val="baseline"/>
                <w:lang w:eastAsia="zh-CN"/>
              </w:rPr>
            </w:pPr>
          </w:p>
          <w:p w14:paraId="533432EF">
            <w:pPr>
              <w:rPr>
                <w:rFonts w:hint="eastAsia"/>
                <w:vertAlign w:val="baseline"/>
                <w:lang w:eastAsia="zh-CN"/>
              </w:rPr>
            </w:pPr>
          </w:p>
          <w:p w14:paraId="00043953">
            <w:pPr>
              <w:rPr>
                <w:rFonts w:hint="eastAsia"/>
                <w:vertAlign w:val="baseline"/>
                <w:lang w:eastAsia="zh-CN"/>
              </w:rPr>
            </w:pPr>
          </w:p>
          <w:p w14:paraId="5CDD24AE">
            <w:pPr>
              <w:rPr>
                <w:rFonts w:hint="eastAsia"/>
                <w:vertAlign w:val="baseline"/>
                <w:lang w:eastAsia="zh-CN"/>
              </w:rPr>
            </w:pPr>
          </w:p>
          <w:p w14:paraId="545715C0">
            <w:pPr>
              <w:rPr>
                <w:rFonts w:hint="eastAsia"/>
                <w:vertAlign w:val="baseline"/>
                <w:lang w:eastAsia="zh-CN"/>
              </w:rPr>
            </w:pPr>
          </w:p>
          <w:p w14:paraId="42745E84">
            <w:pPr>
              <w:rPr>
                <w:rFonts w:hint="eastAsia"/>
                <w:vertAlign w:val="baseline"/>
                <w:lang w:eastAsia="zh-CN"/>
              </w:rPr>
            </w:pPr>
          </w:p>
          <w:p w14:paraId="3A04DBB6">
            <w:pPr>
              <w:rPr>
                <w:rFonts w:hint="eastAsia"/>
                <w:vertAlign w:val="baseline"/>
                <w:lang w:eastAsia="zh-CN"/>
              </w:rPr>
            </w:pPr>
          </w:p>
          <w:p w14:paraId="526D87BD">
            <w:pPr>
              <w:rPr>
                <w:rFonts w:hint="eastAsia" w:eastAsiaTheme="minorEastAsia"/>
                <w:vertAlign w:val="baseline"/>
                <w:lang w:eastAsia="zh-CN"/>
              </w:rPr>
            </w:pPr>
          </w:p>
        </w:tc>
      </w:tr>
    </w:tbl>
    <w:p w14:paraId="407CDCBD">
      <w:pPr>
        <w:sectPr>
          <w:pgSz w:w="11906" w:h="16838"/>
          <w:pgMar w:top="1417" w:right="1417" w:bottom="1417" w:left="1417" w:header="851" w:footer="992" w:gutter="0"/>
          <w:pgNumType w:fmt="decimal"/>
          <w:cols w:space="425" w:num="1"/>
          <w:docGrid w:type="lines" w:linePitch="312" w:charSpace="0"/>
        </w:sect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4"/>
      </w:tblGrid>
      <w:tr w14:paraId="60AD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4" w:type="dxa"/>
          </w:tcPr>
          <w:p w14:paraId="44AD1034">
            <w:pPr>
              <w:pStyle w:val="13"/>
              <w:shd w:val="clear"/>
              <w:spacing w:line="360" w:lineRule="auto"/>
              <w:ind w:left="0" w:leftChars="0" w:firstLine="0" w:firstLineChars="0"/>
              <w:jc w:val="center"/>
              <w:rPr>
                <w:rFonts w:hint="default" w:ascii="Times New Roman" w:hAnsi="Times New Roman" w:eastAsia="黑体" w:cs="Times New Roman"/>
                <w:b w:val="0"/>
                <w:bCs w:val="0"/>
                <w:sz w:val="21"/>
                <w:szCs w:val="21"/>
              </w:rPr>
            </w:pPr>
            <w:r>
              <w:rPr>
                <w:rFonts w:hint="default" w:ascii="Times New Roman" w:hAnsi="Times New Roman" w:eastAsia="黑体" w:cs="Times New Roman"/>
                <w:b w:val="0"/>
                <w:bCs w:val="0"/>
                <w:sz w:val="21"/>
                <w:szCs w:val="21"/>
              </w:rPr>
              <w:t>表</w:t>
            </w:r>
            <w:r>
              <w:rPr>
                <w:rFonts w:hint="eastAsia" w:ascii="Times New Roman" w:hAnsi="Times New Roman" w:eastAsia="黑体" w:cs="Times New Roman"/>
                <w:b w:val="0"/>
                <w:bCs w:val="0"/>
                <w:sz w:val="21"/>
                <w:szCs w:val="21"/>
                <w:lang w:val="en-US" w:eastAsia="zh-CN"/>
              </w:rPr>
              <w:t>4-10</w:t>
            </w:r>
            <w:r>
              <w:rPr>
                <w:rFonts w:hint="default" w:ascii="Times New Roman" w:hAnsi="Times New Roman" w:eastAsia="黑体" w:cs="Times New Roman"/>
                <w:b w:val="0"/>
                <w:bCs w:val="0"/>
                <w:sz w:val="21"/>
                <w:szCs w:val="21"/>
              </w:rPr>
              <w:t xml:space="preserve"> 项目噪声源强一览表（室内声源）</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425"/>
              <w:gridCol w:w="872"/>
              <w:gridCol w:w="984"/>
              <w:gridCol w:w="634"/>
              <w:gridCol w:w="810"/>
              <w:gridCol w:w="634"/>
              <w:gridCol w:w="651"/>
              <w:gridCol w:w="651"/>
              <w:gridCol w:w="430"/>
              <w:gridCol w:w="433"/>
              <w:gridCol w:w="433"/>
              <w:gridCol w:w="433"/>
              <w:gridCol w:w="433"/>
              <w:gridCol w:w="433"/>
              <w:gridCol w:w="433"/>
              <w:gridCol w:w="433"/>
              <w:gridCol w:w="437"/>
              <w:gridCol w:w="646"/>
              <w:gridCol w:w="724"/>
              <w:gridCol w:w="447"/>
              <w:gridCol w:w="447"/>
              <w:gridCol w:w="447"/>
              <w:gridCol w:w="450"/>
              <w:gridCol w:w="803"/>
            </w:tblGrid>
            <w:tr w14:paraId="1EBB7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52" w:type="pct"/>
                  <w:vMerge w:val="restart"/>
                  <w:noWrap w:val="0"/>
                  <w:vAlign w:val="center"/>
                </w:tcPr>
                <w:p w14:paraId="588A50F4">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序号</w:t>
                  </w:r>
                </w:p>
              </w:tc>
              <w:tc>
                <w:tcPr>
                  <w:tcW w:w="152" w:type="pct"/>
                  <w:vMerge w:val="restart"/>
                  <w:noWrap w:val="0"/>
                  <w:vAlign w:val="center"/>
                </w:tcPr>
                <w:p w14:paraId="1B734EF4">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建筑物</w:t>
                  </w:r>
                </w:p>
                <w:p w14:paraId="02DFD342">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名称</w:t>
                  </w:r>
                </w:p>
              </w:tc>
              <w:tc>
                <w:tcPr>
                  <w:tcW w:w="312" w:type="pct"/>
                  <w:vMerge w:val="restart"/>
                  <w:noWrap w:val="0"/>
                  <w:vAlign w:val="center"/>
                </w:tcPr>
                <w:p w14:paraId="64340036">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声源名称</w:t>
                  </w:r>
                </w:p>
              </w:tc>
              <w:tc>
                <w:tcPr>
                  <w:tcW w:w="352" w:type="pct"/>
                  <w:vMerge w:val="restart"/>
                  <w:noWrap w:val="0"/>
                  <w:vAlign w:val="center"/>
                </w:tcPr>
                <w:p w14:paraId="34AECDB2">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型号</w:t>
                  </w:r>
                </w:p>
              </w:tc>
              <w:tc>
                <w:tcPr>
                  <w:tcW w:w="227" w:type="pct"/>
                  <w:vMerge w:val="restart"/>
                  <w:noWrap w:val="0"/>
                  <w:vAlign w:val="center"/>
                </w:tcPr>
                <w:p w14:paraId="2F263F47">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数量（台/套）</w:t>
                  </w:r>
                </w:p>
              </w:tc>
              <w:tc>
                <w:tcPr>
                  <w:tcW w:w="290" w:type="pct"/>
                  <w:vMerge w:val="restart"/>
                  <w:noWrap w:val="0"/>
                  <w:vAlign w:val="center"/>
                </w:tcPr>
                <w:p w14:paraId="2F05D305">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单台声压级/dB(A)</w:t>
                  </w:r>
                </w:p>
              </w:tc>
              <w:tc>
                <w:tcPr>
                  <w:tcW w:w="227" w:type="pct"/>
                  <w:vMerge w:val="restart"/>
                  <w:noWrap w:val="0"/>
                  <w:vAlign w:val="center"/>
                </w:tcPr>
                <w:p w14:paraId="5F471646">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声源控制措施</w:t>
                  </w:r>
                </w:p>
              </w:tc>
              <w:tc>
                <w:tcPr>
                  <w:tcW w:w="620" w:type="pct"/>
                  <w:gridSpan w:val="3"/>
                  <w:noWrap w:val="0"/>
                  <w:vAlign w:val="center"/>
                </w:tcPr>
                <w:p w14:paraId="21DBAE60">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空间相对位置（m）</w:t>
                  </w:r>
                </w:p>
              </w:tc>
              <w:tc>
                <w:tcPr>
                  <w:tcW w:w="620" w:type="pct"/>
                  <w:gridSpan w:val="4"/>
                  <w:noWrap w:val="0"/>
                  <w:vAlign w:val="center"/>
                </w:tcPr>
                <w:p w14:paraId="0A43A1A0">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距室内边界距离/m</w:t>
                  </w:r>
                </w:p>
              </w:tc>
              <w:tc>
                <w:tcPr>
                  <w:tcW w:w="622" w:type="pct"/>
                  <w:gridSpan w:val="4"/>
                  <w:noWrap w:val="0"/>
                  <w:vAlign w:val="center"/>
                </w:tcPr>
                <w:p w14:paraId="4C6FEEEB">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室内边界声级/dB（A）</w:t>
                  </w:r>
                  <w:bookmarkStart w:id="0" w:name="OLE_LINK187"/>
                </w:p>
              </w:tc>
              <w:tc>
                <w:tcPr>
                  <w:tcW w:w="231" w:type="pct"/>
                  <w:vMerge w:val="restart"/>
                  <w:noWrap w:val="0"/>
                  <w:vAlign w:val="center"/>
                </w:tcPr>
                <w:p w14:paraId="4BB6D86F">
                  <w:pPr>
                    <w:keepNext w:val="0"/>
                    <w:keepLines w:val="0"/>
                    <w:pageBreakBefore w:val="0"/>
                    <w:widowControl/>
                    <w:kinsoku/>
                    <w:wordWrap/>
                    <w:overflowPunct/>
                    <w:topLinePunct w:val="0"/>
                    <w:bidi w:val="0"/>
                    <w:snapToGrid/>
                    <w:spacing w:line="360" w:lineRule="exact"/>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运行</w:t>
                  </w:r>
                </w:p>
                <w:p w14:paraId="59AE02E0">
                  <w:pPr>
                    <w:keepNext w:val="0"/>
                    <w:keepLines w:val="0"/>
                    <w:pageBreakBefore w:val="0"/>
                    <w:widowControl/>
                    <w:kinsoku/>
                    <w:wordWrap/>
                    <w:overflowPunct/>
                    <w:topLinePunct w:val="0"/>
                    <w:bidi w:val="0"/>
                    <w:snapToGrid/>
                    <w:spacing w:line="360" w:lineRule="exact"/>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时段</w:t>
                  </w:r>
                  <w:bookmarkEnd w:id="0"/>
                </w:p>
              </w:tc>
              <w:tc>
                <w:tcPr>
                  <w:tcW w:w="259" w:type="pct"/>
                  <w:vMerge w:val="restart"/>
                  <w:noWrap w:val="0"/>
                  <w:vAlign w:val="center"/>
                </w:tcPr>
                <w:p w14:paraId="4EEF15F4">
                  <w:pPr>
                    <w:keepNext w:val="0"/>
                    <w:keepLines w:val="0"/>
                    <w:pageBreakBefore w:val="0"/>
                    <w:widowControl/>
                    <w:kinsoku/>
                    <w:wordWrap/>
                    <w:overflowPunct/>
                    <w:topLinePunct w:val="0"/>
                    <w:bidi w:val="0"/>
                    <w:snapToGrid/>
                    <w:spacing w:line="360" w:lineRule="exact"/>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建筑物插入损/</w:t>
                  </w:r>
                  <w:r>
                    <w:rPr>
                      <w:rFonts w:hint="default" w:ascii="Times New Roman" w:hAnsi="Times New Roman" w:eastAsia="宋体" w:cs="Times New Roman"/>
                      <w:b w:val="0"/>
                      <w:bCs w:val="0"/>
                      <w:color w:val="000000" w:themeColor="text1"/>
                      <w:sz w:val="21"/>
                      <w:szCs w:val="21"/>
                      <w14:textFill>
                        <w14:solidFill>
                          <w14:schemeClr w14:val="tx1"/>
                        </w14:solidFill>
                      </w14:textFill>
                    </w:rPr>
                    <w:t>dB(A)</w:t>
                  </w:r>
                </w:p>
              </w:tc>
              <w:tc>
                <w:tcPr>
                  <w:tcW w:w="929" w:type="pct"/>
                  <w:gridSpan w:val="5"/>
                  <w:noWrap w:val="0"/>
                  <w:vAlign w:val="center"/>
                </w:tcPr>
                <w:p w14:paraId="1018BDA7">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建筑物外噪声</w:t>
                  </w:r>
                </w:p>
              </w:tc>
            </w:tr>
            <w:tr w14:paraId="77A40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52" w:type="pct"/>
                  <w:vMerge w:val="continue"/>
                  <w:noWrap w:val="0"/>
                  <w:vAlign w:val="center"/>
                </w:tcPr>
                <w:p w14:paraId="34236647">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152" w:type="pct"/>
                  <w:vMerge w:val="continue"/>
                  <w:noWrap w:val="0"/>
                  <w:vAlign w:val="center"/>
                </w:tcPr>
                <w:p w14:paraId="1457CEB1">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312" w:type="pct"/>
                  <w:vMerge w:val="continue"/>
                  <w:noWrap w:val="0"/>
                  <w:vAlign w:val="center"/>
                </w:tcPr>
                <w:p w14:paraId="13068BCC">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352" w:type="pct"/>
                  <w:vMerge w:val="continue"/>
                  <w:noWrap w:val="0"/>
                  <w:vAlign w:val="center"/>
                </w:tcPr>
                <w:p w14:paraId="4A4F8921">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227" w:type="pct"/>
                  <w:vMerge w:val="continue"/>
                  <w:noWrap w:val="0"/>
                  <w:vAlign w:val="center"/>
                </w:tcPr>
                <w:p w14:paraId="016F3ACE">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290" w:type="pct"/>
                  <w:vMerge w:val="continue"/>
                  <w:noWrap w:val="0"/>
                  <w:vAlign w:val="center"/>
                </w:tcPr>
                <w:p w14:paraId="5209AA27">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227" w:type="pct"/>
                  <w:vMerge w:val="continue"/>
                  <w:noWrap w:val="0"/>
                  <w:vAlign w:val="center"/>
                </w:tcPr>
                <w:p w14:paraId="5CD696D1">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233" w:type="pct"/>
                  <w:vMerge w:val="restart"/>
                  <w:noWrap w:val="0"/>
                  <w:vAlign w:val="center"/>
                </w:tcPr>
                <w:p w14:paraId="1231D543">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X</w:t>
                  </w:r>
                </w:p>
              </w:tc>
              <w:tc>
                <w:tcPr>
                  <w:tcW w:w="233" w:type="pct"/>
                  <w:vMerge w:val="restart"/>
                  <w:noWrap w:val="0"/>
                  <w:vAlign w:val="center"/>
                </w:tcPr>
                <w:p w14:paraId="06A347E6">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Y</w:t>
                  </w:r>
                </w:p>
              </w:tc>
              <w:tc>
                <w:tcPr>
                  <w:tcW w:w="154" w:type="pct"/>
                  <w:vMerge w:val="restart"/>
                  <w:noWrap w:val="0"/>
                  <w:vAlign w:val="center"/>
                </w:tcPr>
                <w:p w14:paraId="4B8F2D27">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Z</w:t>
                  </w:r>
                </w:p>
              </w:tc>
              <w:tc>
                <w:tcPr>
                  <w:tcW w:w="155" w:type="pct"/>
                  <w:vMerge w:val="restart"/>
                  <w:noWrap w:val="0"/>
                  <w:vAlign w:val="center"/>
                </w:tcPr>
                <w:p w14:paraId="0D4080EC">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东</w:t>
                  </w:r>
                </w:p>
              </w:tc>
              <w:tc>
                <w:tcPr>
                  <w:tcW w:w="155" w:type="pct"/>
                  <w:vMerge w:val="restart"/>
                  <w:noWrap w:val="0"/>
                  <w:vAlign w:val="center"/>
                </w:tcPr>
                <w:p w14:paraId="7EA7D04A">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南</w:t>
                  </w:r>
                </w:p>
              </w:tc>
              <w:tc>
                <w:tcPr>
                  <w:tcW w:w="155" w:type="pct"/>
                  <w:vMerge w:val="restart"/>
                  <w:noWrap w:val="0"/>
                  <w:vAlign w:val="center"/>
                </w:tcPr>
                <w:p w14:paraId="3D1A19A8">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西</w:t>
                  </w:r>
                </w:p>
              </w:tc>
              <w:tc>
                <w:tcPr>
                  <w:tcW w:w="155" w:type="pct"/>
                  <w:vMerge w:val="restart"/>
                  <w:noWrap w:val="0"/>
                  <w:vAlign w:val="center"/>
                </w:tcPr>
                <w:p w14:paraId="0D22328C">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北</w:t>
                  </w:r>
                </w:p>
              </w:tc>
              <w:tc>
                <w:tcPr>
                  <w:tcW w:w="155" w:type="pct"/>
                  <w:vMerge w:val="restart"/>
                  <w:noWrap w:val="0"/>
                  <w:vAlign w:val="center"/>
                </w:tcPr>
                <w:p w14:paraId="455C6F49">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东</w:t>
                  </w:r>
                </w:p>
              </w:tc>
              <w:tc>
                <w:tcPr>
                  <w:tcW w:w="155" w:type="pct"/>
                  <w:vMerge w:val="restart"/>
                  <w:noWrap w:val="0"/>
                  <w:vAlign w:val="center"/>
                </w:tcPr>
                <w:p w14:paraId="5F734539">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南</w:t>
                  </w:r>
                </w:p>
              </w:tc>
              <w:tc>
                <w:tcPr>
                  <w:tcW w:w="155" w:type="pct"/>
                  <w:vMerge w:val="restart"/>
                  <w:noWrap w:val="0"/>
                  <w:vAlign w:val="center"/>
                </w:tcPr>
                <w:p w14:paraId="073A1ED5">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西</w:t>
                  </w:r>
                </w:p>
              </w:tc>
              <w:tc>
                <w:tcPr>
                  <w:tcW w:w="156" w:type="pct"/>
                  <w:vMerge w:val="restart"/>
                  <w:noWrap w:val="0"/>
                  <w:vAlign w:val="center"/>
                </w:tcPr>
                <w:p w14:paraId="4E1D3430">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北</w:t>
                  </w:r>
                </w:p>
              </w:tc>
              <w:tc>
                <w:tcPr>
                  <w:tcW w:w="231" w:type="pct"/>
                  <w:vMerge w:val="continue"/>
                  <w:noWrap w:val="0"/>
                  <w:vAlign w:val="center"/>
                </w:tcPr>
                <w:p w14:paraId="60B946CB">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259" w:type="pct"/>
                  <w:vMerge w:val="continue"/>
                  <w:noWrap w:val="0"/>
                  <w:vAlign w:val="center"/>
                </w:tcPr>
                <w:p w14:paraId="696A8395">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642" w:type="pct"/>
                  <w:gridSpan w:val="4"/>
                  <w:noWrap w:val="0"/>
                  <w:vAlign w:val="center"/>
                </w:tcPr>
                <w:p w14:paraId="65E2B9DF">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声压级/dB(A)</w:t>
                  </w:r>
                </w:p>
              </w:tc>
              <w:tc>
                <w:tcPr>
                  <w:tcW w:w="287" w:type="pct"/>
                  <w:vMerge w:val="restart"/>
                  <w:noWrap w:val="0"/>
                  <w:vAlign w:val="center"/>
                </w:tcPr>
                <w:p w14:paraId="5F24EACE">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建筑物外距离（m）</w:t>
                  </w:r>
                </w:p>
              </w:tc>
            </w:tr>
            <w:tr w14:paraId="53A0D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52" w:type="pct"/>
                  <w:vMerge w:val="continue"/>
                  <w:noWrap w:val="0"/>
                  <w:vAlign w:val="center"/>
                </w:tcPr>
                <w:p w14:paraId="764BBEC7">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152" w:type="pct"/>
                  <w:vMerge w:val="continue"/>
                  <w:noWrap w:val="0"/>
                  <w:vAlign w:val="center"/>
                </w:tcPr>
                <w:p w14:paraId="3653A126">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312" w:type="pct"/>
                  <w:vMerge w:val="continue"/>
                  <w:noWrap w:val="0"/>
                  <w:vAlign w:val="center"/>
                </w:tcPr>
                <w:p w14:paraId="4241B0D2">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352" w:type="pct"/>
                  <w:vMerge w:val="continue"/>
                  <w:noWrap w:val="0"/>
                  <w:vAlign w:val="center"/>
                </w:tcPr>
                <w:p w14:paraId="0FF513B5">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27" w:type="pct"/>
                  <w:vMerge w:val="continue"/>
                  <w:noWrap w:val="0"/>
                  <w:vAlign w:val="center"/>
                </w:tcPr>
                <w:p w14:paraId="20929EE5">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90" w:type="pct"/>
                  <w:vMerge w:val="continue"/>
                  <w:noWrap w:val="0"/>
                  <w:vAlign w:val="center"/>
                </w:tcPr>
                <w:p w14:paraId="223683E5">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27" w:type="pct"/>
                  <w:vMerge w:val="continue"/>
                  <w:noWrap w:val="0"/>
                  <w:vAlign w:val="center"/>
                </w:tcPr>
                <w:p w14:paraId="575ABB35">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33" w:type="pct"/>
                  <w:vMerge w:val="continue"/>
                  <w:noWrap w:val="0"/>
                  <w:vAlign w:val="center"/>
                </w:tcPr>
                <w:p w14:paraId="1B4B6AE3">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33" w:type="pct"/>
                  <w:vMerge w:val="continue"/>
                  <w:noWrap w:val="0"/>
                  <w:vAlign w:val="center"/>
                </w:tcPr>
                <w:p w14:paraId="4A060A6D">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154" w:type="pct"/>
                  <w:vMerge w:val="continue"/>
                  <w:noWrap w:val="0"/>
                  <w:vAlign w:val="center"/>
                </w:tcPr>
                <w:p w14:paraId="4A183FFE">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155" w:type="pct"/>
                  <w:vMerge w:val="continue"/>
                  <w:noWrap w:val="0"/>
                  <w:vAlign w:val="center"/>
                </w:tcPr>
                <w:p w14:paraId="0F9EE492">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155" w:type="pct"/>
                  <w:vMerge w:val="continue"/>
                  <w:noWrap w:val="0"/>
                  <w:vAlign w:val="center"/>
                </w:tcPr>
                <w:p w14:paraId="5C2FEE8A">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155" w:type="pct"/>
                  <w:vMerge w:val="continue"/>
                  <w:noWrap w:val="0"/>
                  <w:vAlign w:val="center"/>
                </w:tcPr>
                <w:p w14:paraId="70AF9D0E">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155" w:type="pct"/>
                  <w:vMerge w:val="continue"/>
                  <w:noWrap w:val="0"/>
                  <w:vAlign w:val="center"/>
                </w:tcPr>
                <w:p w14:paraId="79D95949">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155" w:type="pct"/>
                  <w:vMerge w:val="continue"/>
                  <w:noWrap w:val="0"/>
                  <w:vAlign w:val="center"/>
                </w:tcPr>
                <w:p w14:paraId="5411C8C2">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155" w:type="pct"/>
                  <w:vMerge w:val="continue"/>
                  <w:noWrap w:val="0"/>
                  <w:vAlign w:val="center"/>
                </w:tcPr>
                <w:p w14:paraId="53274F0F">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155" w:type="pct"/>
                  <w:vMerge w:val="continue"/>
                  <w:noWrap w:val="0"/>
                  <w:vAlign w:val="center"/>
                </w:tcPr>
                <w:p w14:paraId="60A72BB9">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156" w:type="pct"/>
                  <w:vMerge w:val="continue"/>
                  <w:noWrap w:val="0"/>
                  <w:vAlign w:val="center"/>
                </w:tcPr>
                <w:p w14:paraId="4263708E">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31" w:type="pct"/>
                  <w:vMerge w:val="continue"/>
                  <w:noWrap w:val="0"/>
                  <w:vAlign w:val="center"/>
                </w:tcPr>
                <w:p w14:paraId="54E61DEF">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259" w:type="pct"/>
                  <w:vMerge w:val="continue"/>
                  <w:noWrap w:val="0"/>
                  <w:vAlign w:val="center"/>
                </w:tcPr>
                <w:p w14:paraId="33E1F935">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p>
              </w:tc>
              <w:tc>
                <w:tcPr>
                  <w:tcW w:w="160" w:type="pct"/>
                  <w:noWrap w:val="0"/>
                  <w:vAlign w:val="center"/>
                </w:tcPr>
                <w:p w14:paraId="2853DC44">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东</w:t>
                  </w:r>
                </w:p>
              </w:tc>
              <w:tc>
                <w:tcPr>
                  <w:tcW w:w="160" w:type="pct"/>
                  <w:noWrap w:val="0"/>
                  <w:vAlign w:val="center"/>
                </w:tcPr>
                <w:p w14:paraId="544B4D32">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南</w:t>
                  </w:r>
                </w:p>
              </w:tc>
              <w:tc>
                <w:tcPr>
                  <w:tcW w:w="160" w:type="pct"/>
                  <w:noWrap w:val="0"/>
                  <w:vAlign w:val="center"/>
                </w:tcPr>
                <w:p w14:paraId="3889B3EA">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西</w:t>
                  </w:r>
                </w:p>
              </w:tc>
              <w:tc>
                <w:tcPr>
                  <w:tcW w:w="161" w:type="pct"/>
                  <w:noWrap w:val="0"/>
                  <w:vAlign w:val="center"/>
                </w:tcPr>
                <w:p w14:paraId="7912FD8D">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北</w:t>
                  </w:r>
                </w:p>
              </w:tc>
              <w:tc>
                <w:tcPr>
                  <w:tcW w:w="287" w:type="pct"/>
                  <w:vMerge w:val="continue"/>
                  <w:noWrap w:val="0"/>
                  <w:vAlign w:val="center"/>
                </w:tcPr>
                <w:p w14:paraId="5B66C455">
                  <w:pPr>
                    <w:keepNext w:val="0"/>
                    <w:keepLines w:val="0"/>
                    <w:pageBreakBefore w:val="0"/>
                    <w:widowControl/>
                    <w:kinsoku/>
                    <w:wordWrap/>
                    <w:overflowPunct/>
                    <w:topLinePunct w:val="0"/>
                    <w:bidi w:val="0"/>
                    <w:adjustRightInd w:val="0"/>
                    <w:snapToGrid/>
                    <w:spacing w:before="100" w:beforeAutospacing="1" w:after="100" w:afterAutospacing="1"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r>
            <w:tr w14:paraId="05072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52" w:type="pct"/>
                  <w:noWrap w:val="0"/>
                  <w:vAlign w:val="center"/>
                </w:tcPr>
                <w:p w14:paraId="36E9A588">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bookmarkStart w:id="1" w:name="OLE_LINK210" w:colFirst="7" w:colLast="71"/>
                  <w:bookmarkStart w:id="2" w:name="OLE_LINK209" w:colFirst="7" w:colLast="71"/>
                  <w:bookmarkStart w:id="3" w:name="OLE_LINK207" w:colFirst="5" w:colLast="69"/>
                  <w:bookmarkStart w:id="4" w:name="OLE_LINK95" w:colFirst="7" w:colLast="71"/>
                  <w:bookmarkStart w:id="5" w:name="_Hlk108167590"/>
                  <w:bookmarkStart w:id="6" w:name="OLE_LINK28" w:colFirst="7" w:colLast="71"/>
                  <w:bookmarkStart w:id="7" w:name="OLE_LINK96" w:colFirst="5" w:colLast="69"/>
                  <w:bookmarkStart w:id="8" w:name="OLE_LINK208" w:colFirst="5" w:colLast="69"/>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1</w:t>
                  </w:r>
                </w:p>
              </w:tc>
              <w:tc>
                <w:tcPr>
                  <w:tcW w:w="152" w:type="pct"/>
                  <w:vMerge w:val="restart"/>
                  <w:noWrap w:val="0"/>
                  <w:vAlign w:val="center"/>
                </w:tcPr>
                <w:p w14:paraId="5D4D1BF8">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生产</w:t>
                  </w:r>
                </w:p>
                <w:p w14:paraId="5736CA00">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厂房</w:t>
                  </w:r>
                </w:p>
              </w:tc>
              <w:tc>
                <w:tcPr>
                  <w:tcW w:w="312" w:type="pct"/>
                  <w:noWrap w:val="0"/>
                  <w:vAlign w:val="center"/>
                </w:tcPr>
                <w:p w14:paraId="7AD68C56">
                  <w:pPr>
                    <w:keepNext w:val="0"/>
                    <w:keepLines w:val="0"/>
                    <w:pageBreakBefore w:val="0"/>
                    <w:kinsoku/>
                    <w:wordWrap/>
                    <w:overflowPunct/>
                    <w:topLinePunct w:val="0"/>
                    <w:bidi w:val="0"/>
                    <w:snapToGrid/>
                    <w:spacing w:line="360" w:lineRule="exact"/>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eastAsia" w:ascii="Times New Roman" w:hAnsi="Times New Roman" w:eastAsia="宋体" w:cs="Times New Roman"/>
                      <w:sz w:val="21"/>
                      <w:szCs w:val="21"/>
                      <w:lang w:val="en-US" w:eastAsia="zh-CN"/>
                    </w:rPr>
                    <w:t>全自动上板机</w:t>
                  </w:r>
                </w:p>
              </w:tc>
              <w:tc>
                <w:tcPr>
                  <w:tcW w:w="352" w:type="pct"/>
                  <w:noWrap w:val="0"/>
                  <w:vAlign w:val="center"/>
                </w:tcPr>
                <w:p w14:paraId="76CE7655">
                  <w:pPr>
                    <w:keepNext w:val="0"/>
                    <w:keepLines w:val="0"/>
                    <w:pageBreakBefore w:val="0"/>
                    <w:kinsoku/>
                    <w:wordWrap/>
                    <w:overflowPunct/>
                    <w:topLinePunct w:val="0"/>
                    <w:bidi w:val="0"/>
                    <w:snapToGrid/>
                    <w:spacing w:line="360" w:lineRule="exact"/>
                    <w:jc w:val="center"/>
                    <w:rPr>
                      <w:rFonts w:hint="default" w:ascii="Times New Roman" w:hAnsi="Times New Roman" w:eastAsia="宋体" w:cs="Times New Roman"/>
                      <w:b w:val="0"/>
                      <w:bCs w:val="0"/>
                      <w:color w:val="000000" w:themeColor="text1"/>
                      <w:kern w:val="0"/>
                      <w:sz w:val="21"/>
                      <w:szCs w:val="21"/>
                      <w:lang w:eastAsia="zh-CN" w:bidi="ar"/>
                      <w14:textFill>
                        <w14:solidFill>
                          <w14:schemeClr w14:val="tx1"/>
                        </w14:solidFill>
                      </w14:textFill>
                    </w:rPr>
                  </w:pPr>
                  <w:r>
                    <w:rPr>
                      <w:rFonts w:hint="eastAsia" w:ascii="Times New Roman" w:hAnsi="Times New Roman" w:eastAsia="宋体" w:cs="Times New Roman"/>
                      <w:kern w:val="2"/>
                      <w:sz w:val="21"/>
                      <w:szCs w:val="21"/>
                      <w:lang w:val="en-US" w:eastAsia="zh-CN" w:bidi="ar-SA"/>
                    </w:rPr>
                    <w:t>FS-390</w:t>
                  </w:r>
                </w:p>
              </w:tc>
              <w:tc>
                <w:tcPr>
                  <w:tcW w:w="227" w:type="pct"/>
                  <w:noWrap w:val="0"/>
                  <w:vAlign w:val="center"/>
                </w:tcPr>
                <w:p w14:paraId="6EF3FDC1">
                  <w:pPr>
                    <w:keepNext w:val="0"/>
                    <w:keepLines w:val="0"/>
                    <w:pageBreakBefore w:val="0"/>
                    <w:kinsoku/>
                    <w:wordWrap/>
                    <w:overflowPunct/>
                    <w:topLinePunct w:val="0"/>
                    <w:bidi w:val="0"/>
                    <w:snapToGrid/>
                    <w:spacing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eastAsia" w:ascii="Times New Roman" w:hAnsi="Times New Roman" w:eastAsia="宋体" w:cs="Times New Roman"/>
                      <w:kern w:val="2"/>
                      <w:sz w:val="21"/>
                      <w:szCs w:val="21"/>
                      <w:lang w:val="en-US" w:eastAsia="zh-CN" w:bidi="ar-SA"/>
                    </w:rPr>
                    <w:t>1</w:t>
                  </w:r>
                </w:p>
              </w:tc>
              <w:tc>
                <w:tcPr>
                  <w:tcW w:w="290" w:type="pct"/>
                  <w:noWrap w:val="0"/>
                  <w:vAlign w:val="center"/>
                </w:tcPr>
                <w:p w14:paraId="4962CE48">
                  <w:pPr>
                    <w:pStyle w:val="51"/>
                    <w:keepNext w:val="0"/>
                    <w:keepLines w:val="0"/>
                    <w:pageBreakBefore w:val="0"/>
                    <w:widowControl w:val="0"/>
                    <w:kinsoku/>
                    <w:wordWrap/>
                    <w:overflowPunct/>
                    <w:topLinePunct w:val="0"/>
                    <w:bidi w:val="0"/>
                    <w:adjustRightInd/>
                    <w:snapToGrid/>
                    <w:spacing w:line="360" w:lineRule="exact"/>
                    <w:jc w:val="cente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cs="Times New Roman"/>
                      <w:color w:val="000000"/>
                      <w:sz w:val="21"/>
                      <w:szCs w:val="21"/>
                      <w:lang w:val="en-US" w:eastAsia="zh-CN"/>
                    </w:rPr>
                    <w:t>70</w:t>
                  </w:r>
                </w:p>
              </w:tc>
              <w:tc>
                <w:tcPr>
                  <w:tcW w:w="227" w:type="pct"/>
                  <w:vMerge w:val="restart"/>
                  <w:noWrap w:val="0"/>
                  <w:vAlign w:val="center"/>
                </w:tcPr>
                <w:p w14:paraId="3DC6457E">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隔声、减振</w:t>
                  </w:r>
                </w:p>
                <w:p w14:paraId="309E5707">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233" w:type="pct"/>
                  <w:shd w:val="clear" w:color="auto" w:fill="auto"/>
                  <w:noWrap w:val="0"/>
                  <w:vAlign w:val="center"/>
                </w:tcPr>
                <w:p w14:paraId="2E950651">
                  <w:pPr>
                    <w:pStyle w:val="16"/>
                    <w:keepNext w:val="0"/>
                    <w:keepLines w:val="0"/>
                    <w:pageBreakBefore w:val="0"/>
                    <w:kinsoku/>
                    <w:wordWrap/>
                    <w:overflowPunct/>
                    <w:topLinePunct w:val="0"/>
                    <w:bidi w:val="0"/>
                    <w:adjustRightInd/>
                    <w:snapToGrid/>
                    <w:spacing w:line="360" w:lineRule="exact"/>
                    <w:jc w:val="center"/>
                    <w:rPr>
                      <w:rFonts w:hint="default" w:ascii="Times New Roman" w:hAnsi="Times New Roman" w:eastAsia="宋体" w:cs="Times New Roman"/>
                      <w:b w:val="0"/>
                      <w:bCs w:val="0"/>
                      <w:snapToGrid w:val="0"/>
                      <w:color w:val="000000" w:themeColor="text1"/>
                      <w:kern w:val="0"/>
                      <w:sz w:val="21"/>
                      <w:szCs w:val="21"/>
                      <w:lang w:val="en-US" w:eastAsia="zh-CN" w:bidi="ar-SA"/>
                      <w14:textFill>
                        <w14:solidFill>
                          <w14:schemeClr w14:val="tx1"/>
                        </w14:solidFill>
                      </w14:textFill>
                    </w:rPr>
                  </w:pPr>
                  <w:r>
                    <w:rPr>
                      <w:rFonts w:hint="eastAsia" w:ascii="Times New Roman" w:hAnsi="Times New Roman" w:cs="Times New Roman"/>
                      <w:color w:val="000000"/>
                      <w:sz w:val="21"/>
                      <w:szCs w:val="21"/>
                      <w:lang w:val="en-US" w:eastAsia="zh-CN"/>
                    </w:rPr>
                    <w:t>28</w:t>
                  </w:r>
                </w:p>
              </w:tc>
              <w:tc>
                <w:tcPr>
                  <w:tcW w:w="233" w:type="pct"/>
                  <w:shd w:val="clear" w:color="auto" w:fill="auto"/>
                  <w:noWrap w:val="0"/>
                  <w:vAlign w:val="center"/>
                </w:tcPr>
                <w:p w14:paraId="329DA931">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29</w:t>
                  </w:r>
                </w:p>
              </w:tc>
              <w:tc>
                <w:tcPr>
                  <w:tcW w:w="154" w:type="pct"/>
                  <w:shd w:val="clear" w:color="auto" w:fill="auto"/>
                  <w:noWrap w:val="0"/>
                  <w:vAlign w:val="center"/>
                </w:tcPr>
                <w:p w14:paraId="7EC55041">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16</w:t>
                  </w:r>
                </w:p>
              </w:tc>
              <w:tc>
                <w:tcPr>
                  <w:tcW w:w="155" w:type="pct"/>
                  <w:shd w:val="clear" w:color="auto" w:fill="auto"/>
                  <w:noWrap w:val="0"/>
                  <w:vAlign w:val="center"/>
                </w:tcPr>
                <w:p w14:paraId="34E1A099">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9</w:t>
                  </w:r>
                </w:p>
              </w:tc>
              <w:tc>
                <w:tcPr>
                  <w:tcW w:w="155" w:type="pct"/>
                  <w:noWrap w:val="0"/>
                  <w:vAlign w:val="center"/>
                </w:tcPr>
                <w:p w14:paraId="6821CF53">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28</w:t>
                  </w:r>
                </w:p>
              </w:tc>
              <w:tc>
                <w:tcPr>
                  <w:tcW w:w="155" w:type="pct"/>
                  <w:noWrap w:val="0"/>
                  <w:vAlign w:val="center"/>
                </w:tcPr>
                <w:p w14:paraId="49DE33F6">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31</w:t>
                  </w:r>
                </w:p>
              </w:tc>
              <w:tc>
                <w:tcPr>
                  <w:tcW w:w="155" w:type="pct"/>
                  <w:noWrap w:val="0"/>
                  <w:vAlign w:val="center"/>
                </w:tcPr>
                <w:p w14:paraId="6BCDC321">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37</w:t>
                  </w:r>
                </w:p>
              </w:tc>
              <w:tc>
                <w:tcPr>
                  <w:tcW w:w="155" w:type="pct"/>
                  <w:noWrap w:val="0"/>
                  <w:vAlign w:val="center"/>
                </w:tcPr>
                <w:p w14:paraId="3B64093B">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51</w:t>
                  </w:r>
                </w:p>
              </w:tc>
              <w:tc>
                <w:tcPr>
                  <w:tcW w:w="155" w:type="pct"/>
                  <w:noWrap w:val="0"/>
                  <w:vAlign w:val="center"/>
                </w:tcPr>
                <w:p w14:paraId="53FC09C3">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41</w:t>
                  </w:r>
                </w:p>
              </w:tc>
              <w:tc>
                <w:tcPr>
                  <w:tcW w:w="155" w:type="pct"/>
                  <w:noWrap w:val="0"/>
                  <w:vAlign w:val="center"/>
                </w:tcPr>
                <w:p w14:paraId="4A4D6EAC">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40</w:t>
                  </w:r>
                </w:p>
              </w:tc>
              <w:tc>
                <w:tcPr>
                  <w:tcW w:w="156" w:type="pct"/>
                  <w:noWrap w:val="0"/>
                  <w:vAlign w:val="center"/>
                </w:tcPr>
                <w:p w14:paraId="1B140A9E">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39</w:t>
                  </w:r>
                </w:p>
              </w:tc>
              <w:tc>
                <w:tcPr>
                  <w:tcW w:w="231" w:type="pct"/>
                  <w:vMerge w:val="restart"/>
                  <w:noWrap w:val="0"/>
                  <w:vAlign w:val="center"/>
                </w:tcPr>
                <w:p w14:paraId="5970D3A9">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6</w:t>
                  </w: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:00~</w:t>
                  </w:r>
                  <w: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次日6</w:t>
                  </w: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:00</w:t>
                  </w:r>
                </w:p>
              </w:tc>
              <w:tc>
                <w:tcPr>
                  <w:tcW w:w="259" w:type="pct"/>
                  <w:noWrap w:val="0"/>
                  <w:vAlign w:val="center"/>
                </w:tcPr>
                <w:p w14:paraId="7324FAEF">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pPr>
                  <w:r>
                    <w:rPr>
                      <w:rFonts w:hint="eastAsia"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15</w:t>
                  </w:r>
                </w:p>
              </w:tc>
              <w:tc>
                <w:tcPr>
                  <w:tcW w:w="160" w:type="pct"/>
                  <w:noWrap w:val="0"/>
                  <w:vAlign w:val="center"/>
                </w:tcPr>
                <w:p w14:paraId="7D837A6D">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36</w:t>
                  </w:r>
                </w:p>
              </w:tc>
              <w:tc>
                <w:tcPr>
                  <w:tcW w:w="160" w:type="pct"/>
                  <w:noWrap w:val="0"/>
                  <w:vAlign w:val="center"/>
                </w:tcPr>
                <w:p w14:paraId="15A2706D">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26</w:t>
                  </w:r>
                </w:p>
              </w:tc>
              <w:tc>
                <w:tcPr>
                  <w:tcW w:w="160" w:type="pct"/>
                  <w:noWrap w:val="0"/>
                  <w:vAlign w:val="center"/>
                </w:tcPr>
                <w:p w14:paraId="17F033B7">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25</w:t>
                  </w:r>
                </w:p>
              </w:tc>
              <w:tc>
                <w:tcPr>
                  <w:tcW w:w="161" w:type="pct"/>
                  <w:noWrap w:val="0"/>
                  <w:vAlign w:val="center"/>
                </w:tcPr>
                <w:p w14:paraId="5F4278CF">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24</w:t>
                  </w:r>
                </w:p>
              </w:tc>
              <w:tc>
                <w:tcPr>
                  <w:tcW w:w="287" w:type="pct"/>
                  <w:noWrap w:val="0"/>
                  <w:vAlign w:val="center"/>
                </w:tcPr>
                <w:p w14:paraId="1A8F83DF">
                  <w:pPr>
                    <w:keepNext w:val="0"/>
                    <w:keepLines w:val="0"/>
                    <w:pageBreakBefore w:val="0"/>
                    <w:widowControl/>
                    <w:kinsoku/>
                    <w:wordWrap/>
                    <w:overflowPunct/>
                    <w:topLinePunct w:val="0"/>
                    <w:bidi w:val="0"/>
                    <w:snapToGrid/>
                    <w:spacing w:line="360" w:lineRule="exact"/>
                    <w:jc w:val="center"/>
                    <w:textAlignment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1</w:t>
                  </w:r>
                </w:p>
              </w:tc>
            </w:tr>
            <w:tr w14:paraId="679C9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52" w:type="pct"/>
                  <w:noWrap w:val="0"/>
                  <w:vAlign w:val="center"/>
                </w:tcPr>
                <w:p w14:paraId="01F253EB">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2</w:t>
                  </w:r>
                </w:p>
              </w:tc>
              <w:tc>
                <w:tcPr>
                  <w:tcW w:w="152" w:type="pct"/>
                  <w:vMerge w:val="continue"/>
                  <w:noWrap w:val="0"/>
                  <w:vAlign w:val="center"/>
                </w:tcPr>
                <w:p w14:paraId="1CE272E5">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312" w:type="pct"/>
                  <w:noWrap w:val="0"/>
                  <w:vAlign w:val="center"/>
                </w:tcPr>
                <w:p w14:paraId="640C2F7E">
                  <w:pPr>
                    <w:keepNext w:val="0"/>
                    <w:keepLines w:val="0"/>
                    <w:pageBreakBefore w:val="0"/>
                    <w:kinsoku/>
                    <w:wordWrap/>
                    <w:overflowPunct/>
                    <w:topLinePunct w:val="0"/>
                    <w:bidi w:val="0"/>
                    <w:snapToGrid/>
                    <w:spacing w:line="360" w:lineRule="exact"/>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eastAsia" w:ascii="Times New Roman" w:hAnsi="Times New Roman" w:eastAsia="宋体" w:cs="Times New Roman"/>
                      <w:sz w:val="21"/>
                      <w:szCs w:val="21"/>
                      <w:lang w:val="en-US" w:eastAsia="zh-CN"/>
                    </w:rPr>
                    <w:t>印刷机</w:t>
                  </w:r>
                </w:p>
              </w:tc>
              <w:tc>
                <w:tcPr>
                  <w:tcW w:w="352" w:type="pct"/>
                  <w:noWrap w:val="0"/>
                  <w:vAlign w:val="center"/>
                </w:tcPr>
                <w:p w14:paraId="2040FA48">
                  <w:pPr>
                    <w:keepNext w:val="0"/>
                    <w:keepLines w:val="0"/>
                    <w:pageBreakBefore w:val="0"/>
                    <w:kinsoku/>
                    <w:wordWrap/>
                    <w:overflowPunct/>
                    <w:topLinePunct w:val="0"/>
                    <w:bidi w:val="0"/>
                    <w:snapToGrid/>
                    <w:spacing w:line="360" w:lineRule="exact"/>
                    <w:jc w:val="center"/>
                    <w:rPr>
                      <w:rFonts w:hint="default" w:ascii="Times New Roman" w:hAnsi="Times New Roman" w:eastAsia="宋体" w:cs="Times New Roman"/>
                      <w:b w:val="0"/>
                      <w:bCs w:val="0"/>
                      <w:color w:val="000000" w:themeColor="text1"/>
                      <w:kern w:val="0"/>
                      <w:sz w:val="21"/>
                      <w:szCs w:val="21"/>
                      <w:lang w:eastAsia="zh-CN" w:bidi="ar"/>
                      <w14:textFill>
                        <w14:solidFill>
                          <w14:schemeClr w14:val="tx1"/>
                        </w14:solidFill>
                      </w14:textFill>
                    </w:rPr>
                  </w:pPr>
                  <w:r>
                    <w:rPr>
                      <w:rFonts w:hint="eastAsia" w:ascii="Times New Roman" w:hAnsi="Times New Roman" w:eastAsia="宋体" w:cs="Times New Roman"/>
                      <w:kern w:val="2"/>
                      <w:sz w:val="21"/>
                      <w:szCs w:val="21"/>
                      <w:lang w:val="en-US" w:eastAsia="zh-CN" w:bidi="ar-SA"/>
                    </w:rPr>
                    <w:t>CP-500</w:t>
                  </w:r>
                </w:p>
              </w:tc>
              <w:tc>
                <w:tcPr>
                  <w:tcW w:w="227" w:type="pct"/>
                  <w:noWrap w:val="0"/>
                  <w:vAlign w:val="center"/>
                </w:tcPr>
                <w:p w14:paraId="08D3A59E">
                  <w:pPr>
                    <w:keepNext w:val="0"/>
                    <w:keepLines w:val="0"/>
                    <w:pageBreakBefore w:val="0"/>
                    <w:kinsoku/>
                    <w:wordWrap/>
                    <w:overflowPunct/>
                    <w:topLinePunct w:val="0"/>
                    <w:bidi w:val="0"/>
                    <w:snapToGrid/>
                    <w:spacing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eastAsia" w:ascii="Times New Roman" w:hAnsi="Times New Roman" w:eastAsia="宋体" w:cs="Times New Roman"/>
                      <w:kern w:val="2"/>
                      <w:sz w:val="21"/>
                      <w:szCs w:val="21"/>
                      <w:lang w:val="en-US" w:eastAsia="zh-CN" w:bidi="ar-SA"/>
                    </w:rPr>
                    <w:t>1</w:t>
                  </w:r>
                </w:p>
              </w:tc>
              <w:tc>
                <w:tcPr>
                  <w:tcW w:w="290" w:type="pct"/>
                  <w:noWrap w:val="0"/>
                  <w:vAlign w:val="center"/>
                </w:tcPr>
                <w:p w14:paraId="1E813E3F">
                  <w:pPr>
                    <w:pStyle w:val="51"/>
                    <w:keepNext w:val="0"/>
                    <w:keepLines w:val="0"/>
                    <w:pageBreakBefore w:val="0"/>
                    <w:widowControl w:val="0"/>
                    <w:kinsoku/>
                    <w:wordWrap/>
                    <w:overflowPunct/>
                    <w:topLinePunct w:val="0"/>
                    <w:bidi w:val="0"/>
                    <w:adjustRightInd/>
                    <w:snapToGrid/>
                    <w:spacing w:line="360" w:lineRule="exact"/>
                    <w:jc w:val="cente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cs="Times New Roman"/>
                      <w:color w:val="000000"/>
                      <w:sz w:val="21"/>
                      <w:szCs w:val="21"/>
                      <w:lang w:val="en-US" w:eastAsia="zh-CN"/>
                    </w:rPr>
                    <w:t>70</w:t>
                  </w:r>
                </w:p>
              </w:tc>
              <w:tc>
                <w:tcPr>
                  <w:tcW w:w="227" w:type="pct"/>
                  <w:vMerge w:val="continue"/>
                  <w:noWrap w:val="0"/>
                  <w:vAlign w:val="center"/>
                </w:tcPr>
                <w:p w14:paraId="52273C40">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233" w:type="pct"/>
                  <w:shd w:val="clear" w:color="auto" w:fill="auto"/>
                  <w:noWrap w:val="0"/>
                  <w:vAlign w:val="center"/>
                </w:tcPr>
                <w:p w14:paraId="2CA8AAC0">
                  <w:pPr>
                    <w:pStyle w:val="16"/>
                    <w:keepNext w:val="0"/>
                    <w:keepLines w:val="0"/>
                    <w:pageBreakBefore w:val="0"/>
                    <w:kinsoku/>
                    <w:wordWrap/>
                    <w:overflowPunct/>
                    <w:topLinePunct w:val="0"/>
                    <w:bidi w:val="0"/>
                    <w:adjustRightInd/>
                    <w:snapToGrid/>
                    <w:spacing w:line="360" w:lineRule="exact"/>
                    <w:jc w:val="center"/>
                    <w:rPr>
                      <w:rFonts w:hint="default" w:ascii="Times New Roman" w:hAnsi="Times New Roman" w:eastAsia="宋体" w:cs="Times New Roman"/>
                      <w:b w:val="0"/>
                      <w:bCs w:val="0"/>
                      <w:snapToGrid w:val="0"/>
                      <w:color w:val="000000" w:themeColor="text1"/>
                      <w:kern w:val="0"/>
                      <w:sz w:val="21"/>
                      <w:szCs w:val="21"/>
                      <w:lang w:val="en-US" w:eastAsia="zh-CN" w:bidi="ar-SA"/>
                      <w14:textFill>
                        <w14:solidFill>
                          <w14:schemeClr w14:val="tx1"/>
                        </w14:solidFill>
                      </w14:textFill>
                    </w:rPr>
                  </w:pPr>
                  <w:r>
                    <w:rPr>
                      <w:rFonts w:hint="eastAsia" w:ascii="Times New Roman" w:hAnsi="Times New Roman" w:cs="Times New Roman"/>
                      <w:color w:val="000000"/>
                      <w:sz w:val="21"/>
                      <w:szCs w:val="21"/>
                      <w:lang w:val="en-US" w:eastAsia="zh-CN"/>
                    </w:rPr>
                    <w:t>28</w:t>
                  </w:r>
                </w:p>
              </w:tc>
              <w:tc>
                <w:tcPr>
                  <w:tcW w:w="233" w:type="pct"/>
                  <w:shd w:val="clear" w:color="auto" w:fill="auto"/>
                  <w:noWrap w:val="0"/>
                  <w:vAlign w:val="center"/>
                </w:tcPr>
                <w:p w14:paraId="2782C135">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25</w:t>
                  </w:r>
                </w:p>
              </w:tc>
              <w:tc>
                <w:tcPr>
                  <w:tcW w:w="154" w:type="pct"/>
                  <w:shd w:val="clear" w:color="auto" w:fill="auto"/>
                  <w:noWrap w:val="0"/>
                  <w:vAlign w:val="center"/>
                </w:tcPr>
                <w:p w14:paraId="648A7E6E">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16</w:t>
                  </w:r>
                </w:p>
              </w:tc>
              <w:tc>
                <w:tcPr>
                  <w:tcW w:w="155" w:type="pct"/>
                  <w:shd w:val="clear" w:color="auto" w:fill="auto"/>
                  <w:noWrap w:val="0"/>
                  <w:vAlign w:val="center"/>
                </w:tcPr>
                <w:p w14:paraId="26A051E4">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9</w:t>
                  </w:r>
                </w:p>
              </w:tc>
              <w:tc>
                <w:tcPr>
                  <w:tcW w:w="155" w:type="pct"/>
                  <w:noWrap w:val="0"/>
                  <w:vAlign w:val="center"/>
                </w:tcPr>
                <w:p w14:paraId="2AF00B99">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24</w:t>
                  </w:r>
                </w:p>
              </w:tc>
              <w:tc>
                <w:tcPr>
                  <w:tcW w:w="155" w:type="pct"/>
                  <w:noWrap w:val="0"/>
                  <w:vAlign w:val="center"/>
                </w:tcPr>
                <w:p w14:paraId="43A3F325">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31</w:t>
                  </w:r>
                </w:p>
              </w:tc>
              <w:tc>
                <w:tcPr>
                  <w:tcW w:w="155" w:type="pct"/>
                  <w:noWrap w:val="0"/>
                  <w:vAlign w:val="center"/>
                </w:tcPr>
                <w:p w14:paraId="41ACEB16">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41</w:t>
                  </w:r>
                </w:p>
              </w:tc>
              <w:tc>
                <w:tcPr>
                  <w:tcW w:w="155" w:type="pct"/>
                  <w:noWrap w:val="0"/>
                  <w:vAlign w:val="center"/>
                </w:tcPr>
                <w:p w14:paraId="36E53961">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51</w:t>
                  </w:r>
                </w:p>
              </w:tc>
              <w:tc>
                <w:tcPr>
                  <w:tcW w:w="155" w:type="pct"/>
                  <w:noWrap w:val="0"/>
                  <w:vAlign w:val="center"/>
                </w:tcPr>
                <w:p w14:paraId="5169F5E4">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42</w:t>
                  </w:r>
                </w:p>
              </w:tc>
              <w:tc>
                <w:tcPr>
                  <w:tcW w:w="155" w:type="pct"/>
                  <w:noWrap w:val="0"/>
                  <w:vAlign w:val="center"/>
                </w:tcPr>
                <w:p w14:paraId="3BFC9A2C">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40</w:t>
                  </w:r>
                </w:p>
              </w:tc>
              <w:tc>
                <w:tcPr>
                  <w:tcW w:w="156" w:type="pct"/>
                  <w:noWrap w:val="0"/>
                  <w:vAlign w:val="center"/>
                </w:tcPr>
                <w:p w14:paraId="1C192925">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38</w:t>
                  </w:r>
                </w:p>
              </w:tc>
              <w:tc>
                <w:tcPr>
                  <w:tcW w:w="231" w:type="pct"/>
                  <w:vMerge w:val="continue"/>
                  <w:noWrap w:val="0"/>
                  <w:vAlign w:val="center"/>
                </w:tcPr>
                <w:p w14:paraId="760CFD21">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259" w:type="pct"/>
                  <w:noWrap w:val="0"/>
                  <w:vAlign w:val="center"/>
                </w:tcPr>
                <w:p w14:paraId="251B0E16">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lang w:val="en-US"/>
                      <w14:textFill>
                        <w14:solidFill>
                          <w14:schemeClr w14:val="tx1"/>
                        </w14:solidFill>
                      </w14:textFill>
                    </w:rPr>
                  </w:pPr>
                  <w:r>
                    <w:rPr>
                      <w:rFonts w:hint="eastAsia"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15</w:t>
                  </w:r>
                </w:p>
              </w:tc>
              <w:tc>
                <w:tcPr>
                  <w:tcW w:w="160" w:type="pct"/>
                  <w:noWrap w:val="0"/>
                  <w:vAlign w:val="center"/>
                </w:tcPr>
                <w:p w14:paraId="69662986">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36</w:t>
                  </w:r>
                </w:p>
              </w:tc>
              <w:tc>
                <w:tcPr>
                  <w:tcW w:w="160" w:type="pct"/>
                  <w:noWrap w:val="0"/>
                  <w:vAlign w:val="center"/>
                </w:tcPr>
                <w:p w14:paraId="198ECBD2">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27</w:t>
                  </w:r>
                </w:p>
              </w:tc>
              <w:tc>
                <w:tcPr>
                  <w:tcW w:w="160" w:type="pct"/>
                  <w:noWrap w:val="0"/>
                  <w:vAlign w:val="center"/>
                </w:tcPr>
                <w:p w14:paraId="3A927AC9">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25</w:t>
                  </w:r>
                </w:p>
              </w:tc>
              <w:tc>
                <w:tcPr>
                  <w:tcW w:w="161" w:type="pct"/>
                  <w:noWrap w:val="0"/>
                  <w:vAlign w:val="center"/>
                </w:tcPr>
                <w:p w14:paraId="57D1B8C9">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23</w:t>
                  </w:r>
                </w:p>
              </w:tc>
              <w:tc>
                <w:tcPr>
                  <w:tcW w:w="287" w:type="pct"/>
                  <w:noWrap w:val="0"/>
                  <w:vAlign w:val="center"/>
                </w:tcPr>
                <w:p w14:paraId="2808C20E">
                  <w:pPr>
                    <w:keepNext w:val="0"/>
                    <w:keepLines w:val="0"/>
                    <w:pageBreakBefore w:val="0"/>
                    <w:widowControl/>
                    <w:kinsoku/>
                    <w:wordWrap/>
                    <w:overflowPunct/>
                    <w:topLinePunct w:val="0"/>
                    <w:bidi w:val="0"/>
                    <w:snapToGrid/>
                    <w:spacing w:line="360" w:lineRule="exact"/>
                    <w:jc w:val="center"/>
                    <w:textAlignment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1</w:t>
                  </w:r>
                </w:p>
              </w:tc>
            </w:tr>
            <w:tr w14:paraId="64AE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52" w:type="pct"/>
                  <w:noWrap w:val="0"/>
                  <w:vAlign w:val="center"/>
                </w:tcPr>
                <w:p w14:paraId="08AE8FA3">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3</w:t>
                  </w:r>
                </w:p>
              </w:tc>
              <w:tc>
                <w:tcPr>
                  <w:tcW w:w="152" w:type="pct"/>
                  <w:vMerge w:val="continue"/>
                  <w:noWrap w:val="0"/>
                  <w:vAlign w:val="center"/>
                </w:tcPr>
                <w:p w14:paraId="21CB7EB7">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312" w:type="pct"/>
                  <w:noWrap w:val="0"/>
                  <w:vAlign w:val="center"/>
                </w:tcPr>
                <w:p w14:paraId="5C5016E0">
                  <w:pPr>
                    <w:keepNext w:val="0"/>
                    <w:keepLines w:val="0"/>
                    <w:pageBreakBefore w:val="0"/>
                    <w:kinsoku/>
                    <w:wordWrap/>
                    <w:overflowPunct/>
                    <w:topLinePunct w:val="0"/>
                    <w:bidi w:val="0"/>
                    <w:snapToGrid/>
                    <w:spacing w:line="360" w:lineRule="exact"/>
                    <w:jc w:val="cente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pPr>
                  <w:r>
                    <w:rPr>
                      <w:rFonts w:hint="eastAsia" w:ascii="Times New Roman" w:hAnsi="Times New Roman" w:cs="Times New Roman"/>
                      <w:sz w:val="21"/>
                      <w:szCs w:val="21"/>
                      <w:lang w:val="en-US" w:eastAsia="zh-CN"/>
                    </w:rPr>
                    <w:t>贴片机</w:t>
                  </w:r>
                </w:p>
              </w:tc>
              <w:tc>
                <w:tcPr>
                  <w:tcW w:w="352" w:type="pct"/>
                  <w:noWrap w:val="0"/>
                  <w:vAlign w:val="center"/>
                </w:tcPr>
                <w:p w14:paraId="7B5FD9CD">
                  <w:pPr>
                    <w:keepNext w:val="0"/>
                    <w:keepLines w:val="0"/>
                    <w:pageBreakBefore w:val="0"/>
                    <w:kinsoku/>
                    <w:wordWrap/>
                    <w:overflowPunct/>
                    <w:topLinePunct w:val="0"/>
                    <w:bidi w:val="0"/>
                    <w:snapToGrid/>
                    <w:spacing w:line="360" w:lineRule="exact"/>
                    <w:jc w:val="center"/>
                    <w:rPr>
                      <w:rFonts w:hint="default" w:ascii="Times New Roman" w:hAnsi="Times New Roman" w:eastAsia="宋体" w:cs="Times New Roman"/>
                      <w:b w:val="0"/>
                      <w:bCs w:val="0"/>
                      <w:color w:val="000000" w:themeColor="text1"/>
                      <w:kern w:val="0"/>
                      <w:sz w:val="21"/>
                      <w:szCs w:val="21"/>
                      <w:lang w:eastAsia="zh-CN" w:bidi="ar"/>
                      <w14:textFill>
                        <w14:solidFill>
                          <w14:schemeClr w14:val="tx1"/>
                        </w14:solidFill>
                      </w14:textFill>
                    </w:rPr>
                  </w:pPr>
                  <w:r>
                    <w:rPr>
                      <w:rFonts w:hint="eastAsia" w:ascii="Times New Roman" w:hAnsi="Times New Roman" w:eastAsia="宋体" w:cs="Times New Roman"/>
                      <w:b w:val="0"/>
                      <w:i w:val="0"/>
                      <w:caps w:val="0"/>
                      <w:spacing w:val="0"/>
                      <w:w w:val="100"/>
                      <w:kern w:val="2"/>
                      <w:sz w:val="21"/>
                      <w:szCs w:val="21"/>
                      <w:lang w:val="en-US" w:eastAsia="zh-CN" w:bidi="ar-SA"/>
                    </w:rPr>
                    <w:t>NPM-W2/WE</w:t>
                  </w:r>
                </w:p>
              </w:tc>
              <w:tc>
                <w:tcPr>
                  <w:tcW w:w="227" w:type="pct"/>
                  <w:noWrap w:val="0"/>
                  <w:vAlign w:val="center"/>
                </w:tcPr>
                <w:p w14:paraId="1A24CB73">
                  <w:pPr>
                    <w:keepNext w:val="0"/>
                    <w:keepLines w:val="0"/>
                    <w:pageBreakBefore w:val="0"/>
                    <w:kinsoku/>
                    <w:wordWrap/>
                    <w:overflowPunct/>
                    <w:topLinePunct w:val="0"/>
                    <w:bidi w:val="0"/>
                    <w:snapToGrid/>
                    <w:spacing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eastAsia" w:ascii="Times New Roman" w:hAnsi="Times New Roman" w:eastAsia="宋体" w:cs="Times New Roman"/>
                      <w:b w:val="0"/>
                      <w:i w:val="0"/>
                      <w:caps w:val="0"/>
                      <w:spacing w:val="0"/>
                      <w:w w:val="100"/>
                      <w:kern w:val="2"/>
                      <w:sz w:val="21"/>
                      <w:szCs w:val="21"/>
                      <w:lang w:val="en-US" w:eastAsia="zh-CN" w:bidi="ar-SA"/>
                    </w:rPr>
                    <w:t>2</w:t>
                  </w:r>
                </w:p>
              </w:tc>
              <w:tc>
                <w:tcPr>
                  <w:tcW w:w="290" w:type="pct"/>
                  <w:noWrap w:val="0"/>
                  <w:vAlign w:val="center"/>
                </w:tcPr>
                <w:p w14:paraId="24061931">
                  <w:pPr>
                    <w:pStyle w:val="51"/>
                    <w:keepNext w:val="0"/>
                    <w:keepLines w:val="0"/>
                    <w:pageBreakBefore w:val="0"/>
                    <w:widowControl w:val="0"/>
                    <w:kinsoku/>
                    <w:wordWrap/>
                    <w:overflowPunct/>
                    <w:topLinePunct w:val="0"/>
                    <w:bidi w:val="0"/>
                    <w:adjustRightInd/>
                    <w:snapToGrid/>
                    <w:spacing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eastAsia" w:cs="Times New Roman"/>
                      <w:color w:val="000000"/>
                      <w:sz w:val="21"/>
                      <w:szCs w:val="21"/>
                      <w:lang w:val="en-US" w:eastAsia="zh-CN"/>
                    </w:rPr>
                    <w:t>60</w:t>
                  </w:r>
                </w:p>
              </w:tc>
              <w:tc>
                <w:tcPr>
                  <w:tcW w:w="227" w:type="pct"/>
                  <w:vMerge w:val="continue"/>
                  <w:noWrap w:val="0"/>
                  <w:vAlign w:val="center"/>
                </w:tcPr>
                <w:p w14:paraId="1D3154D2">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233" w:type="pct"/>
                  <w:shd w:val="clear" w:color="auto" w:fill="auto"/>
                  <w:noWrap w:val="0"/>
                  <w:vAlign w:val="center"/>
                </w:tcPr>
                <w:p w14:paraId="67B8243D">
                  <w:pPr>
                    <w:pStyle w:val="16"/>
                    <w:keepNext w:val="0"/>
                    <w:keepLines w:val="0"/>
                    <w:pageBreakBefore w:val="0"/>
                    <w:kinsoku/>
                    <w:wordWrap/>
                    <w:overflowPunct/>
                    <w:topLinePunct w:val="0"/>
                    <w:bidi w:val="0"/>
                    <w:adjustRightInd/>
                    <w:snapToGrid/>
                    <w:spacing w:line="360" w:lineRule="exact"/>
                    <w:jc w:val="center"/>
                    <w:rPr>
                      <w:rFonts w:hint="default" w:ascii="Times New Roman" w:hAnsi="Times New Roman" w:eastAsia="宋体" w:cs="Times New Roman"/>
                      <w:b w:val="0"/>
                      <w:bCs w:val="0"/>
                      <w:snapToGrid w:val="0"/>
                      <w:color w:val="000000" w:themeColor="text1"/>
                      <w:kern w:val="0"/>
                      <w:sz w:val="21"/>
                      <w:szCs w:val="21"/>
                      <w:lang w:val="en-US" w:eastAsia="zh-CN" w:bidi="ar-SA"/>
                      <w14:textFill>
                        <w14:solidFill>
                          <w14:schemeClr w14:val="tx1"/>
                        </w14:solidFill>
                      </w14:textFill>
                    </w:rPr>
                  </w:pPr>
                  <w:r>
                    <w:rPr>
                      <w:rFonts w:hint="eastAsia" w:ascii="Times New Roman" w:hAnsi="Times New Roman" w:cs="Times New Roman"/>
                      <w:color w:val="000000"/>
                      <w:sz w:val="21"/>
                      <w:szCs w:val="21"/>
                      <w:lang w:val="en-US" w:eastAsia="zh-CN"/>
                    </w:rPr>
                    <w:t>28</w:t>
                  </w:r>
                </w:p>
              </w:tc>
              <w:tc>
                <w:tcPr>
                  <w:tcW w:w="233" w:type="pct"/>
                  <w:shd w:val="clear" w:color="auto" w:fill="auto"/>
                  <w:noWrap w:val="0"/>
                  <w:vAlign w:val="center"/>
                </w:tcPr>
                <w:p w14:paraId="40A665BA">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23</w:t>
                  </w:r>
                </w:p>
              </w:tc>
              <w:tc>
                <w:tcPr>
                  <w:tcW w:w="154" w:type="pct"/>
                  <w:shd w:val="clear" w:color="auto" w:fill="auto"/>
                  <w:noWrap w:val="0"/>
                  <w:vAlign w:val="center"/>
                </w:tcPr>
                <w:p w14:paraId="2D3504D1">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16</w:t>
                  </w:r>
                </w:p>
              </w:tc>
              <w:tc>
                <w:tcPr>
                  <w:tcW w:w="155" w:type="pct"/>
                  <w:shd w:val="clear" w:color="auto" w:fill="auto"/>
                  <w:noWrap w:val="0"/>
                  <w:vAlign w:val="center"/>
                </w:tcPr>
                <w:p w14:paraId="60AD78FC">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9</w:t>
                  </w:r>
                </w:p>
              </w:tc>
              <w:tc>
                <w:tcPr>
                  <w:tcW w:w="155" w:type="pct"/>
                  <w:noWrap w:val="0"/>
                  <w:vAlign w:val="center"/>
                </w:tcPr>
                <w:p w14:paraId="43F663DE">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22</w:t>
                  </w:r>
                </w:p>
              </w:tc>
              <w:tc>
                <w:tcPr>
                  <w:tcW w:w="155" w:type="pct"/>
                  <w:noWrap w:val="0"/>
                  <w:vAlign w:val="center"/>
                </w:tcPr>
                <w:p w14:paraId="302DF297">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31</w:t>
                  </w:r>
                </w:p>
              </w:tc>
              <w:tc>
                <w:tcPr>
                  <w:tcW w:w="155" w:type="pct"/>
                  <w:noWrap w:val="0"/>
                  <w:vAlign w:val="center"/>
                </w:tcPr>
                <w:p w14:paraId="1AF95F2D">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43</w:t>
                  </w:r>
                </w:p>
              </w:tc>
              <w:tc>
                <w:tcPr>
                  <w:tcW w:w="155" w:type="pct"/>
                  <w:noWrap w:val="0"/>
                  <w:vAlign w:val="center"/>
                </w:tcPr>
                <w:p w14:paraId="4790A9AE">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41</w:t>
                  </w:r>
                </w:p>
              </w:tc>
              <w:tc>
                <w:tcPr>
                  <w:tcW w:w="155" w:type="pct"/>
                  <w:noWrap w:val="0"/>
                  <w:vAlign w:val="center"/>
                </w:tcPr>
                <w:p w14:paraId="3CB1F54A">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33</w:t>
                  </w:r>
                </w:p>
              </w:tc>
              <w:tc>
                <w:tcPr>
                  <w:tcW w:w="155" w:type="pct"/>
                  <w:noWrap w:val="0"/>
                  <w:vAlign w:val="center"/>
                </w:tcPr>
                <w:p w14:paraId="1F6C0CA8">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30</w:t>
                  </w:r>
                </w:p>
              </w:tc>
              <w:tc>
                <w:tcPr>
                  <w:tcW w:w="156" w:type="pct"/>
                  <w:noWrap w:val="0"/>
                  <w:vAlign w:val="center"/>
                </w:tcPr>
                <w:p w14:paraId="5E51CFBD">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27</w:t>
                  </w:r>
                </w:p>
              </w:tc>
              <w:tc>
                <w:tcPr>
                  <w:tcW w:w="231" w:type="pct"/>
                  <w:vMerge w:val="continue"/>
                  <w:noWrap w:val="0"/>
                  <w:vAlign w:val="center"/>
                </w:tcPr>
                <w:p w14:paraId="55B078C9">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259" w:type="pct"/>
                  <w:noWrap w:val="0"/>
                  <w:vAlign w:val="center"/>
                </w:tcPr>
                <w:p w14:paraId="69B8E727">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eastAsia"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15</w:t>
                  </w:r>
                </w:p>
              </w:tc>
              <w:tc>
                <w:tcPr>
                  <w:tcW w:w="160" w:type="pct"/>
                  <w:noWrap w:val="0"/>
                  <w:vAlign w:val="center"/>
                </w:tcPr>
                <w:p w14:paraId="2E0334BC">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26</w:t>
                  </w:r>
                </w:p>
              </w:tc>
              <w:tc>
                <w:tcPr>
                  <w:tcW w:w="160" w:type="pct"/>
                  <w:noWrap w:val="0"/>
                  <w:vAlign w:val="center"/>
                </w:tcPr>
                <w:p w14:paraId="58D084E2">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18</w:t>
                  </w:r>
                </w:p>
              </w:tc>
              <w:tc>
                <w:tcPr>
                  <w:tcW w:w="160" w:type="pct"/>
                  <w:noWrap w:val="0"/>
                  <w:vAlign w:val="center"/>
                </w:tcPr>
                <w:p w14:paraId="54DEFF81">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15</w:t>
                  </w:r>
                </w:p>
              </w:tc>
              <w:tc>
                <w:tcPr>
                  <w:tcW w:w="161" w:type="pct"/>
                  <w:noWrap w:val="0"/>
                  <w:vAlign w:val="center"/>
                </w:tcPr>
                <w:p w14:paraId="7434E29D">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12</w:t>
                  </w:r>
                </w:p>
              </w:tc>
              <w:tc>
                <w:tcPr>
                  <w:tcW w:w="287" w:type="pct"/>
                  <w:noWrap w:val="0"/>
                  <w:vAlign w:val="center"/>
                </w:tcPr>
                <w:p w14:paraId="7D6512C5">
                  <w:pPr>
                    <w:keepNext w:val="0"/>
                    <w:keepLines w:val="0"/>
                    <w:pageBreakBefore w:val="0"/>
                    <w:widowControl/>
                    <w:kinsoku/>
                    <w:wordWrap/>
                    <w:overflowPunct/>
                    <w:topLinePunct w:val="0"/>
                    <w:bidi w:val="0"/>
                    <w:snapToGrid/>
                    <w:spacing w:line="360" w:lineRule="exact"/>
                    <w:jc w:val="center"/>
                    <w:textAlignment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1</w:t>
                  </w:r>
                </w:p>
              </w:tc>
            </w:tr>
            <w:tr w14:paraId="72DAC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52" w:type="pct"/>
                  <w:noWrap w:val="0"/>
                  <w:vAlign w:val="center"/>
                </w:tcPr>
                <w:p w14:paraId="6BFB1684">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4</w:t>
                  </w:r>
                </w:p>
              </w:tc>
              <w:tc>
                <w:tcPr>
                  <w:tcW w:w="152" w:type="pct"/>
                  <w:vMerge w:val="continue"/>
                  <w:noWrap w:val="0"/>
                  <w:vAlign w:val="center"/>
                </w:tcPr>
                <w:p w14:paraId="542AF333">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312" w:type="pct"/>
                  <w:noWrap w:val="0"/>
                  <w:vAlign w:val="center"/>
                </w:tcPr>
                <w:p w14:paraId="7D46E3D4">
                  <w:pPr>
                    <w:keepNext w:val="0"/>
                    <w:keepLines w:val="0"/>
                    <w:pageBreakBefore w:val="0"/>
                    <w:kinsoku/>
                    <w:wordWrap/>
                    <w:overflowPunct/>
                    <w:topLinePunct w:val="0"/>
                    <w:bidi w:val="0"/>
                    <w:snapToGrid/>
                    <w:spacing w:line="360" w:lineRule="exact"/>
                    <w:jc w:val="cente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pPr>
                  <w:r>
                    <w:rPr>
                      <w:rFonts w:hint="eastAsia" w:ascii="Times New Roman" w:hAnsi="Times New Roman" w:eastAsia="宋体" w:cs="Times New Roman"/>
                      <w:sz w:val="21"/>
                      <w:szCs w:val="21"/>
                      <w:lang w:val="en-US" w:eastAsia="zh-CN"/>
                    </w:rPr>
                    <w:t>空气回流焊</w:t>
                  </w:r>
                </w:p>
              </w:tc>
              <w:tc>
                <w:tcPr>
                  <w:tcW w:w="352" w:type="pct"/>
                  <w:noWrap w:val="0"/>
                  <w:vAlign w:val="center"/>
                </w:tcPr>
                <w:p w14:paraId="7E33783C">
                  <w:pPr>
                    <w:keepNext w:val="0"/>
                    <w:keepLines w:val="0"/>
                    <w:pageBreakBefore w:val="0"/>
                    <w:kinsoku/>
                    <w:wordWrap/>
                    <w:overflowPunct/>
                    <w:topLinePunct w:val="0"/>
                    <w:bidi w:val="0"/>
                    <w:snapToGrid/>
                    <w:spacing w:line="360" w:lineRule="exact"/>
                    <w:jc w:val="center"/>
                    <w:rPr>
                      <w:rFonts w:hint="default" w:ascii="Times New Roman" w:hAnsi="Times New Roman" w:eastAsia="宋体" w:cs="Times New Roman"/>
                      <w:b w:val="0"/>
                      <w:bCs w:val="0"/>
                      <w:color w:val="000000" w:themeColor="text1"/>
                      <w:kern w:val="0"/>
                      <w:sz w:val="21"/>
                      <w:szCs w:val="21"/>
                      <w:lang w:eastAsia="zh-CN" w:bidi="ar"/>
                      <w14:textFill>
                        <w14:solidFill>
                          <w14:schemeClr w14:val="tx1"/>
                        </w14:solidFill>
                      </w14:textFill>
                    </w:rPr>
                  </w:pPr>
                  <w:r>
                    <w:rPr>
                      <w:rFonts w:hint="eastAsia" w:ascii="Times New Roman" w:hAnsi="Times New Roman" w:eastAsia="宋体" w:cs="Times New Roman"/>
                      <w:b w:val="0"/>
                      <w:i w:val="0"/>
                      <w:caps w:val="0"/>
                      <w:spacing w:val="0"/>
                      <w:w w:val="100"/>
                      <w:kern w:val="2"/>
                      <w:sz w:val="21"/>
                      <w:szCs w:val="21"/>
                      <w:lang w:val="en-US" w:eastAsia="zh-CN" w:bidi="ar-SA"/>
                    </w:rPr>
                    <w:t>/</w:t>
                  </w:r>
                </w:p>
              </w:tc>
              <w:tc>
                <w:tcPr>
                  <w:tcW w:w="227" w:type="pct"/>
                  <w:noWrap w:val="0"/>
                  <w:vAlign w:val="center"/>
                </w:tcPr>
                <w:p w14:paraId="7AD77003">
                  <w:pPr>
                    <w:keepNext w:val="0"/>
                    <w:keepLines w:val="0"/>
                    <w:pageBreakBefore w:val="0"/>
                    <w:kinsoku/>
                    <w:wordWrap/>
                    <w:overflowPunct/>
                    <w:topLinePunct w:val="0"/>
                    <w:bidi w:val="0"/>
                    <w:snapToGrid/>
                    <w:spacing w:line="360" w:lineRule="exact"/>
                    <w:jc w:val="cente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pPr>
                  <w:r>
                    <w:rPr>
                      <w:rFonts w:hint="eastAsia" w:ascii="Times New Roman" w:hAnsi="Times New Roman" w:eastAsia="宋体" w:cs="Times New Roman"/>
                      <w:b w:val="0"/>
                      <w:i w:val="0"/>
                      <w:caps w:val="0"/>
                      <w:spacing w:val="0"/>
                      <w:w w:val="100"/>
                      <w:kern w:val="2"/>
                      <w:sz w:val="21"/>
                      <w:szCs w:val="21"/>
                      <w:lang w:val="en-US" w:eastAsia="zh-CN" w:bidi="ar-SA"/>
                    </w:rPr>
                    <w:t>1</w:t>
                  </w:r>
                </w:p>
              </w:tc>
              <w:tc>
                <w:tcPr>
                  <w:tcW w:w="290" w:type="pct"/>
                  <w:noWrap w:val="0"/>
                  <w:vAlign w:val="center"/>
                </w:tcPr>
                <w:p w14:paraId="4E2720EB">
                  <w:pPr>
                    <w:pStyle w:val="51"/>
                    <w:keepNext w:val="0"/>
                    <w:keepLines w:val="0"/>
                    <w:pageBreakBefore w:val="0"/>
                    <w:widowControl w:val="0"/>
                    <w:kinsoku/>
                    <w:wordWrap/>
                    <w:overflowPunct/>
                    <w:topLinePunct w:val="0"/>
                    <w:bidi w:val="0"/>
                    <w:adjustRightInd/>
                    <w:snapToGrid/>
                    <w:spacing w:line="360" w:lineRule="exact"/>
                    <w:jc w:val="center"/>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Fonts w:hint="eastAsia" w:cs="Times New Roman"/>
                      <w:color w:val="000000"/>
                      <w:sz w:val="21"/>
                      <w:szCs w:val="21"/>
                      <w:lang w:val="en-US" w:eastAsia="zh-CN"/>
                    </w:rPr>
                    <w:t>70</w:t>
                  </w:r>
                </w:p>
              </w:tc>
              <w:tc>
                <w:tcPr>
                  <w:tcW w:w="227" w:type="pct"/>
                  <w:vMerge w:val="continue"/>
                  <w:noWrap w:val="0"/>
                  <w:vAlign w:val="center"/>
                </w:tcPr>
                <w:p w14:paraId="27BDB372">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233" w:type="pct"/>
                  <w:shd w:val="clear" w:color="auto" w:fill="auto"/>
                  <w:noWrap w:val="0"/>
                  <w:vAlign w:val="center"/>
                </w:tcPr>
                <w:p w14:paraId="58DC91C1">
                  <w:pPr>
                    <w:pStyle w:val="16"/>
                    <w:keepNext w:val="0"/>
                    <w:keepLines w:val="0"/>
                    <w:pageBreakBefore w:val="0"/>
                    <w:kinsoku/>
                    <w:wordWrap/>
                    <w:overflowPunct/>
                    <w:topLinePunct w:val="0"/>
                    <w:bidi w:val="0"/>
                    <w:adjustRightInd/>
                    <w:snapToGrid/>
                    <w:spacing w:line="360" w:lineRule="exact"/>
                    <w:jc w:val="center"/>
                    <w:rPr>
                      <w:rFonts w:hint="default" w:ascii="Times New Roman" w:hAnsi="Times New Roman" w:eastAsia="宋体" w:cs="Times New Roman"/>
                      <w:b w:val="0"/>
                      <w:bCs w:val="0"/>
                      <w:snapToGrid w:val="0"/>
                      <w:color w:val="000000" w:themeColor="text1"/>
                      <w:kern w:val="0"/>
                      <w:sz w:val="21"/>
                      <w:szCs w:val="21"/>
                      <w:lang w:val="en-US" w:eastAsia="zh-CN" w:bidi="ar-SA"/>
                      <w14:textFill>
                        <w14:solidFill>
                          <w14:schemeClr w14:val="tx1"/>
                        </w14:solidFill>
                      </w14:textFill>
                    </w:rPr>
                  </w:pPr>
                  <w:r>
                    <w:rPr>
                      <w:rFonts w:hint="eastAsia" w:ascii="Times New Roman" w:hAnsi="Times New Roman" w:cs="Times New Roman"/>
                      <w:color w:val="000000"/>
                      <w:sz w:val="21"/>
                      <w:szCs w:val="21"/>
                      <w:lang w:val="en-US" w:eastAsia="zh-CN"/>
                    </w:rPr>
                    <w:t>28</w:t>
                  </w:r>
                </w:p>
              </w:tc>
              <w:tc>
                <w:tcPr>
                  <w:tcW w:w="233" w:type="pct"/>
                  <w:shd w:val="clear" w:color="auto" w:fill="auto"/>
                  <w:noWrap w:val="0"/>
                  <w:vAlign w:val="center"/>
                </w:tcPr>
                <w:p w14:paraId="3948B993">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15</w:t>
                  </w:r>
                </w:p>
              </w:tc>
              <w:tc>
                <w:tcPr>
                  <w:tcW w:w="154" w:type="pct"/>
                  <w:shd w:val="clear" w:color="auto" w:fill="auto"/>
                  <w:noWrap w:val="0"/>
                  <w:vAlign w:val="center"/>
                </w:tcPr>
                <w:p w14:paraId="18720316">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16</w:t>
                  </w:r>
                </w:p>
              </w:tc>
              <w:tc>
                <w:tcPr>
                  <w:tcW w:w="155" w:type="pct"/>
                  <w:shd w:val="clear" w:color="auto" w:fill="auto"/>
                  <w:noWrap w:val="0"/>
                  <w:vAlign w:val="center"/>
                </w:tcPr>
                <w:p w14:paraId="5FF8706B">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9</w:t>
                  </w:r>
                </w:p>
              </w:tc>
              <w:tc>
                <w:tcPr>
                  <w:tcW w:w="155" w:type="pct"/>
                  <w:noWrap w:val="0"/>
                  <w:vAlign w:val="center"/>
                </w:tcPr>
                <w:p w14:paraId="1C8E19A8">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14</w:t>
                  </w:r>
                </w:p>
              </w:tc>
              <w:tc>
                <w:tcPr>
                  <w:tcW w:w="155" w:type="pct"/>
                  <w:noWrap w:val="0"/>
                  <w:vAlign w:val="center"/>
                </w:tcPr>
                <w:p w14:paraId="7D9170E2">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31</w:t>
                  </w:r>
                </w:p>
              </w:tc>
              <w:tc>
                <w:tcPr>
                  <w:tcW w:w="155" w:type="pct"/>
                  <w:noWrap w:val="0"/>
                  <w:vAlign w:val="center"/>
                </w:tcPr>
                <w:p w14:paraId="59C062F5">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51</w:t>
                  </w:r>
                </w:p>
              </w:tc>
              <w:tc>
                <w:tcPr>
                  <w:tcW w:w="155" w:type="pct"/>
                  <w:noWrap w:val="0"/>
                  <w:vAlign w:val="center"/>
                </w:tcPr>
                <w:p w14:paraId="4FB55DC4">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51</w:t>
                  </w:r>
                </w:p>
              </w:tc>
              <w:tc>
                <w:tcPr>
                  <w:tcW w:w="155" w:type="pct"/>
                  <w:noWrap w:val="0"/>
                  <w:vAlign w:val="center"/>
                </w:tcPr>
                <w:p w14:paraId="0C3B3154">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47</w:t>
                  </w:r>
                </w:p>
              </w:tc>
              <w:tc>
                <w:tcPr>
                  <w:tcW w:w="155" w:type="pct"/>
                  <w:noWrap w:val="0"/>
                  <w:vAlign w:val="center"/>
                </w:tcPr>
                <w:p w14:paraId="27D2FFF3">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40</w:t>
                  </w:r>
                </w:p>
              </w:tc>
              <w:tc>
                <w:tcPr>
                  <w:tcW w:w="156" w:type="pct"/>
                  <w:noWrap w:val="0"/>
                  <w:vAlign w:val="center"/>
                </w:tcPr>
                <w:p w14:paraId="48E94909">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36</w:t>
                  </w:r>
                </w:p>
              </w:tc>
              <w:tc>
                <w:tcPr>
                  <w:tcW w:w="231" w:type="pct"/>
                  <w:vMerge w:val="continue"/>
                  <w:noWrap w:val="0"/>
                  <w:vAlign w:val="center"/>
                </w:tcPr>
                <w:p w14:paraId="5EC6BA10">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259" w:type="pct"/>
                  <w:noWrap w:val="0"/>
                  <w:vAlign w:val="center"/>
                </w:tcPr>
                <w:p w14:paraId="27B803BF">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eastAsia"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15</w:t>
                  </w:r>
                </w:p>
              </w:tc>
              <w:tc>
                <w:tcPr>
                  <w:tcW w:w="160" w:type="pct"/>
                  <w:noWrap w:val="0"/>
                  <w:vAlign w:val="center"/>
                </w:tcPr>
                <w:p w14:paraId="664892E7">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36</w:t>
                  </w:r>
                </w:p>
              </w:tc>
              <w:tc>
                <w:tcPr>
                  <w:tcW w:w="160" w:type="pct"/>
                  <w:noWrap w:val="0"/>
                  <w:vAlign w:val="center"/>
                </w:tcPr>
                <w:p w14:paraId="12CCCDA7">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32</w:t>
                  </w:r>
                </w:p>
              </w:tc>
              <w:tc>
                <w:tcPr>
                  <w:tcW w:w="160" w:type="pct"/>
                  <w:noWrap w:val="0"/>
                  <w:vAlign w:val="center"/>
                </w:tcPr>
                <w:p w14:paraId="6B8CE20C">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25</w:t>
                  </w:r>
                </w:p>
              </w:tc>
              <w:tc>
                <w:tcPr>
                  <w:tcW w:w="161" w:type="pct"/>
                  <w:noWrap w:val="0"/>
                  <w:vAlign w:val="center"/>
                </w:tcPr>
                <w:p w14:paraId="234AEB36">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21</w:t>
                  </w:r>
                </w:p>
              </w:tc>
              <w:tc>
                <w:tcPr>
                  <w:tcW w:w="287" w:type="pct"/>
                  <w:noWrap w:val="0"/>
                  <w:vAlign w:val="center"/>
                </w:tcPr>
                <w:p w14:paraId="213DB34B">
                  <w:pPr>
                    <w:keepNext w:val="0"/>
                    <w:keepLines w:val="0"/>
                    <w:pageBreakBefore w:val="0"/>
                    <w:widowControl/>
                    <w:kinsoku/>
                    <w:wordWrap/>
                    <w:overflowPunct/>
                    <w:topLinePunct w:val="0"/>
                    <w:bidi w:val="0"/>
                    <w:snapToGrid/>
                    <w:spacing w:line="360" w:lineRule="exact"/>
                    <w:jc w:val="center"/>
                    <w:textAlignment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1</w:t>
                  </w:r>
                </w:p>
              </w:tc>
            </w:tr>
            <w:tr w14:paraId="759AD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52" w:type="pct"/>
                  <w:noWrap w:val="0"/>
                  <w:vAlign w:val="center"/>
                </w:tcPr>
                <w:p w14:paraId="61330953">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t>5</w:t>
                  </w:r>
                </w:p>
              </w:tc>
              <w:tc>
                <w:tcPr>
                  <w:tcW w:w="152" w:type="pct"/>
                  <w:vMerge w:val="continue"/>
                  <w:noWrap w:val="0"/>
                  <w:vAlign w:val="center"/>
                </w:tcPr>
                <w:p w14:paraId="27B8553C">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312" w:type="pct"/>
                  <w:noWrap w:val="0"/>
                  <w:vAlign w:val="center"/>
                </w:tcPr>
                <w:p w14:paraId="71A2B75E">
                  <w:pPr>
                    <w:keepNext w:val="0"/>
                    <w:keepLines w:val="0"/>
                    <w:pageBreakBefore w:val="0"/>
                    <w:kinsoku/>
                    <w:wordWrap/>
                    <w:overflowPunct/>
                    <w:topLinePunct w:val="0"/>
                    <w:bidi w:val="0"/>
                    <w:snapToGrid/>
                    <w:spacing w:line="360" w:lineRule="exact"/>
                    <w:jc w:val="cente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pPr>
                  <w:r>
                    <w:rPr>
                      <w:rFonts w:hint="eastAsia" w:ascii="Times New Roman" w:hAnsi="Times New Roman" w:eastAsia="宋体" w:cs="Times New Roman"/>
                      <w:sz w:val="21"/>
                      <w:szCs w:val="21"/>
                      <w:lang w:val="en-US" w:eastAsia="zh-CN"/>
                    </w:rPr>
                    <w:t>电烙铁</w:t>
                  </w:r>
                </w:p>
              </w:tc>
              <w:tc>
                <w:tcPr>
                  <w:tcW w:w="352" w:type="pct"/>
                  <w:noWrap w:val="0"/>
                  <w:vAlign w:val="center"/>
                </w:tcPr>
                <w:p w14:paraId="11B18440">
                  <w:pPr>
                    <w:keepNext w:val="0"/>
                    <w:keepLines w:val="0"/>
                    <w:pageBreakBefore w:val="0"/>
                    <w:kinsoku/>
                    <w:wordWrap/>
                    <w:overflowPunct/>
                    <w:topLinePunct w:val="0"/>
                    <w:bidi w:val="0"/>
                    <w:snapToGrid/>
                    <w:spacing w:line="360" w:lineRule="exact"/>
                    <w:jc w:val="center"/>
                    <w:rPr>
                      <w:rFonts w:hint="default" w:ascii="Times New Roman" w:hAnsi="Times New Roman" w:eastAsia="宋体" w:cs="Times New Roman"/>
                      <w:b w:val="0"/>
                      <w:bCs w:val="0"/>
                      <w:color w:val="000000" w:themeColor="text1"/>
                      <w:kern w:val="0"/>
                      <w:sz w:val="21"/>
                      <w:szCs w:val="21"/>
                      <w:lang w:eastAsia="zh-CN" w:bidi="ar"/>
                      <w14:textFill>
                        <w14:solidFill>
                          <w14:schemeClr w14:val="tx1"/>
                        </w14:solidFill>
                      </w14:textFill>
                    </w:rPr>
                  </w:pPr>
                  <w:r>
                    <w:rPr>
                      <w:rFonts w:hint="eastAsia" w:ascii="Times New Roman" w:hAnsi="Times New Roman" w:eastAsia="宋体" w:cs="Times New Roman"/>
                      <w:b w:val="0"/>
                      <w:i w:val="0"/>
                      <w:caps w:val="0"/>
                      <w:spacing w:val="0"/>
                      <w:w w:val="100"/>
                      <w:kern w:val="2"/>
                      <w:sz w:val="21"/>
                      <w:szCs w:val="21"/>
                      <w:lang w:val="en-US" w:eastAsia="zh-CN" w:bidi="ar-SA"/>
                    </w:rPr>
                    <w:t>GT-6150P</w:t>
                  </w:r>
                </w:p>
              </w:tc>
              <w:tc>
                <w:tcPr>
                  <w:tcW w:w="227" w:type="pct"/>
                  <w:noWrap w:val="0"/>
                  <w:vAlign w:val="center"/>
                </w:tcPr>
                <w:p w14:paraId="3E91AA79">
                  <w:pPr>
                    <w:keepNext w:val="0"/>
                    <w:keepLines w:val="0"/>
                    <w:pageBreakBefore w:val="0"/>
                    <w:kinsoku/>
                    <w:wordWrap/>
                    <w:overflowPunct/>
                    <w:topLinePunct w:val="0"/>
                    <w:bidi w:val="0"/>
                    <w:snapToGrid/>
                    <w:spacing w:line="360" w:lineRule="exact"/>
                    <w:jc w:val="cente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pPr>
                  <w:r>
                    <w:rPr>
                      <w:rFonts w:hint="eastAsia" w:ascii="Times New Roman" w:hAnsi="Times New Roman" w:eastAsia="宋体" w:cs="Times New Roman"/>
                      <w:b w:val="0"/>
                      <w:i w:val="0"/>
                      <w:caps w:val="0"/>
                      <w:spacing w:val="0"/>
                      <w:w w:val="100"/>
                      <w:kern w:val="2"/>
                      <w:sz w:val="21"/>
                      <w:szCs w:val="21"/>
                      <w:lang w:val="en-US" w:eastAsia="zh-CN" w:bidi="ar-SA"/>
                    </w:rPr>
                    <w:t>4</w:t>
                  </w:r>
                </w:p>
              </w:tc>
              <w:tc>
                <w:tcPr>
                  <w:tcW w:w="290" w:type="pct"/>
                  <w:noWrap w:val="0"/>
                  <w:vAlign w:val="center"/>
                </w:tcPr>
                <w:p w14:paraId="0745DE69">
                  <w:pPr>
                    <w:pStyle w:val="51"/>
                    <w:keepNext w:val="0"/>
                    <w:keepLines w:val="0"/>
                    <w:pageBreakBefore w:val="0"/>
                    <w:widowControl w:val="0"/>
                    <w:kinsoku/>
                    <w:wordWrap/>
                    <w:overflowPunct/>
                    <w:topLinePunct w:val="0"/>
                    <w:bidi w:val="0"/>
                    <w:adjustRightInd/>
                    <w:snapToGrid/>
                    <w:spacing w:line="360" w:lineRule="exact"/>
                    <w:jc w:val="center"/>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Fonts w:hint="eastAsia" w:cs="Times New Roman"/>
                      <w:color w:val="000000"/>
                      <w:sz w:val="21"/>
                      <w:szCs w:val="21"/>
                      <w:lang w:val="en-US" w:eastAsia="zh-CN"/>
                    </w:rPr>
                    <w:t>60</w:t>
                  </w:r>
                </w:p>
              </w:tc>
              <w:tc>
                <w:tcPr>
                  <w:tcW w:w="227" w:type="pct"/>
                  <w:vMerge w:val="continue"/>
                  <w:noWrap w:val="0"/>
                  <w:vAlign w:val="center"/>
                </w:tcPr>
                <w:p w14:paraId="7A98DC3D">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233" w:type="pct"/>
                  <w:shd w:val="clear" w:color="auto" w:fill="auto"/>
                  <w:noWrap w:val="0"/>
                  <w:vAlign w:val="center"/>
                </w:tcPr>
                <w:p w14:paraId="445D3913">
                  <w:pPr>
                    <w:pStyle w:val="16"/>
                    <w:keepNext w:val="0"/>
                    <w:keepLines w:val="0"/>
                    <w:pageBreakBefore w:val="0"/>
                    <w:kinsoku/>
                    <w:wordWrap/>
                    <w:overflowPunct/>
                    <w:topLinePunct w:val="0"/>
                    <w:bidi w:val="0"/>
                    <w:adjustRightInd/>
                    <w:snapToGrid/>
                    <w:spacing w:line="360" w:lineRule="exact"/>
                    <w:jc w:val="center"/>
                    <w:rPr>
                      <w:rFonts w:hint="default" w:ascii="Times New Roman" w:hAnsi="Times New Roman" w:eastAsia="宋体" w:cs="Times New Roman"/>
                      <w:b w:val="0"/>
                      <w:bCs w:val="0"/>
                      <w:snapToGrid w:val="0"/>
                      <w:color w:val="000000" w:themeColor="text1"/>
                      <w:kern w:val="0"/>
                      <w:sz w:val="21"/>
                      <w:szCs w:val="21"/>
                      <w:lang w:val="en-US" w:eastAsia="zh-CN" w:bidi="ar-SA"/>
                      <w14:textFill>
                        <w14:solidFill>
                          <w14:schemeClr w14:val="tx1"/>
                        </w14:solidFill>
                      </w14:textFill>
                    </w:rPr>
                  </w:pPr>
                  <w:r>
                    <w:rPr>
                      <w:rFonts w:hint="eastAsia" w:ascii="Times New Roman" w:hAnsi="Times New Roman" w:cs="Times New Roman"/>
                      <w:color w:val="000000"/>
                      <w:sz w:val="21"/>
                      <w:szCs w:val="21"/>
                      <w:lang w:val="en-US" w:eastAsia="zh-CN"/>
                    </w:rPr>
                    <w:t>35</w:t>
                  </w:r>
                </w:p>
              </w:tc>
              <w:tc>
                <w:tcPr>
                  <w:tcW w:w="233" w:type="pct"/>
                  <w:shd w:val="clear" w:color="auto" w:fill="auto"/>
                  <w:noWrap w:val="0"/>
                  <w:vAlign w:val="center"/>
                </w:tcPr>
                <w:p w14:paraId="1E458F00">
                  <w:pPr>
                    <w:pStyle w:val="16"/>
                    <w:keepNext w:val="0"/>
                    <w:keepLines w:val="0"/>
                    <w:pageBreakBefore w:val="0"/>
                    <w:kinsoku/>
                    <w:wordWrap/>
                    <w:overflowPunct/>
                    <w:topLinePunct w:val="0"/>
                    <w:bidi w:val="0"/>
                    <w:adjustRightInd/>
                    <w:snapToGrid/>
                    <w:spacing w:line="360" w:lineRule="exact"/>
                    <w:jc w:val="center"/>
                    <w:rPr>
                      <w:rFonts w:hint="default" w:ascii="Times New Roman" w:hAnsi="Times New Roman" w:eastAsia="宋体" w:cs="Times New Roman"/>
                      <w:b w:val="0"/>
                      <w:bCs w:val="0"/>
                      <w:snapToGrid w:val="0"/>
                      <w:color w:val="000000" w:themeColor="text1"/>
                      <w:kern w:val="0"/>
                      <w:sz w:val="21"/>
                      <w:szCs w:val="21"/>
                      <w:lang w:val="en-US" w:eastAsia="zh-CN" w:bidi="ar-SA"/>
                      <w14:textFill>
                        <w14:solidFill>
                          <w14:schemeClr w14:val="tx1"/>
                        </w14:solidFill>
                      </w14:textFill>
                    </w:rPr>
                  </w:pPr>
                  <w:r>
                    <w:rPr>
                      <w:rFonts w:hint="eastAsia" w:ascii="Times New Roman" w:hAnsi="Times New Roman" w:cs="Times New Roman"/>
                      <w:color w:val="000000"/>
                      <w:sz w:val="21"/>
                      <w:szCs w:val="21"/>
                      <w:lang w:val="en-US" w:eastAsia="zh-CN"/>
                    </w:rPr>
                    <w:t>21</w:t>
                  </w:r>
                </w:p>
              </w:tc>
              <w:tc>
                <w:tcPr>
                  <w:tcW w:w="154" w:type="pct"/>
                  <w:shd w:val="clear" w:color="auto" w:fill="auto"/>
                  <w:noWrap w:val="0"/>
                  <w:vAlign w:val="center"/>
                </w:tcPr>
                <w:p w14:paraId="4DC36D9A">
                  <w:pPr>
                    <w:keepNext w:val="0"/>
                    <w:keepLines w:val="0"/>
                    <w:pageBreakBefore w:val="0"/>
                    <w:kinsoku/>
                    <w:wordWrap/>
                    <w:overflowPunct/>
                    <w:topLinePunct w:val="0"/>
                    <w:bidi w:val="0"/>
                    <w:adjustRightInd/>
                    <w:snapToGrid/>
                    <w:spacing w:line="360" w:lineRule="exact"/>
                    <w:jc w:val="center"/>
                    <w:rPr>
                      <w:rFonts w:hint="default" w:ascii="Times New Roman" w:hAnsi="Times New Roman" w:eastAsia="宋体" w:cs="Times New Roman"/>
                      <w:b w:val="0"/>
                      <w:bCs w:val="0"/>
                      <w:snapToGrid w:val="0"/>
                      <w:color w:val="000000" w:themeColor="text1"/>
                      <w:kern w:val="0"/>
                      <w:sz w:val="21"/>
                      <w:szCs w:val="21"/>
                      <w:lang w:val="en-US" w:eastAsia="zh-CN" w:bidi="ar-SA"/>
                      <w14:textFill>
                        <w14:solidFill>
                          <w14:schemeClr w14:val="tx1"/>
                        </w14:solidFill>
                      </w14:textFill>
                    </w:rPr>
                  </w:pPr>
                  <w:r>
                    <w:rPr>
                      <w:rFonts w:hint="eastAsia" w:ascii="Times New Roman" w:hAnsi="Times New Roman" w:cs="Times New Roman"/>
                      <w:color w:val="000000"/>
                      <w:sz w:val="21"/>
                      <w:szCs w:val="21"/>
                      <w:lang w:val="en-US" w:eastAsia="zh-CN"/>
                    </w:rPr>
                    <w:t>16</w:t>
                  </w:r>
                </w:p>
              </w:tc>
              <w:tc>
                <w:tcPr>
                  <w:tcW w:w="155" w:type="pct"/>
                  <w:shd w:val="clear" w:color="auto" w:fill="auto"/>
                  <w:noWrap w:val="0"/>
                  <w:vAlign w:val="center"/>
                </w:tcPr>
                <w:p w14:paraId="06AA610A">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bidi="ar"/>
                      <w14:textFill>
                        <w14:solidFill>
                          <w14:schemeClr w14:val="tx1"/>
                        </w14:solidFill>
                      </w14:textFill>
                    </w:rPr>
                    <w:t>3</w:t>
                  </w:r>
                </w:p>
              </w:tc>
              <w:tc>
                <w:tcPr>
                  <w:tcW w:w="155" w:type="pct"/>
                  <w:noWrap w:val="0"/>
                  <w:vAlign w:val="center"/>
                </w:tcPr>
                <w:p w14:paraId="124EAFF5">
                  <w:pPr>
                    <w:keepNext w:val="0"/>
                    <w:keepLines w:val="0"/>
                    <w:pageBreakBefore w:val="0"/>
                    <w:widowControl/>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bidi="ar"/>
                      <w14:textFill>
                        <w14:solidFill>
                          <w14:schemeClr w14:val="tx1"/>
                        </w14:solidFill>
                      </w14:textFill>
                    </w:rPr>
                    <w:t>21</w:t>
                  </w:r>
                </w:p>
              </w:tc>
              <w:tc>
                <w:tcPr>
                  <w:tcW w:w="155" w:type="pct"/>
                  <w:noWrap w:val="0"/>
                  <w:vAlign w:val="center"/>
                </w:tcPr>
                <w:p w14:paraId="2984862A">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bidi="ar"/>
                      <w14:textFill>
                        <w14:solidFill>
                          <w14:schemeClr w14:val="tx1"/>
                        </w14:solidFill>
                      </w14:textFill>
                    </w:rPr>
                    <w:t>37</w:t>
                  </w:r>
                </w:p>
              </w:tc>
              <w:tc>
                <w:tcPr>
                  <w:tcW w:w="155" w:type="pct"/>
                  <w:noWrap w:val="0"/>
                  <w:vAlign w:val="center"/>
                </w:tcPr>
                <w:p w14:paraId="76386379">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bidi="ar"/>
                      <w14:textFill>
                        <w14:solidFill>
                          <w14:schemeClr w14:val="tx1"/>
                        </w14:solidFill>
                      </w14:textFill>
                    </w:rPr>
                    <w:t>44</w:t>
                  </w:r>
                </w:p>
              </w:tc>
              <w:tc>
                <w:tcPr>
                  <w:tcW w:w="155" w:type="pct"/>
                  <w:noWrap w:val="0"/>
                  <w:vAlign w:val="center"/>
                </w:tcPr>
                <w:p w14:paraId="0ED0AA8B">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50</w:t>
                  </w:r>
                </w:p>
              </w:tc>
              <w:tc>
                <w:tcPr>
                  <w:tcW w:w="155" w:type="pct"/>
                  <w:noWrap w:val="0"/>
                  <w:vAlign w:val="center"/>
                </w:tcPr>
                <w:p w14:paraId="416F5DEC">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34</w:t>
                  </w:r>
                </w:p>
              </w:tc>
              <w:tc>
                <w:tcPr>
                  <w:tcW w:w="155" w:type="pct"/>
                  <w:noWrap w:val="0"/>
                  <w:vAlign w:val="center"/>
                </w:tcPr>
                <w:p w14:paraId="24EF5F0C">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29</w:t>
                  </w:r>
                </w:p>
              </w:tc>
              <w:tc>
                <w:tcPr>
                  <w:tcW w:w="156" w:type="pct"/>
                  <w:noWrap w:val="0"/>
                  <w:vAlign w:val="center"/>
                </w:tcPr>
                <w:p w14:paraId="06B7A0F9">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27</w:t>
                  </w:r>
                </w:p>
              </w:tc>
              <w:tc>
                <w:tcPr>
                  <w:tcW w:w="231" w:type="pct"/>
                  <w:vMerge w:val="continue"/>
                  <w:noWrap w:val="0"/>
                  <w:vAlign w:val="center"/>
                </w:tcPr>
                <w:p w14:paraId="016F9713">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259" w:type="pct"/>
                  <w:noWrap w:val="0"/>
                  <w:vAlign w:val="center"/>
                </w:tcPr>
                <w:p w14:paraId="40F506FE">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eastAsia"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15</w:t>
                  </w:r>
                </w:p>
              </w:tc>
              <w:tc>
                <w:tcPr>
                  <w:tcW w:w="160" w:type="pct"/>
                  <w:noWrap w:val="0"/>
                  <w:vAlign w:val="center"/>
                </w:tcPr>
                <w:p w14:paraId="041E2C43">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35</w:t>
                  </w:r>
                </w:p>
              </w:tc>
              <w:tc>
                <w:tcPr>
                  <w:tcW w:w="160" w:type="pct"/>
                  <w:noWrap w:val="0"/>
                  <w:vAlign w:val="center"/>
                </w:tcPr>
                <w:p w14:paraId="573A5566">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19</w:t>
                  </w:r>
                </w:p>
              </w:tc>
              <w:tc>
                <w:tcPr>
                  <w:tcW w:w="160" w:type="pct"/>
                  <w:noWrap w:val="0"/>
                  <w:vAlign w:val="center"/>
                </w:tcPr>
                <w:p w14:paraId="5B12D09B">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14</w:t>
                  </w:r>
                </w:p>
              </w:tc>
              <w:tc>
                <w:tcPr>
                  <w:tcW w:w="161" w:type="pct"/>
                  <w:noWrap w:val="0"/>
                  <w:vAlign w:val="center"/>
                </w:tcPr>
                <w:p w14:paraId="23B97AA4">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12</w:t>
                  </w:r>
                </w:p>
              </w:tc>
              <w:tc>
                <w:tcPr>
                  <w:tcW w:w="287" w:type="pct"/>
                  <w:noWrap w:val="0"/>
                  <w:vAlign w:val="center"/>
                </w:tcPr>
                <w:p w14:paraId="4129720D">
                  <w:pPr>
                    <w:keepNext w:val="0"/>
                    <w:keepLines w:val="0"/>
                    <w:pageBreakBefore w:val="0"/>
                    <w:widowControl/>
                    <w:kinsoku/>
                    <w:wordWrap/>
                    <w:overflowPunct/>
                    <w:topLinePunct w:val="0"/>
                    <w:bidi w:val="0"/>
                    <w:snapToGrid/>
                    <w:spacing w:line="360" w:lineRule="exact"/>
                    <w:jc w:val="center"/>
                    <w:textAlignment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1</w:t>
                  </w:r>
                </w:p>
              </w:tc>
            </w:tr>
            <w:tr w14:paraId="04EE6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52" w:type="pct"/>
                  <w:noWrap w:val="0"/>
                  <w:vAlign w:val="center"/>
                </w:tcPr>
                <w:p w14:paraId="17AF6A1A">
                  <w:pPr>
                    <w:keepNext w:val="0"/>
                    <w:keepLines w:val="0"/>
                    <w:pageBreakBefore w:val="0"/>
                    <w:widowControl/>
                    <w:kinsoku/>
                    <w:wordWrap/>
                    <w:overflowPunct/>
                    <w:topLinePunct w:val="0"/>
                    <w:bidi w:val="0"/>
                    <w:adjustRightInd w:val="0"/>
                    <w:snapToGrid/>
                    <w:spacing w:line="360" w:lineRule="exact"/>
                    <w:jc w:val="center"/>
                    <w:rPr>
                      <w:rFonts w:hint="eastAsia"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pPr>
                  <w:r>
                    <w:rPr>
                      <w:rFonts w:hint="eastAsia"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6</w:t>
                  </w:r>
                </w:p>
              </w:tc>
              <w:tc>
                <w:tcPr>
                  <w:tcW w:w="152" w:type="pct"/>
                  <w:vMerge w:val="continue"/>
                  <w:noWrap w:val="0"/>
                  <w:vAlign w:val="center"/>
                </w:tcPr>
                <w:p w14:paraId="7D353761">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312" w:type="pct"/>
                  <w:noWrap w:val="0"/>
                  <w:vAlign w:val="center"/>
                </w:tcPr>
                <w:p w14:paraId="28A5930D">
                  <w:pPr>
                    <w:keepNext w:val="0"/>
                    <w:keepLines w:val="0"/>
                    <w:pageBreakBefore w:val="0"/>
                    <w:widowControl/>
                    <w:kinsoku/>
                    <w:wordWrap/>
                    <w:overflowPunct/>
                    <w:topLinePunct w:val="0"/>
                    <w:autoSpaceDE w:val="0"/>
                    <w:autoSpaceDN w:val="0"/>
                    <w:bidi w:val="0"/>
                    <w:adjustRightInd/>
                    <w:snapToGrid/>
                    <w:spacing w:line="360" w:lineRule="exact"/>
                    <w:jc w:val="cente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pPr>
                  <w:r>
                    <w:rPr>
                      <w:rFonts w:hint="eastAsia" w:ascii="Times New Roman" w:hAnsi="Times New Roman" w:cs="Times New Roman"/>
                      <w:color w:val="000000"/>
                      <w:sz w:val="21"/>
                      <w:szCs w:val="21"/>
                      <w:lang w:val="en-US" w:eastAsia="zh-CN"/>
                    </w:rPr>
                    <w:t>空压机</w:t>
                  </w:r>
                </w:p>
              </w:tc>
              <w:tc>
                <w:tcPr>
                  <w:tcW w:w="352" w:type="pct"/>
                  <w:noWrap w:val="0"/>
                  <w:vAlign w:val="center"/>
                </w:tcPr>
                <w:p w14:paraId="31E4E0AF">
                  <w:pPr>
                    <w:keepNext w:val="0"/>
                    <w:keepLines w:val="0"/>
                    <w:pageBreakBefore w:val="0"/>
                    <w:widowControl/>
                    <w:kinsoku/>
                    <w:wordWrap/>
                    <w:overflowPunct/>
                    <w:topLinePunct w:val="0"/>
                    <w:autoSpaceDE w:val="0"/>
                    <w:autoSpaceDN w:val="0"/>
                    <w:bidi w:val="0"/>
                    <w:adjustRightInd/>
                    <w:snapToGrid/>
                    <w:spacing w:line="360" w:lineRule="exact"/>
                    <w:jc w:val="center"/>
                    <w:rPr>
                      <w:rFonts w:hint="default" w:ascii="Times New Roman" w:hAnsi="Times New Roman" w:eastAsia="宋体" w:cs="Times New Roman"/>
                      <w:b w:val="0"/>
                      <w:bCs w:val="0"/>
                      <w:color w:val="000000" w:themeColor="text1"/>
                      <w:kern w:val="0"/>
                      <w:sz w:val="21"/>
                      <w:szCs w:val="21"/>
                      <w:lang w:eastAsia="zh-CN" w:bidi="ar"/>
                      <w14:textFill>
                        <w14:solidFill>
                          <w14:schemeClr w14:val="tx1"/>
                        </w14:solidFill>
                      </w14:textFill>
                    </w:rPr>
                  </w:pPr>
                  <w:r>
                    <w:rPr>
                      <w:rFonts w:hint="eastAsia" w:ascii="Times New Roman" w:hAnsi="Times New Roman" w:cs="Times New Roman"/>
                      <w:sz w:val="21"/>
                      <w:szCs w:val="21"/>
                      <w:lang w:val="en-US" w:eastAsia="zh-CN"/>
                    </w:rPr>
                    <w:t>/</w:t>
                  </w:r>
                </w:p>
              </w:tc>
              <w:tc>
                <w:tcPr>
                  <w:tcW w:w="227" w:type="pct"/>
                  <w:noWrap w:val="0"/>
                  <w:vAlign w:val="center"/>
                </w:tcPr>
                <w:p w14:paraId="7B673C32">
                  <w:pPr>
                    <w:keepNext w:val="0"/>
                    <w:keepLines w:val="0"/>
                    <w:pageBreakBefore w:val="0"/>
                    <w:widowControl/>
                    <w:kinsoku/>
                    <w:wordWrap/>
                    <w:overflowPunct/>
                    <w:topLinePunct w:val="0"/>
                    <w:autoSpaceDE w:val="0"/>
                    <w:autoSpaceDN w:val="0"/>
                    <w:bidi w:val="0"/>
                    <w:adjustRightInd/>
                    <w:snapToGrid/>
                    <w:spacing w:line="360" w:lineRule="exact"/>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eastAsia" w:ascii="Times New Roman" w:hAnsi="Times New Roman" w:cs="Times New Roman"/>
                      <w:sz w:val="21"/>
                      <w:szCs w:val="21"/>
                      <w:lang w:val="en-US" w:eastAsia="zh-CN"/>
                    </w:rPr>
                    <w:t>1</w:t>
                  </w:r>
                </w:p>
              </w:tc>
              <w:tc>
                <w:tcPr>
                  <w:tcW w:w="290" w:type="pct"/>
                  <w:noWrap w:val="0"/>
                  <w:vAlign w:val="center"/>
                </w:tcPr>
                <w:p w14:paraId="769354BF">
                  <w:pPr>
                    <w:keepNext w:val="0"/>
                    <w:keepLines w:val="0"/>
                    <w:pageBreakBefore w:val="0"/>
                    <w:widowControl/>
                    <w:kinsoku/>
                    <w:wordWrap/>
                    <w:overflowPunct/>
                    <w:topLinePunct w:val="0"/>
                    <w:bidi w:val="0"/>
                    <w:adjustRightInd/>
                    <w:snapToGrid/>
                    <w:spacing w:line="360" w:lineRule="exact"/>
                    <w:jc w:val="center"/>
                    <w:textAlignment w:val="center"/>
                    <w:rPr>
                      <w:rFonts w:hint="default" w:ascii="Times New Roman" w:hAnsi="Times New Roman" w:eastAsia="宋体" w:cs="Times New Roman"/>
                      <w:b w:val="0"/>
                      <w:bCs w:val="0"/>
                      <w:color w:val="000000" w:themeColor="text1"/>
                      <w:sz w:val="21"/>
                      <w:szCs w:val="21"/>
                      <w:lang w:val="en-US"/>
                      <w14:textFill>
                        <w14:solidFill>
                          <w14:schemeClr w14:val="tx1"/>
                        </w14:solidFill>
                      </w14:textFill>
                    </w:rPr>
                  </w:pPr>
                  <w:r>
                    <w:rPr>
                      <w:rFonts w:hint="eastAsia" w:ascii="Times New Roman" w:hAnsi="Times New Roman" w:cs="Times New Roman"/>
                      <w:color w:val="000000"/>
                      <w:sz w:val="21"/>
                      <w:szCs w:val="21"/>
                      <w:lang w:val="en-US" w:eastAsia="zh-CN"/>
                    </w:rPr>
                    <w:t>80</w:t>
                  </w:r>
                </w:p>
              </w:tc>
              <w:tc>
                <w:tcPr>
                  <w:tcW w:w="227" w:type="pct"/>
                  <w:vMerge w:val="continue"/>
                  <w:noWrap w:val="0"/>
                  <w:vAlign w:val="center"/>
                </w:tcPr>
                <w:p w14:paraId="5A49CF52">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233" w:type="pct"/>
                  <w:shd w:val="clear" w:color="auto" w:fill="auto"/>
                  <w:noWrap w:val="0"/>
                  <w:vAlign w:val="center"/>
                </w:tcPr>
                <w:p w14:paraId="70F08071">
                  <w:pPr>
                    <w:pStyle w:val="16"/>
                    <w:keepNext w:val="0"/>
                    <w:keepLines w:val="0"/>
                    <w:pageBreakBefore w:val="0"/>
                    <w:kinsoku/>
                    <w:wordWrap/>
                    <w:overflowPunct/>
                    <w:topLinePunct w:val="0"/>
                    <w:bidi w:val="0"/>
                    <w:adjustRightInd/>
                    <w:snapToGrid/>
                    <w:spacing w:line="360" w:lineRule="exact"/>
                    <w:jc w:val="center"/>
                    <w:rPr>
                      <w:rFonts w:hint="default" w:ascii="Times New Roman" w:hAnsi="Times New Roman" w:eastAsia="宋体" w:cs="Times New Roman"/>
                      <w:b w:val="0"/>
                      <w:bCs w:val="0"/>
                      <w:snapToGrid w:val="0"/>
                      <w:color w:val="000000" w:themeColor="text1"/>
                      <w:kern w:val="0"/>
                      <w:sz w:val="21"/>
                      <w:szCs w:val="21"/>
                      <w:lang w:val="en-US" w:eastAsia="zh-CN" w:bidi="ar-SA"/>
                      <w14:textFill>
                        <w14:solidFill>
                          <w14:schemeClr w14:val="tx1"/>
                        </w14:solidFill>
                      </w14:textFill>
                    </w:rPr>
                  </w:pPr>
                  <w:r>
                    <w:rPr>
                      <w:rFonts w:hint="eastAsia" w:ascii="Times New Roman" w:hAnsi="Times New Roman" w:cs="Times New Roman"/>
                      <w:color w:val="000000"/>
                      <w:sz w:val="21"/>
                      <w:szCs w:val="21"/>
                      <w:lang w:val="en-US" w:eastAsia="zh-CN"/>
                    </w:rPr>
                    <w:t>31</w:t>
                  </w:r>
                </w:p>
              </w:tc>
              <w:tc>
                <w:tcPr>
                  <w:tcW w:w="233" w:type="pct"/>
                  <w:shd w:val="clear" w:color="auto" w:fill="auto"/>
                  <w:noWrap w:val="0"/>
                  <w:vAlign w:val="center"/>
                </w:tcPr>
                <w:p w14:paraId="68FDE391">
                  <w:pPr>
                    <w:pStyle w:val="16"/>
                    <w:keepNext w:val="0"/>
                    <w:keepLines w:val="0"/>
                    <w:pageBreakBefore w:val="0"/>
                    <w:kinsoku/>
                    <w:wordWrap/>
                    <w:overflowPunct/>
                    <w:topLinePunct w:val="0"/>
                    <w:bidi w:val="0"/>
                    <w:adjustRightInd/>
                    <w:snapToGrid/>
                    <w:spacing w:line="360" w:lineRule="exact"/>
                    <w:jc w:val="center"/>
                    <w:rPr>
                      <w:rFonts w:hint="default" w:ascii="Times New Roman" w:hAnsi="Times New Roman" w:eastAsia="宋体" w:cs="Times New Roman"/>
                      <w:b w:val="0"/>
                      <w:bCs w:val="0"/>
                      <w:snapToGrid w:val="0"/>
                      <w:color w:val="000000" w:themeColor="text1"/>
                      <w:kern w:val="0"/>
                      <w:sz w:val="21"/>
                      <w:szCs w:val="21"/>
                      <w:lang w:val="en-US" w:eastAsia="zh-CN" w:bidi="ar-SA"/>
                      <w14:textFill>
                        <w14:solidFill>
                          <w14:schemeClr w14:val="tx1"/>
                        </w14:solidFill>
                      </w14:textFill>
                    </w:rPr>
                  </w:pPr>
                  <w:r>
                    <w:rPr>
                      <w:rFonts w:hint="eastAsia" w:ascii="Times New Roman" w:hAnsi="Times New Roman" w:cs="Times New Roman"/>
                      <w:color w:val="000000"/>
                      <w:sz w:val="21"/>
                      <w:szCs w:val="21"/>
                      <w:lang w:val="en-US" w:eastAsia="zh-CN"/>
                    </w:rPr>
                    <w:t>33</w:t>
                  </w:r>
                </w:p>
              </w:tc>
              <w:tc>
                <w:tcPr>
                  <w:tcW w:w="154" w:type="pct"/>
                  <w:shd w:val="clear" w:color="auto" w:fill="auto"/>
                  <w:noWrap w:val="0"/>
                  <w:vAlign w:val="center"/>
                </w:tcPr>
                <w:p w14:paraId="67FC4209">
                  <w:pPr>
                    <w:keepNext w:val="0"/>
                    <w:keepLines w:val="0"/>
                    <w:pageBreakBefore w:val="0"/>
                    <w:kinsoku/>
                    <w:wordWrap/>
                    <w:overflowPunct/>
                    <w:topLinePunct w:val="0"/>
                    <w:bidi w:val="0"/>
                    <w:adjustRightInd/>
                    <w:snapToGrid/>
                    <w:spacing w:line="360" w:lineRule="exact"/>
                    <w:jc w:val="center"/>
                    <w:rPr>
                      <w:rFonts w:hint="default" w:ascii="Times New Roman" w:hAnsi="Times New Roman" w:eastAsia="宋体" w:cs="Times New Roman"/>
                      <w:b w:val="0"/>
                      <w:bCs w:val="0"/>
                      <w:snapToGrid w:val="0"/>
                      <w:color w:val="000000" w:themeColor="text1"/>
                      <w:kern w:val="0"/>
                      <w:sz w:val="21"/>
                      <w:szCs w:val="21"/>
                      <w:lang w:val="en-US" w:eastAsia="zh-CN" w:bidi="ar-SA"/>
                      <w14:textFill>
                        <w14:solidFill>
                          <w14:schemeClr w14:val="tx1"/>
                        </w14:solidFill>
                      </w14:textFill>
                    </w:rPr>
                  </w:pPr>
                  <w:r>
                    <w:rPr>
                      <w:rFonts w:hint="eastAsia" w:ascii="Times New Roman" w:hAnsi="Times New Roman" w:cs="Times New Roman"/>
                      <w:color w:val="000000"/>
                      <w:sz w:val="21"/>
                      <w:szCs w:val="21"/>
                      <w:lang w:val="en-US" w:eastAsia="zh-CN"/>
                    </w:rPr>
                    <w:t>16</w:t>
                  </w:r>
                </w:p>
              </w:tc>
              <w:tc>
                <w:tcPr>
                  <w:tcW w:w="155" w:type="pct"/>
                  <w:shd w:val="clear" w:color="auto" w:fill="auto"/>
                  <w:noWrap w:val="0"/>
                  <w:vAlign w:val="center"/>
                </w:tcPr>
                <w:p w14:paraId="50342100">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bidi="ar"/>
                      <w14:textFill>
                        <w14:solidFill>
                          <w14:schemeClr w14:val="tx1"/>
                        </w14:solidFill>
                      </w14:textFill>
                    </w:rPr>
                    <w:t>8</w:t>
                  </w:r>
                </w:p>
              </w:tc>
              <w:tc>
                <w:tcPr>
                  <w:tcW w:w="155" w:type="pct"/>
                  <w:noWrap w:val="0"/>
                  <w:vAlign w:val="center"/>
                </w:tcPr>
                <w:p w14:paraId="32D0A0A4">
                  <w:pPr>
                    <w:keepNext w:val="0"/>
                    <w:keepLines w:val="0"/>
                    <w:pageBreakBefore w:val="0"/>
                    <w:widowControl/>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bidi="ar"/>
                      <w14:textFill>
                        <w14:solidFill>
                          <w14:schemeClr w14:val="tx1"/>
                        </w14:solidFill>
                      </w14:textFill>
                    </w:rPr>
                    <w:t>32</w:t>
                  </w:r>
                </w:p>
              </w:tc>
              <w:tc>
                <w:tcPr>
                  <w:tcW w:w="155" w:type="pct"/>
                  <w:noWrap w:val="0"/>
                  <w:vAlign w:val="center"/>
                </w:tcPr>
                <w:p w14:paraId="61E9E0D6">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bidi="ar"/>
                      <w14:textFill>
                        <w14:solidFill>
                          <w14:schemeClr w14:val="tx1"/>
                        </w14:solidFill>
                      </w14:textFill>
                    </w:rPr>
                    <w:t>32</w:t>
                  </w:r>
                </w:p>
              </w:tc>
              <w:tc>
                <w:tcPr>
                  <w:tcW w:w="155" w:type="pct"/>
                  <w:noWrap w:val="0"/>
                  <w:vAlign w:val="center"/>
                </w:tcPr>
                <w:p w14:paraId="2233094E">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bidi="ar"/>
                      <w14:textFill>
                        <w14:solidFill>
                          <w14:schemeClr w14:val="tx1"/>
                        </w14:solidFill>
                      </w14:textFill>
                    </w:rPr>
                    <w:t>33</w:t>
                  </w:r>
                </w:p>
              </w:tc>
              <w:tc>
                <w:tcPr>
                  <w:tcW w:w="155" w:type="pct"/>
                  <w:noWrap w:val="0"/>
                  <w:vAlign w:val="center"/>
                </w:tcPr>
                <w:p w14:paraId="74B36433">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62</w:t>
                  </w:r>
                </w:p>
              </w:tc>
              <w:tc>
                <w:tcPr>
                  <w:tcW w:w="155" w:type="pct"/>
                  <w:noWrap w:val="0"/>
                  <w:vAlign w:val="center"/>
                </w:tcPr>
                <w:p w14:paraId="28517FAE">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50</w:t>
                  </w:r>
                </w:p>
              </w:tc>
              <w:tc>
                <w:tcPr>
                  <w:tcW w:w="155" w:type="pct"/>
                  <w:noWrap w:val="0"/>
                  <w:vAlign w:val="center"/>
                </w:tcPr>
                <w:p w14:paraId="31714648">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50</w:t>
                  </w:r>
                </w:p>
              </w:tc>
              <w:tc>
                <w:tcPr>
                  <w:tcW w:w="156" w:type="pct"/>
                  <w:noWrap w:val="0"/>
                  <w:vAlign w:val="center"/>
                </w:tcPr>
                <w:p w14:paraId="512DBD86">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50</w:t>
                  </w:r>
                </w:p>
              </w:tc>
              <w:tc>
                <w:tcPr>
                  <w:tcW w:w="231" w:type="pct"/>
                  <w:vMerge w:val="continue"/>
                  <w:noWrap w:val="0"/>
                  <w:vAlign w:val="center"/>
                </w:tcPr>
                <w:p w14:paraId="749653F2">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p>
              </w:tc>
              <w:tc>
                <w:tcPr>
                  <w:tcW w:w="259" w:type="pct"/>
                  <w:noWrap w:val="0"/>
                  <w:vAlign w:val="center"/>
                </w:tcPr>
                <w:p w14:paraId="333866B5">
                  <w:pPr>
                    <w:keepNext w:val="0"/>
                    <w:keepLines w:val="0"/>
                    <w:pageBreakBefore w:val="0"/>
                    <w:widowControl/>
                    <w:kinsoku/>
                    <w:wordWrap/>
                    <w:overflowPunct/>
                    <w:topLinePunct w:val="0"/>
                    <w:bidi w:val="0"/>
                    <w:adjustRightInd w:val="0"/>
                    <w:snapToGrid/>
                    <w:spacing w:line="360" w:lineRule="exact"/>
                    <w:jc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eastAsia" w:ascii="Times New Roman" w:hAnsi="Times New Roman" w:eastAsia="宋体" w:cs="Times New Roman"/>
                      <w:b w:val="0"/>
                      <w:bCs w:val="0"/>
                      <w:snapToGrid w:val="0"/>
                      <w:color w:val="000000" w:themeColor="text1"/>
                      <w:kern w:val="0"/>
                      <w:sz w:val="21"/>
                      <w:szCs w:val="21"/>
                      <w:lang w:val="en-US" w:eastAsia="zh-CN"/>
                      <w14:textFill>
                        <w14:solidFill>
                          <w14:schemeClr w14:val="tx1"/>
                        </w14:solidFill>
                      </w14:textFill>
                    </w:rPr>
                    <w:t>15</w:t>
                  </w:r>
                </w:p>
              </w:tc>
              <w:tc>
                <w:tcPr>
                  <w:tcW w:w="160" w:type="pct"/>
                  <w:noWrap w:val="0"/>
                  <w:vAlign w:val="center"/>
                </w:tcPr>
                <w:p w14:paraId="040EC993">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47</w:t>
                  </w:r>
                </w:p>
              </w:tc>
              <w:tc>
                <w:tcPr>
                  <w:tcW w:w="160" w:type="pct"/>
                  <w:noWrap w:val="0"/>
                  <w:vAlign w:val="center"/>
                </w:tcPr>
                <w:p w14:paraId="1C9788D1">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35</w:t>
                  </w:r>
                </w:p>
              </w:tc>
              <w:tc>
                <w:tcPr>
                  <w:tcW w:w="160" w:type="pct"/>
                  <w:noWrap w:val="0"/>
                  <w:vAlign w:val="center"/>
                </w:tcPr>
                <w:p w14:paraId="24EE47FF">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35</w:t>
                  </w:r>
                </w:p>
              </w:tc>
              <w:tc>
                <w:tcPr>
                  <w:tcW w:w="161" w:type="pct"/>
                  <w:noWrap w:val="0"/>
                  <w:vAlign w:val="center"/>
                </w:tcPr>
                <w:p w14:paraId="2E05296C">
                  <w:pPr>
                    <w:keepNext w:val="0"/>
                    <w:keepLines w:val="0"/>
                    <w:pageBreakBefore w:val="0"/>
                    <w:widowControl/>
                    <w:suppressLineNumbers w:val="0"/>
                    <w:kinsoku/>
                    <w:wordWrap/>
                    <w:overflowPunct/>
                    <w:topLinePunct w:val="0"/>
                    <w:bidi w:val="0"/>
                    <w:snapToGrid/>
                    <w:spacing w:line="360" w:lineRule="exact"/>
                    <w:jc w:val="center"/>
                    <w:textAlignment w:val="cente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35</w:t>
                  </w:r>
                </w:p>
              </w:tc>
              <w:tc>
                <w:tcPr>
                  <w:tcW w:w="287" w:type="pct"/>
                  <w:noWrap w:val="0"/>
                  <w:vAlign w:val="center"/>
                </w:tcPr>
                <w:p w14:paraId="302596A2">
                  <w:pPr>
                    <w:keepNext w:val="0"/>
                    <w:keepLines w:val="0"/>
                    <w:pageBreakBefore w:val="0"/>
                    <w:widowControl/>
                    <w:kinsoku/>
                    <w:wordWrap/>
                    <w:overflowPunct/>
                    <w:topLinePunct w:val="0"/>
                    <w:bidi w:val="0"/>
                    <w:snapToGrid/>
                    <w:spacing w:line="360" w:lineRule="exact"/>
                    <w:jc w:val="center"/>
                    <w:textAlignment w:val="center"/>
                    <w:rPr>
                      <w:rFonts w:hint="default" w:ascii="Times New Roman" w:hAnsi="Times New Roman" w:eastAsia="宋体" w:cs="Times New Roman"/>
                      <w:b w:val="0"/>
                      <w:bCs w:val="0"/>
                      <w:snapToGrid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lang w:bidi="ar"/>
                      <w14:textFill>
                        <w14:solidFill>
                          <w14:schemeClr w14:val="tx1"/>
                        </w14:solidFill>
                      </w14:textFill>
                    </w:rPr>
                    <w:t>1</w:t>
                  </w:r>
                </w:p>
              </w:tc>
            </w:tr>
            <w:tr w14:paraId="25137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25"/>
                  <w:noWrap w:val="0"/>
                  <w:vAlign w:val="center"/>
                </w:tcPr>
                <w:p w14:paraId="74626B44">
                  <w:pPr>
                    <w:keepNext w:val="0"/>
                    <w:keepLines w:val="0"/>
                    <w:pageBreakBefore w:val="0"/>
                    <w:widowControl/>
                    <w:kinsoku/>
                    <w:wordWrap/>
                    <w:overflowPunct/>
                    <w:topLinePunct w:val="0"/>
                    <w:bidi w:val="0"/>
                    <w:snapToGrid/>
                    <w:spacing w:line="360" w:lineRule="exact"/>
                    <w:jc w:val="both"/>
                    <w:textAlignment w:val="center"/>
                    <w:rPr>
                      <w:rFonts w:hint="eastAsia" w:ascii="Times New Roman" w:hAnsi="Times New Roman" w:cs="Times New Roman" w:eastAsiaTheme="minorEastAsia"/>
                      <w:b w:val="0"/>
                      <w:bCs w:val="0"/>
                      <w:color w:val="000000" w:themeColor="text1"/>
                      <w:kern w:val="0"/>
                      <w:sz w:val="21"/>
                      <w:szCs w:val="21"/>
                      <w:lang w:eastAsia="zh-CN" w:bidi="ar"/>
                      <w14:textFill>
                        <w14:solidFill>
                          <w14:schemeClr w14:val="tx1"/>
                        </w14:solidFill>
                      </w14:textFill>
                    </w:rPr>
                  </w:pPr>
                  <w:r>
                    <w:rPr>
                      <w:rFonts w:hint="eastAsia" w:ascii="Times New Roman" w:hAnsi="Times New Roman" w:cs="Times New Roman"/>
                      <w:sz w:val="18"/>
                      <w:szCs w:val="18"/>
                      <w:lang w:val="en-US" w:eastAsia="zh-CN"/>
                    </w:rPr>
                    <w:t>注：</w:t>
                  </w:r>
                  <w:r>
                    <w:rPr>
                      <w:rFonts w:hint="default" w:ascii="Times New Roman" w:hAnsi="Times New Roman" w:cs="Times New Roman"/>
                      <w:sz w:val="18"/>
                      <w:szCs w:val="18"/>
                    </w:rPr>
                    <w:t>以厂房西南角为原点，南厂界为X轴，西厂界为Y轴</w:t>
                  </w:r>
                  <w:r>
                    <w:rPr>
                      <w:rFonts w:hint="eastAsia" w:ascii="Times New Roman" w:hAnsi="Times New Roman" w:cs="Times New Roman"/>
                      <w:sz w:val="18"/>
                      <w:szCs w:val="18"/>
                      <w:lang w:eastAsia="zh-CN"/>
                    </w:rPr>
                    <w:t>。</w:t>
                  </w:r>
                </w:p>
              </w:tc>
            </w:tr>
            <w:bookmarkEnd w:id="1"/>
            <w:bookmarkEnd w:id="2"/>
            <w:bookmarkEnd w:id="3"/>
            <w:bookmarkEnd w:id="4"/>
            <w:bookmarkEnd w:id="5"/>
            <w:bookmarkEnd w:id="6"/>
            <w:bookmarkEnd w:id="7"/>
            <w:bookmarkEnd w:id="8"/>
          </w:tbl>
          <w:p w14:paraId="44F0C845">
            <w:pPr>
              <w:rPr>
                <w:rFonts w:hint="eastAsia"/>
                <w:vertAlign w:val="baseline"/>
                <w:lang w:eastAsia="zh-CN"/>
              </w:rPr>
            </w:pPr>
          </w:p>
          <w:p w14:paraId="4966D7A3">
            <w:pPr>
              <w:rPr>
                <w:rFonts w:hint="eastAsia"/>
                <w:vertAlign w:val="baseline"/>
                <w:lang w:eastAsia="zh-CN"/>
              </w:rPr>
            </w:pPr>
          </w:p>
          <w:p w14:paraId="5445D676">
            <w:pPr>
              <w:rPr>
                <w:rFonts w:hint="eastAsia"/>
                <w:vertAlign w:val="baseline"/>
                <w:lang w:eastAsia="zh-CN"/>
              </w:rPr>
            </w:pPr>
          </w:p>
          <w:p w14:paraId="136EBC28">
            <w:pPr>
              <w:rPr>
                <w:rFonts w:hint="eastAsia"/>
                <w:vertAlign w:val="baseline"/>
                <w:lang w:eastAsia="zh-CN"/>
              </w:rPr>
            </w:pPr>
          </w:p>
          <w:p w14:paraId="30373B6C">
            <w:pPr>
              <w:rPr>
                <w:rFonts w:hint="eastAsia"/>
                <w:vertAlign w:val="baseline"/>
                <w:lang w:eastAsia="zh-CN"/>
              </w:rPr>
            </w:pPr>
          </w:p>
          <w:p w14:paraId="75428D2A">
            <w:pPr>
              <w:rPr>
                <w:rFonts w:hint="eastAsia"/>
                <w:vertAlign w:val="baseline"/>
                <w:lang w:eastAsia="zh-CN"/>
              </w:rPr>
            </w:pPr>
          </w:p>
          <w:p w14:paraId="015623BD">
            <w:pPr>
              <w:rPr>
                <w:rFonts w:hint="eastAsia" w:eastAsiaTheme="minorEastAsia"/>
                <w:vertAlign w:val="baseline"/>
                <w:lang w:eastAsia="zh-CN"/>
              </w:rPr>
            </w:pPr>
          </w:p>
        </w:tc>
      </w:tr>
    </w:tbl>
    <w:p w14:paraId="728A957F">
      <w:pPr>
        <w:sectPr>
          <w:pgSz w:w="16838" w:h="11906" w:orient="landscape"/>
          <w:pgMar w:top="1417" w:right="1417" w:bottom="1417" w:left="1417" w:header="851" w:footer="992" w:gutter="0"/>
          <w:pgNumType w:fmt="decimal"/>
          <w:cols w:space="425" w:num="1"/>
          <w:docGrid w:type="lines" w:linePitch="312" w:charSpace="0"/>
        </w:sectPr>
      </w:pP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5"/>
        <w:gridCol w:w="8391"/>
      </w:tblGrid>
      <w:tr w14:paraId="5025C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tcPr>
          <w:p w14:paraId="4545A9D8">
            <w:pPr>
              <w:rPr>
                <w:vertAlign w:val="baseline"/>
              </w:rPr>
            </w:pPr>
          </w:p>
        </w:tc>
        <w:tc>
          <w:tcPr>
            <w:tcW w:w="4517" w:type="pct"/>
          </w:tcPr>
          <w:p w14:paraId="01524899">
            <w:pPr>
              <w:pStyle w:val="13"/>
              <w:shd w:val="clear"/>
              <w:spacing w:line="360" w:lineRule="auto"/>
              <w:ind w:left="0" w:leftChars="0" w:firstLine="0" w:firstLineChars="0"/>
              <w:jc w:val="center"/>
              <w:rPr>
                <w:rFonts w:hint="default" w:ascii="Times New Roman" w:hAnsi="Times New Roman" w:eastAsia="黑体" w:cs="Times New Roman"/>
                <w:b w:val="0"/>
                <w:bCs w:val="0"/>
                <w:sz w:val="21"/>
                <w:szCs w:val="21"/>
              </w:rPr>
            </w:pPr>
            <w:r>
              <w:rPr>
                <w:rFonts w:hint="default" w:ascii="Times New Roman" w:hAnsi="Times New Roman" w:eastAsia="黑体" w:cs="Times New Roman"/>
                <w:b w:val="0"/>
                <w:bCs w:val="0"/>
                <w:sz w:val="21"/>
                <w:szCs w:val="21"/>
              </w:rPr>
              <w:t>表</w:t>
            </w:r>
            <w:r>
              <w:rPr>
                <w:rFonts w:hint="eastAsia" w:ascii="Times New Roman" w:hAnsi="Times New Roman" w:eastAsia="黑体" w:cs="Times New Roman"/>
                <w:b w:val="0"/>
                <w:bCs w:val="0"/>
                <w:sz w:val="21"/>
                <w:szCs w:val="21"/>
                <w:lang w:val="en-US" w:eastAsia="zh-CN"/>
              </w:rPr>
              <w:t>4-11</w:t>
            </w:r>
            <w:r>
              <w:rPr>
                <w:rFonts w:hint="default" w:ascii="Times New Roman" w:hAnsi="Times New Roman" w:eastAsia="黑体" w:cs="Times New Roman"/>
                <w:b w:val="0"/>
                <w:bCs w:val="0"/>
                <w:sz w:val="21"/>
                <w:szCs w:val="21"/>
              </w:rPr>
              <w:t xml:space="preserve"> 项目噪声源强一览表（室外声源）</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472"/>
              <w:gridCol w:w="1137"/>
              <w:gridCol w:w="787"/>
              <w:gridCol w:w="874"/>
              <w:gridCol w:w="699"/>
              <w:gridCol w:w="705"/>
              <w:gridCol w:w="1138"/>
              <w:gridCol w:w="1236"/>
              <w:gridCol w:w="1117"/>
            </w:tblGrid>
            <w:tr w14:paraId="7B9AE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289" w:type="pct"/>
                  <w:vMerge w:val="restart"/>
                  <w:tcBorders>
                    <w:tl2br w:val="nil"/>
                    <w:tr2bl w:val="nil"/>
                  </w:tcBorders>
                  <w:noWrap w:val="0"/>
                  <w:vAlign w:val="center"/>
                </w:tcPr>
                <w:p w14:paraId="5962B007">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序号</w:t>
                  </w:r>
                </w:p>
              </w:tc>
              <w:tc>
                <w:tcPr>
                  <w:tcW w:w="696" w:type="pct"/>
                  <w:vMerge w:val="restart"/>
                  <w:tcBorders>
                    <w:tl2br w:val="nil"/>
                    <w:tr2bl w:val="nil"/>
                  </w:tcBorders>
                  <w:noWrap w:val="0"/>
                  <w:vAlign w:val="center"/>
                </w:tcPr>
                <w:p w14:paraId="71E51465">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声源名称</w:t>
                  </w:r>
                </w:p>
              </w:tc>
              <w:tc>
                <w:tcPr>
                  <w:tcW w:w="482" w:type="pct"/>
                  <w:vMerge w:val="restart"/>
                  <w:tcBorders>
                    <w:tl2br w:val="nil"/>
                    <w:tr2bl w:val="nil"/>
                  </w:tcBorders>
                  <w:noWrap w:val="0"/>
                  <w:vAlign w:val="center"/>
                </w:tcPr>
                <w:p w14:paraId="57E419D9">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型号</w:t>
                  </w:r>
                </w:p>
              </w:tc>
              <w:tc>
                <w:tcPr>
                  <w:tcW w:w="1395" w:type="pct"/>
                  <w:gridSpan w:val="3"/>
                  <w:tcBorders>
                    <w:tl2br w:val="nil"/>
                    <w:tr2bl w:val="nil"/>
                  </w:tcBorders>
                  <w:noWrap w:val="0"/>
                  <w:vAlign w:val="center"/>
                </w:tcPr>
                <w:p w14:paraId="1F1F7C92">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空间相对位置/m</w:t>
                  </w:r>
                </w:p>
              </w:tc>
              <w:tc>
                <w:tcPr>
                  <w:tcW w:w="697" w:type="pct"/>
                  <w:tcBorders>
                    <w:tl2br w:val="nil"/>
                    <w:tr2bl w:val="nil"/>
                  </w:tcBorders>
                  <w:noWrap w:val="0"/>
                  <w:vAlign w:val="center"/>
                </w:tcPr>
                <w:p w14:paraId="2855B29B">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声源源强</w:t>
                  </w:r>
                </w:p>
              </w:tc>
              <w:tc>
                <w:tcPr>
                  <w:tcW w:w="757" w:type="pct"/>
                  <w:vMerge w:val="restart"/>
                  <w:tcBorders>
                    <w:tl2br w:val="nil"/>
                    <w:tr2bl w:val="nil"/>
                  </w:tcBorders>
                  <w:noWrap w:val="0"/>
                  <w:vAlign w:val="center"/>
                </w:tcPr>
                <w:p w14:paraId="79403499">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声源控制措施</w:t>
                  </w:r>
                </w:p>
              </w:tc>
              <w:tc>
                <w:tcPr>
                  <w:tcW w:w="681" w:type="pct"/>
                  <w:vMerge w:val="restart"/>
                  <w:tcBorders>
                    <w:tl2br w:val="nil"/>
                    <w:tr2bl w:val="nil"/>
                  </w:tcBorders>
                  <w:noWrap w:val="0"/>
                  <w:vAlign w:val="center"/>
                </w:tcPr>
                <w:p w14:paraId="34B9ABC7">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运行时段</w:t>
                  </w:r>
                </w:p>
              </w:tc>
            </w:tr>
            <w:tr w14:paraId="55C28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289" w:type="pct"/>
                  <w:vMerge w:val="continue"/>
                  <w:tcBorders>
                    <w:tl2br w:val="nil"/>
                    <w:tr2bl w:val="nil"/>
                  </w:tcBorders>
                  <w:noWrap w:val="0"/>
                  <w:vAlign w:val="center"/>
                </w:tcPr>
                <w:p w14:paraId="45979378">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p>
              </w:tc>
              <w:tc>
                <w:tcPr>
                  <w:tcW w:w="696" w:type="pct"/>
                  <w:vMerge w:val="continue"/>
                  <w:tcBorders>
                    <w:tl2br w:val="nil"/>
                    <w:tr2bl w:val="nil"/>
                  </w:tcBorders>
                  <w:noWrap w:val="0"/>
                  <w:vAlign w:val="center"/>
                </w:tcPr>
                <w:p w14:paraId="18F66E6F">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p>
              </w:tc>
              <w:tc>
                <w:tcPr>
                  <w:tcW w:w="482" w:type="pct"/>
                  <w:vMerge w:val="continue"/>
                  <w:tcBorders>
                    <w:tl2br w:val="nil"/>
                    <w:tr2bl w:val="nil"/>
                  </w:tcBorders>
                  <w:noWrap w:val="0"/>
                  <w:vAlign w:val="center"/>
                </w:tcPr>
                <w:p w14:paraId="3C2F1C96">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p>
              </w:tc>
              <w:tc>
                <w:tcPr>
                  <w:tcW w:w="535" w:type="pct"/>
                  <w:tcBorders>
                    <w:tl2br w:val="nil"/>
                    <w:tr2bl w:val="nil"/>
                  </w:tcBorders>
                  <w:noWrap w:val="0"/>
                  <w:vAlign w:val="center"/>
                </w:tcPr>
                <w:p w14:paraId="6FBACFAC">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X</w:t>
                  </w:r>
                </w:p>
              </w:tc>
              <w:tc>
                <w:tcPr>
                  <w:tcW w:w="428" w:type="pct"/>
                  <w:tcBorders>
                    <w:tl2br w:val="nil"/>
                    <w:tr2bl w:val="nil"/>
                  </w:tcBorders>
                  <w:noWrap w:val="0"/>
                  <w:vAlign w:val="center"/>
                </w:tcPr>
                <w:p w14:paraId="499476A0">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Y</w:t>
                  </w:r>
                </w:p>
              </w:tc>
              <w:tc>
                <w:tcPr>
                  <w:tcW w:w="430" w:type="pct"/>
                  <w:tcBorders>
                    <w:tl2br w:val="nil"/>
                    <w:tr2bl w:val="nil"/>
                  </w:tcBorders>
                  <w:noWrap w:val="0"/>
                  <w:vAlign w:val="center"/>
                </w:tcPr>
                <w:p w14:paraId="6E991EC3">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Z</w:t>
                  </w:r>
                </w:p>
              </w:tc>
              <w:tc>
                <w:tcPr>
                  <w:tcW w:w="697" w:type="pct"/>
                  <w:tcBorders>
                    <w:tl2br w:val="nil"/>
                    <w:tr2bl w:val="nil"/>
                  </w:tcBorders>
                  <w:noWrap w:val="0"/>
                  <w:vAlign w:val="center"/>
                </w:tcPr>
                <w:p w14:paraId="680C0CAD">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声</w:t>
                  </w:r>
                  <w:r>
                    <w:rPr>
                      <w:rFonts w:hint="eastAsia" w:ascii="Times New Roman" w:hAnsi="Times New Roman" w:eastAsia="宋体" w:cs="Times New Roman"/>
                      <w:color w:val="auto"/>
                      <w:kern w:val="0"/>
                      <w:szCs w:val="21"/>
                      <w:lang w:val="en-US" w:eastAsia="zh-CN"/>
                    </w:rPr>
                    <w:t>压</w:t>
                  </w:r>
                  <w:r>
                    <w:rPr>
                      <w:rFonts w:hint="default" w:ascii="Times New Roman" w:hAnsi="Times New Roman" w:eastAsia="宋体" w:cs="Times New Roman"/>
                      <w:color w:val="auto"/>
                      <w:kern w:val="0"/>
                      <w:szCs w:val="21"/>
                    </w:rPr>
                    <w:t>级/dB(A)</w:t>
                  </w:r>
                </w:p>
              </w:tc>
              <w:tc>
                <w:tcPr>
                  <w:tcW w:w="757" w:type="pct"/>
                  <w:vMerge w:val="continue"/>
                  <w:tcBorders>
                    <w:tl2br w:val="nil"/>
                    <w:tr2bl w:val="nil"/>
                  </w:tcBorders>
                  <w:noWrap w:val="0"/>
                  <w:vAlign w:val="center"/>
                </w:tcPr>
                <w:p w14:paraId="3A801D01">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p>
              </w:tc>
              <w:tc>
                <w:tcPr>
                  <w:tcW w:w="681" w:type="pct"/>
                  <w:vMerge w:val="continue"/>
                  <w:tcBorders>
                    <w:tl2br w:val="nil"/>
                    <w:tr2bl w:val="nil"/>
                  </w:tcBorders>
                  <w:noWrap w:val="0"/>
                  <w:vAlign w:val="center"/>
                </w:tcPr>
                <w:p w14:paraId="1C0F503C">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p>
              </w:tc>
            </w:tr>
            <w:tr w14:paraId="421F5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289" w:type="pct"/>
                  <w:tcBorders>
                    <w:tl2br w:val="nil"/>
                    <w:tr2bl w:val="nil"/>
                  </w:tcBorders>
                  <w:noWrap w:val="0"/>
                  <w:vAlign w:val="center"/>
                </w:tcPr>
                <w:p w14:paraId="0D8974CA">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1</w:t>
                  </w:r>
                </w:p>
              </w:tc>
              <w:tc>
                <w:tcPr>
                  <w:tcW w:w="696" w:type="pct"/>
                  <w:tcBorders>
                    <w:tl2br w:val="nil"/>
                    <w:tr2bl w:val="nil"/>
                  </w:tcBorders>
                  <w:noWrap w:val="0"/>
                  <w:vAlign w:val="center"/>
                </w:tcPr>
                <w:p w14:paraId="38F55836">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lang w:val="en-US" w:eastAsia="zh-CN"/>
                    </w:rPr>
                  </w:pPr>
                  <w:r>
                    <w:rPr>
                      <w:rFonts w:hint="default" w:ascii="Times New Roman" w:hAnsi="Times New Roman" w:eastAsia="宋体" w:cs="Times New Roman"/>
                      <w:color w:val="auto"/>
                      <w:kern w:val="0"/>
                      <w:szCs w:val="21"/>
                    </w:rPr>
                    <w:t>风机</w:t>
                  </w:r>
                </w:p>
              </w:tc>
              <w:tc>
                <w:tcPr>
                  <w:tcW w:w="482" w:type="pct"/>
                  <w:tcBorders>
                    <w:tl2br w:val="nil"/>
                    <w:tr2bl w:val="nil"/>
                  </w:tcBorders>
                  <w:noWrap w:val="0"/>
                  <w:vAlign w:val="center"/>
                </w:tcPr>
                <w:p w14:paraId="3C692F50">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w:t>
                  </w:r>
                </w:p>
              </w:tc>
              <w:tc>
                <w:tcPr>
                  <w:tcW w:w="535" w:type="pct"/>
                  <w:tcBorders>
                    <w:tl2br w:val="nil"/>
                    <w:tr2bl w:val="nil"/>
                  </w:tcBorders>
                  <w:noWrap w:val="0"/>
                  <w:vAlign w:val="center"/>
                </w:tcPr>
                <w:p w14:paraId="5E6F1A3E">
                  <w:pPr>
                    <w:keepNext w:val="0"/>
                    <w:keepLines w:val="0"/>
                    <w:pageBreakBefore w:val="0"/>
                    <w:kinsoku/>
                    <w:overflowPunct/>
                    <w:topLinePunct w:val="0"/>
                    <w:autoSpaceDE/>
                    <w:autoSpaceDN/>
                    <w:bidi w:val="0"/>
                    <w:snapToGrid w:val="0"/>
                    <w:spacing w:line="360" w:lineRule="exact"/>
                    <w:jc w:val="center"/>
                    <w:textAlignment w:val="auto"/>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20</w:t>
                  </w:r>
                </w:p>
              </w:tc>
              <w:tc>
                <w:tcPr>
                  <w:tcW w:w="428" w:type="pct"/>
                  <w:tcBorders>
                    <w:tl2br w:val="nil"/>
                    <w:tr2bl w:val="nil"/>
                  </w:tcBorders>
                  <w:noWrap w:val="0"/>
                  <w:vAlign w:val="center"/>
                </w:tcPr>
                <w:p w14:paraId="6D093C99">
                  <w:pPr>
                    <w:keepNext w:val="0"/>
                    <w:keepLines w:val="0"/>
                    <w:pageBreakBefore w:val="0"/>
                    <w:kinsoku/>
                    <w:overflowPunct/>
                    <w:topLinePunct w:val="0"/>
                    <w:autoSpaceDE/>
                    <w:autoSpaceDN/>
                    <w:bidi w:val="0"/>
                    <w:snapToGrid w:val="0"/>
                    <w:spacing w:line="360" w:lineRule="exact"/>
                    <w:jc w:val="center"/>
                    <w:textAlignment w:val="auto"/>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30</w:t>
                  </w:r>
                </w:p>
              </w:tc>
              <w:tc>
                <w:tcPr>
                  <w:tcW w:w="430" w:type="pct"/>
                  <w:tcBorders>
                    <w:tl2br w:val="nil"/>
                    <w:tr2bl w:val="nil"/>
                  </w:tcBorders>
                  <w:noWrap w:val="0"/>
                  <w:vAlign w:val="center"/>
                </w:tcPr>
                <w:p w14:paraId="40866288">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22</w:t>
                  </w:r>
                </w:p>
              </w:tc>
              <w:tc>
                <w:tcPr>
                  <w:tcW w:w="697" w:type="pct"/>
                  <w:tcBorders>
                    <w:tl2br w:val="nil"/>
                    <w:tr2bl w:val="nil"/>
                  </w:tcBorders>
                  <w:noWrap w:val="0"/>
                  <w:vAlign w:val="center"/>
                </w:tcPr>
                <w:p w14:paraId="0D87B1AF">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85</w:t>
                  </w:r>
                </w:p>
              </w:tc>
              <w:tc>
                <w:tcPr>
                  <w:tcW w:w="757" w:type="pct"/>
                  <w:tcBorders>
                    <w:tl2br w:val="nil"/>
                    <w:tr2bl w:val="nil"/>
                  </w:tcBorders>
                  <w:noWrap w:val="0"/>
                  <w:vAlign w:val="center"/>
                </w:tcPr>
                <w:p w14:paraId="30F079CA">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隔声、消声、减振</w:t>
                  </w:r>
                </w:p>
              </w:tc>
              <w:tc>
                <w:tcPr>
                  <w:tcW w:w="681" w:type="pct"/>
                  <w:tcBorders>
                    <w:tl2br w:val="nil"/>
                    <w:tr2bl w:val="nil"/>
                  </w:tcBorders>
                  <w:noWrap w:val="0"/>
                  <w:vAlign w:val="center"/>
                </w:tcPr>
                <w:p w14:paraId="246C2778">
                  <w:pPr>
                    <w:keepNext w:val="0"/>
                    <w:keepLines w:val="0"/>
                    <w:pageBreakBefore w:val="0"/>
                    <w:widowControl/>
                    <w:kinsoku/>
                    <w:wordWrap w:val="0"/>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连续</w:t>
                  </w:r>
                </w:p>
              </w:tc>
            </w:tr>
            <w:tr w14:paraId="1D397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5000" w:type="pct"/>
                  <w:gridSpan w:val="9"/>
                  <w:tcBorders>
                    <w:tl2br w:val="nil"/>
                    <w:tr2bl w:val="nil"/>
                  </w:tcBorders>
                  <w:noWrap w:val="0"/>
                  <w:vAlign w:val="center"/>
                </w:tcPr>
                <w:p w14:paraId="6EA7A98D">
                  <w:pPr>
                    <w:keepNext w:val="0"/>
                    <w:keepLines w:val="0"/>
                    <w:pageBreakBefore w:val="0"/>
                    <w:widowControl w:val="0"/>
                    <w:kinsoku/>
                    <w:wordWrap/>
                    <w:overflowPunct/>
                    <w:topLinePunct w:val="0"/>
                    <w:autoSpaceDE/>
                    <w:autoSpaceDN/>
                    <w:bidi w:val="0"/>
                    <w:snapToGrid/>
                    <w:spacing w:line="360" w:lineRule="auto"/>
                    <w:textAlignment w:val="auto"/>
                    <w:rPr>
                      <w:rFonts w:hint="eastAsia" w:ascii="Times New Roman" w:hAnsi="Times New Roman" w:cs="Times New Roman" w:eastAsiaTheme="minorEastAsia"/>
                      <w:color w:val="auto"/>
                      <w:kern w:val="0"/>
                      <w:szCs w:val="21"/>
                      <w:lang w:eastAsia="zh-CN"/>
                    </w:rPr>
                  </w:pPr>
                  <w:r>
                    <w:rPr>
                      <w:rFonts w:hint="eastAsia" w:ascii="Times New Roman" w:hAnsi="Times New Roman" w:cs="Times New Roman"/>
                      <w:sz w:val="18"/>
                      <w:szCs w:val="18"/>
                      <w:lang w:val="en-US" w:eastAsia="zh-CN"/>
                    </w:rPr>
                    <w:t>注：</w:t>
                  </w:r>
                  <w:r>
                    <w:rPr>
                      <w:rFonts w:hint="default" w:ascii="Times New Roman" w:hAnsi="Times New Roman" w:cs="Times New Roman"/>
                      <w:sz w:val="18"/>
                      <w:szCs w:val="18"/>
                    </w:rPr>
                    <w:t>以厂房西南角为原点，南厂界为X轴，西厂界为Y轴</w:t>
                  </w:r>
                  <w:r>
                    <w:rPr>
                      <w:rFonts w:hint="eastAsia" w:ascii="Times New Roman" w:hAnsi="Times New Roman" w:cs="Times New Roman"/>
                      <w:sz w:val="18"/>
                      <w:szCs w:val="18"/>
                      <w:lang w:eastAsia="zh-CN"/>
                    </w:rPr>
                    <w:t>。</w:t>
                  </w:r>
                </w:p>
              </w:tc>
            </w:tr>
          </w:tbl>
          <w:p w14:paraId="47D3BAEC">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2、噪声环境影响分析</w:t>
            </w:r>
          </w:p>
          <w:p w14:paraId="5830CC0F">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default" w:ascii="Times New Roman" w:hAnsi="Times New Roman" w:cs="Times New Roman"/>
                <w:color w:val="0C0C0C"/>
                <w:sz w:val="24"/>
                <w:szCs w:val="24"/>
              </w:rPr>
            </w:pPr>
            <w:r>
              <w:rPr>
                <w:rFonts w:hint="default" w:ascii="Times New Roman" w:hAnsi="Times New Roman" w:cs="Times New Roman"/>
                <w:color w:val="0C0C0C"/>
                <w:sz w:val="24"/>
                <w:szCs w:val="24"/>
              </w:rPr>
              <w:t>（1）预测模式</w:t>
            </w:r>
          </w:p>
          <w:p w14:paraId="5D42EAE1">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kern w:val="0"/>
                <w:sz w:val="24"/>
                <w:szCs w:val="24"/>
              </w:rPr>
              <w:t>确定各噪声源位置，并测量各噪声源到预测点的距离，将各噪声源视为半自由状态噪声源，按声能量在空气传播中衰减模式可计算出某噪声源在预测点的声压级，预测模式如下</w:t>
            </w:r>
            <w:r>
              <w:rPr>
                <w:rFonts w:hint="default" w:ascii="Times New Roman" w:hAnsi="Times New Roman" w:cs="Times New Roman"/>
                <w:sz w:val="24"/>
                <w:szCs w:val="24"/>
              </w:rPr>
              <w:t>：</w:t>
            </w:r>
          </w:p>
          <w:p w14:paraId="752DB112">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rPr>
              <w:t>①室外</w:t>
            </w:r>
            <w:r>
              <w:rPr>
                <w:rFonts w:hint="eastAsia" w:ascii="Times New Roman" w:hAnsi="Times New Roman" w:cs="Times New Roman"/>
                <w:color w:val="000000"/>
                <w:sz w:val="24"/>
                <w:szCs w:val="24"/>
                <w:lang w:val="en-US" w:eastAsia="zh-CN"/>
              </w:rPr>
              <w:t>噪声源</w:t>
            </w:r>
          </w:p>
          <w:p w14:paraId="0DF2D38E">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计算某个声源在预测点的倍频带声压级</w:t>
            </w:r>
          </w:p>
          <w:p w14:paraId="3709F40C">
            <w:pPr>
              <w:keepNext w:val="0"/>
              <w:keepLines w:val="0"/>
              <w:pageBreakBefore w:val="0"/>
              <w:widowControl w:val="0"/>
              <w:kinsoku/>
              <w:wordWrap/>
              <w:overflowPunct/>
              <w:topLinePunct w:val="0"/>
              <w:autoSpaceDE/>
              <w:autoSpaceDN/>
              <w:bidi w:val="0"/>
              <w:snapToGrid/>
              <w:spacing w:line="360" w:lineRule="auto"/>
              <w:jc w:val="center"/>
              <w:textAlignment w:val="auto"/>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drawing>
                <wp:inline distT="0" distB="0" distL="114300" distR="114300">
                  <wp:extent cx="2209800" cy="476250"/>
                  <wp:effectExtent l="0" t="0" r="0" b="0"/>
                  <wp:docPr id="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4"/>
                          <pic:cNvPicPr>
                            <a:picLocks noChangeAspect="1"/>
                          </pic:cNvPicPr>
                        </pic:nvPicPr>
                        <pic:blipFill>
                          <a:blip r:embed="rId11"/>
                          <a:stretch>
                            <a:fillRect/>
                          </a:stretch>
                        </pic:blipFill>
                        <pic:spPr>
                          <a:xfrm>
                            <a:off x="0" y="0"/>
                            <a:ext cx="2209800" cy="476250"/>
                          </a:xfrm>
                          <a:prstGeom prst="rect">
                            <a:avLst/>
                          </a:prstGeom>
                          <a:noFill/>
                          <a:ln>
                            <a:noFill/>
                          </a:ln>
                        </pic:spPr>
                      </pic:pic>
                    </a:graphicData>
                  </a:graphic>
                </wp:inline>
              </w:drawing>
            </w:r>
          </w:p>
          <w:p w14:paraId="5EDC31B9">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式中：L</w:t>
            </w:r>
            <w:r>
              <w:rPr>
                <w:rFonts w:hint="eastAsia" w:ascii="Times New Roman" w:hAnsi="Times New Roman" w:cs="Times New Roman"/>
                <w:color w:val="000000"/>
                <w:sz w:val="24"/>
                <w:szCs w:val="24"/>
                <w:lang w:val="en-US" w:eastAsia="zh-CN"/>
              </w:rPr>
              <w:t>o</w:t>
            </w:r>
            <w:r>
              <w:rPr>
                <w:rFonts w:hint="default" w:ascii="Times New Roman" w:hAnsi="Times New Roman" w:cs="Times New Roman"/>
                <w:color w:val="000000"/>
                <w:sz w:val="24"/>
                <w:szCs w:val="24"/>
              </w:rPr>
              <w:t>ct（r）——点声源在预测点产生的倍频带声压级；</w:t>
            </w:r>
          </w:p>
          <w:p w14:paraId="74ACBED5">
            <w:pPr>
              <w:keepNext w:val="0"/>
              <w:keepLines w:val="0"/>
              <w:pageBreakBefore w:val="0"/>
              <w:widowControl w:val="0"/>
              <w:kinsoku/>
              <w:wordWrap/>
              <w:overflowPunct/>
              <w:topLinePunct w:val="0"/>
              <w:autoSpaceDE/>
              <w:autoSpaceDN/>
              <w:bidi w:val="0"/>
              <w:snapToGrid/>
              <w:spacing w:line="360" w:lineRule="auto"/>
              <w:ind w:firstLine="1200" w:firstLineChars="500"/>
              <w:textAlignment w:val="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L</w:t>
            </w:r>
            <w:r>
              <w:rPr>
                <w:rFonts w:hint="eastAsia" w:ascii="Times New Roman" w:hAnsi="Times New Roman" w:cs="Times New Roman"/>
                <w:color w:val="000000"/>
                <w:sz w:val="24"/>
                <w:szCs w:val="24"/>
                <w:lang w:val="en-US" w:eastAsia="zh-CN"/>
              </w:rPr>
              <w:t>o</w:t>
            </w:r>
            <w:r>
              <w:rPr>
                <w:rFonts w:hint="default" w:ascii="Times New Roman" w:hAnsi="Times New Roman" w:cs="Times New Roman"/>
                <w:color w:val="000000"/>
                <w:sz w:val="24"/>
                <w:szCs w:val="24"/>
              </w:rPr>
              <w:t>ct（r</w:t>
            </w:r>
            <w:r>
              <w:rPr>
                <w:rFonts w:hint="default" w:ascii="Times New Roman" w:hAnsi="Times New Roman" w:cs="Times New Roman"/>
                <w:color w:val="000000"/>
                <w:sz w:val="24"/>
                <w:szCs w:val="24"/>
                <w:vertAlign w:val="subscript"/>
              </w:rPr>
              <w:t>0</w:t>
            </w:r>
            <w:r>
              <w:rPr>
                <w:rFonts w:hint="default" w:ascii="Times New Roman" w:hAnsi="Times New Roman" w:cs="Times New Roman"/>
                <w:color w:val="000000"/>
                <w:sz w:val="24"/>
                <w:szCs w:val="24"/>
              </w:rPr>
              <w:t>）——参考位置r</w:t>
            </w:r>
            <w:r>
              <w:rPr>
                <w:rFonts w:hint="default" w:ascii="Times New Roman" w:hAnsi="Times New Roman" w:cs="Times New Roman"/>
                <w:color w:val="000000"/>
                <w:sz w:val="24"/>
                <w:szCs w:val="24"/>
                <w:vertAlign w:val="subscript"/>
              </w:rPr>
              <w:t>0</w:t>
            </w:r>
            <w:r>
              <w:rPr>
                <w:rFonts w:hint="default" w:ascii="Times New Roman" w:hAnsi="Times New Roman" w:cs="Times New Roman"/>
                <w:color w:val="000000"/>
                <w:sz w:val="24"/>
                <w:szCs w:val="24"/>
              </w:rPr>
              <w:t>处的倍频带声压级；</w:t>
            </w:r>
          </w:p>
          <w:p w14:paraId="3F736260">
            <w:pPr>
              <w:keepNext w:val="0"/>
              <w:keepLines w:val="0"/>
              <w:pageBreakBefore w:val="0"/>
              <w:widowControl w:val="0"/>
              <w:kinsoku/>
              <w:wordWrap/>
              <w:overflowPunct/>
              <w:topLinePunct w:val="0"/>
              <w:autoSpaceDE/>
              <w:autoSpaceDN/>
              <w:bidi w:val="0"/>
              <w:snapToGrid/>
              <w:spacing w:line="360" w:lineRule="auto"/>
              <w:ind w:firstLine="1200" w:firstLineChars="500"/>
              <w:textAlignment w:val="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r——预测点距声源的距离，m；</w:t>
            </w:r>
          </w:p>
          <w:p w14:paraId="20F96B82">
            <w:pPr>
              <w:keepNext w:val="0"/>
              <w:keepLines w:val="0"/>
              <w:pageBreakBefore w:val="0"/>
              <w:widowControl w:val="0"/>
              <w:kinsoku/>
              <w:wordWrap/>
              <w:overflowPunct/>
              <w:topLinePunct w:val="0"/>
              <w:autoSpaceDE/>
              <w:autoSpaceDN/>
              <w:bidi w:val="0"/>
              <w:snapToGrid/>
              <w:spacing w:line="360" w:lineRule="auto"/>
              <w:ind w:firstLine="1200" w:firstLineChars="500"/>
              <w:textAlignment w:val="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r</w:t>
            </w:r>
            <w:r>
              <w:rPr>
                <w:rFonts w:hint="default" w:ascii="Times New Roman" w:hAnsi="Times New Roman" w:cs="Times New Roman"/>
                <w:color w:val="000000"/>
                <w:sz w:val="24"/>
                <w:szCs w:val="24"/>
                <w:vertAlign w:val="subscript"/>
              </w:rPr>
              <w:t>0</w:t>
            </w:r>
            <w:r>
              <w:rPr>
                <w:rFonts w:hint="default" w:ascii="Times New Roman" w:hAnsi="Times New Roman" w:cs="Times New Roman"/>
                <w:color w:val="000000"/>
                <w:sz w:val="24"/>
                <w:szCs w:val="24"/>
              </w:rPr>
              <w:t>——参考位置距声源的距离，m；</w:t>
            </w:r>
          </w:p>
          <w:p w14:paraId="079A7683">
            <w:pPr>
              <w:keepNext w:val="0"/>
              <w:keepLines w:val="0"/>
              <w:pageBreakBefore w:val="0"/>
              <w:widowControl w:val="0"/>
              <w:kinsoku/>
              <w:wordWrap/>
              <w:overflowPunct/>
              <w:topLinePunct w:val="0"/>
              <w:autoSpaceDE/>
              <w:autoSpaceDN/>
              <w:bidi w:val="0"/>
              <w:snapToGrid/>
              <w:spacing w:line="360" w:lineRule="auto"/>
              <w:ind w:firstLine="1200" w:firstLineChars="500"/>
              <w:textAlignment w:val="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ΔLoct——各种因素引起的衰减量（包括声屏障、遮挡物、空气吸收、地面效应等引起的衰减量）；</w:t>
            </w:r>
          </w:p>
          <w:p w14:paraId="365D9A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cs="Times New Roman"/>
                <w:color w:val="000000"/>
                <w:sz w:val="24"/>
                <w:szCs w:val="24"/>
              </w:rPr>
              <w:t>②</w:t>
            </w:r>
            <w:r>
              <w:rPr>
                <w:rFonts w:hint="default" w:ascii="Times New Roman" w:hAnsi="Times New Roman" w:eastAsia="宋体" w:cs="Times New Roman"/>
                <w:color w:val="auto"/>
                <w:sz w:val="24"/>
                <w:szCs w:val="24"/>
              </w:rPr>
              <w:t>室内声源</w:t>
            </w:r>
          </w:p>
          <w:p w14:paraId="51FAA2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1）首先计算出某个室内靠近围护结构处的倍频带声压级：</w:t>
            </w:r>
          </w:p>
          <w:p w14:paraId="362E207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drawing>
                <wp:inline distT="0" distB="0" distL="114300" distR="114300">
                  <wp:extent cx="2019300" cy="476250"/>
                  <wp:effectExtent l="0" t="0" r="0" b="0"/>
                  <wp:docPr id="2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5"/>
                          <pic:cNvPicPr>
                            <a:picLocks noChangeAspect="1"/>
                          </pic:cNvPicPr>
                        </pic:nvPicPr>
                        <pic:blipFill>
                          <a:blip r:embed="rId12"/>
                          <a:stretch>
                            <a:fillRect/>
                          </a:stretch>
                        </pic:blipFill>
                        <pic:spPr>
                          <a:xfrm>
                            <a:off x="0" y="0"/>
                            <a:ext cx="2019300" cy="476250"/>
                          </a:xfrm>
                          <a:prstGeom prst="rect">
                            <a:avLst/>
                          </a:prstGeom>
                          <a:noFill/>
                          <a:ln>
                            <a:noFill/>
                          </a:ln>
                        </pic:spPr>
                      </pic:pic>
                    </a:graphicData>
                  </a:graphic>
                </wp:inline>
              </w:drawing>
            </w:r>
          </w:p>
          <w:p w14:paraId="149075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式中：L</w:t>
            </w:r>
            <w:r>
              <w:rPr>
                <w:rFonts w:hint="default" w:ascii="Times New Roman" w:hAnsi="Times New Roman" w:eastAsia="宋体" w:cs="Times New Roman"/>
                <w:color w:val="auto"/>
                <w:sz w:val="24"/>
                <w:szCs w:val="24"/>
                <w:vertAlign w:val="subscript"/>
              </w:rPr>
              <w:t>oct，1</w:t>
            </w:r>
            <w:r>
              <w:rPr>
                <w:rFonts w:hint="default" w:ascii="Times New Roman" w:hAnsi="Times New Roman" w:eastAsia="宋体" w:cs="Times New Roman"/>
                <w:color w:val="auto"/>
                <w:sz w:val="24"/>
                <w:szCs w:val="24"/>
              </w:rPr>
              <w:t>为某个室内声源在靠近围护结构处产生的倍频带声压级，L</w:t>
            </w:r>
            <w:r>
              <w:rPr>
                <w:rFonts w:hint="default" w:ascii="Times New Roman" w:hAnsi="Times New Roman" w:eastAsia="宋体" w:cs="Times New Roman"/>
                <w:color w:val="auto"/>
                <w:sz w:val="24"/>
                <w:szCs w:val="24"/>
                <w:vertAlign w:val="subscript"/>
              </w:rPr>
              <w:t>w oct</w:t>
            </w:r>
            <w:r>
              <w:rPr>
                <w:rFonts w:hint="default" w:ascii="Times New Roman" w:hAnsi="Times New Roman" w:eastAsia="宋体" w:cs="Times New Roman"/>
                <w:color w:val="auto"/>
                <w:sz w:val="24"/>
                <w:szCs w:val="24"/>
              </w:rPr>
              <w:t>为某个声源的倍频带声功率级，r</w:t>
            </w:r>
            <w:r>
              <w:rPr>
                <w:rFonts w:hint="default" w:ascii="Times New Roman" w:hAnsi="Times New Roman" w:eastAsia="宋体" w:cs="Times New Roman"/>
                <w:color w:val="auto"/>
                <w:sz w:val="24"/>
                <w:szCs w:val="24"/>
                <w:vertAlign w:val="subscript"/>
              </w:rPr>
              <w:t>1</w:t>
            </w:r>
            <w:r>
              <w:rPr>
                <w:rFonts w:hint="default" w:ascii="Times New Roman" w:hAnsi="Times New Roman" w:eastAsia="宋体" w:cs="Times New Roman"/>
                <w:color w:val="auto"/>
                <w:sz w:val="24"/>
                <w:szCs w:val="24"/>
              </w:rPr>
              <w:t>为室内某个声源与靠近围护结构处的距离，R为房间常数，Q为方向因子。</w:t>
            </w:r>
          </w:p>
          <w:p w14:paraId="208AC8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drawing>
                <wp:inline distT="0" distB="0" distL="114300" distR="114300">
                  <wp:extent cx="1513205" cy="967740"/>
                  <wp:effectExtent l="0" t="0" r="10795" b="3810"/>
                  <wp:docPr id="2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6"/>
                          <pic:cNvPicPr>
                            <a:picLocks noChangeAspect="1"/>
                          </pic:cNvPicPr>
                        </pic:nvPicPr>
                        <pic:blipFill>
                          <a:blip r:embed="rId13"/>
                          <a:stretch>
                            <a:fillRect/>
                          </a:stretch>
                        </pic:blipFill>
                        <pic:spPr>
                          <a:xfrm>
                            <a:off x="0" y="0"/>
                            <a:ext cx="1513205" cy="967740"/>
                          </a:xfrm>
                          <a:prstGeom prst="rect">
                            <a:avLst/>
                          </a:prstGeom>
                          <a:noFill/>
                          <a:ln>
                            <a:noFill/>
                          </a:ln>
                        </pic:spPr>
                      </pic:pic>
                    </a:graphicData>
                  </a:graphic>
                </wp:inline>
              </w:drawing>
            </w:r>
          </w:p>
          <w:p w14:paraId="7433D5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2）再计算出所有室内声源在靠近围护结构处产生的总倍频带声压级：</w:t>
            </w:r>
          </w:p>
          <w:p w14:paraId="469AFD6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drawing>
                <wp:inline distT="0" distB="0" distL="114300" distR="114300">
                  <wp:extent cx="1837690" cy="457200"/>
                  <wp:effectExtent l="0" t="0" r="10160" b="0"/>
                  <wp:docPr id="2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7"/>
                          <pic:cNvPicPr>
                            <a:picLocks noChangeAspect="1"/>
                          </pic:cNvPicPr>
                        </pic:nvPicPr>
                        <pic:blipFill>
                          <a:blip r:embed="rId14"/>
                          <a:stretch>
                            <a:fillRect/>
                          </a:stretch>
                        </pic:blipFill>
                        <pic:spPr>
                          <a:xfrm>
                            <a:off x="0" y="0"/>
                            <a:ext cx="1837690" cy="457200"/>
                          </a:xfrm>
                          <a:prstGeom prst="rect">
                            <a:avLst/>
                          </a:prstGeom>
                          <a:noFill/>
                          <a:ln>
                            <a:noFill/>
                          </a:ln>
                        </pic:spPr>
                      </pic:pic>
                    </a:graphicData>
                  </a:graphic>
                </wp:inline>
              </w:drawing>
            </w:r>
          </w:p>
          <w:p w14:paraId="0DEC23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3）计算出室外靠近围护结构处的声压级：</w:t>
            </w:r>
          </w:p>
          <w:p w14:paraId="0EA7B70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drawing>
                <wp:inline distT="0" distB="0" distL="114300" distR="114300">
                  <wp:extent cx="1952625" cy="238125"/>
                  <wp:effectExtent l="0" t="0" r="9525" b="8255"/>
                  <wp:docPr id="2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8"/>
                          <pic:cNvPicPr>
                            <a:picLocks noChangeAspect="1"/>
                          </pic:cNvPicPr>
                        </pic:nvPicPr>
                        <pic:blipFill>
                          <a:blip r:embed="rId15"/>
                          <a:stretch>
                            <a:fillRect/>
                          </a:stretch>
                        </pic:blipFill>
                        <pic:spPr>
                          <a:xfrm>
                            <a:off x="0" y="0"/>
                            <a:ext cx="1952625" cy="238125"/>
                          </a:xfrm>
                          <a:prstGeom prst="rect">
                            <a:avLst/>
                          </a:prstGeom>
                          <a:noFill/>
                          <a:ln>
                            <a:noFill/>
                          </a:ln>
                        </pic:spPr>
                      </pic:pic>
                    </a:graphicData>
                  </a:graphic>
                </wp:inline>
              </w:drawing>
            </w:r>
          </w:p>
          <w:p w14:paraId="55BCCE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4）将室外声级L</w:t>
            </w:r>
            <w:r>
              <w:rPr>
                <w:rFonts w:hint="default" w:ascii="Times New Roman" w:hAnsi="Times New Roman" w:eastAsia="宋体" w:cs="Times New Roman"/>
                <w:color w:val="auto"/>
                <w:sz w:val="24"/>
                <w:szCs w:val="24"/>
                <w:vertAlign w:val="subscript"/>
              </w:rPr>
              <w:t>oct</w:t>
            </w:r>
            <w:r>
              <w:rPr>
                <w:rFonts w:hint="default" w:ascii="Times New Roman" w:hAnsi="Times New Roman" w:eastAsia="宋体" w:cs="Times New Roman"/>
                <w:color w:val="auto"/>
                <w:sz w:val="24"/>
                <w:szCs w:val="24"/>
              </w:rPr>
              <w:t>，2（T）和透声面积换算成等效的室外声源，计算出等效声源第i个倍频带的声功率级L</w:t>
            </w:r>
            <w:r>
              <w:rPr>
                <w:rFonts w:hint="default" w:ascii="Times New Roman" w:hAnsi="Times New Roman" w:eastAsia="宋体" w:cs="Times New Roman"/>
                <w:color w:val="auto"/>
                <w:sz w:val="24"/>
                <w:szCs w:val="24"/>
                <w:vertAlign w:val="subscript"/>
              </w:rPr>
              <w:t>w oct</w:t>
            </w:r>
            <w:r>
              <w:rPr>
                <w:rFonts w:hint="default" w:ascii="Times New Roman" w:hAnsi="Times New Roman" w:eastAsia="宋体" w:cs="Times New Roman"/>
                <w:color w:val="auto"/>
                <w:sz w:val="24"/>
                <w:szCs w:val="24"/>
              </w:rPr>
              <w:t>：</w:t>
            </w:r>
          </w:p>
          <w:p w14:paraId="280C5440">
            <w:pPr>
              <w:keepNext w:val="0"/>
              <w:keepLines w:val="0"/>
              <w:pageBreakBefore w:val="0"/>
              <w:widowControl w:val="0"/>
              <w:kinsoku/>
              <w:wordWrap/>
              <w:overflowPunct/>
              <w:topLinePunct w:val="0"/>
              <w:autoSpaceDE/>
              <w:autoSpaceDN/>
              <w:bidi w:val="0"/>
              <w:adjustRightInd/>
              <w:snapToGrid/>
              <w:spacing w:line="360" w:lineRule="auto"/>
              <w:ind w:firstLine="360" w:firstLineChars="15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drawing>
                <wp:inline distT="0" distB="0" distL="114300" distR="114300">
                  <wp:extent cx="1609725" cy="238125"/>
                  <wp:effectExtent l="0" t="0" r="9525" b="8255"/>
                  <wp:docPr id="2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9"/>
                          <pic:cNvPicPr>
                            <a:picLocks noChangeAspect="1"/>
                          </pic:cNvPicPr>
                        </pic:nvPicPr>
                        <pic:blipFill>
                          <a:blip r:embed="rId16"/>
                          <a:stretch>
                            <a:fillRect/>
                          </a:stretch>
                        </pic:blipFill>
                        <pic:spPr>
                          <a:xfrm>
                            <a:off x="0" y="0"/>
                            <a:ext cx="1609725" cy="238125"/>
                          </a:xfrm>
                          <a:prstGeom prst="rect">
                            <a:avLst/>
                          </a:prstGeom>
                          <a:noFill/>
                          <a:ln>
                            <a:noFill/>
                          </a:ln>
                        </pic:spPr>
                      </pic:pic>
                    </a:graphicData>
                  </a:graphic>
                </wp:inline>
              </w:drawing>
            </w:r>
          </w:p>
          <w:p w14:paraId="365221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式中：S为透声面积，m</w:t>
            </w:r>
            <w:r>
              <w:rPr>
                <w:rFonts w:hint="default" w:ascii="Times New Roman" w:hAnsi="Times New Roman" w:eastAsia="宋体" w:cs="Times New Roman"/>
                <w:color w:val="auto"/>
                <w:sz w:val="24"/>
                <w:szCs w:val="24"/>
                <w:vertAlign w:val="superscript"/>
              </w:rPr>
              <w:t>2</w:t>
            </w:r>
            <w:r>
              <w:rPr>
                <w:rFonts w:hint="default" w:ascii="Times New Roman" w:hAnsi="Times New Roman" w:eastAsia="宋体" w:cs="Times New Roman"/>
                <w:color w:val="auto"/>
                <w:sz w:val="24"/>
                <w:szCs w:val="24"/>
              </w:rPr>
              <w:t>。</w:t>
            </w:r>
          </w:p>
          <w:p w14:paraId="6EA1B9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5）等效室外声源的位置为围护结构的位置，其倍频带声功率级为L</w:t>
            </w:r>
            <w:r>
              <w:rPr>
                <w:rFonts w:hint="default" w:ascii="Times New Roman" w:hAnsi="Times New Roman" w:eastAsia="宋体" w:cs="Times New Roman"/>
                <w:color w:val="auto"/>
                <w:sz w:val="24"/>
                <w:szCs w:val="24"/>
                <w:vertAlign w:val="subscript"/>
              </w:rPr>
              <w:t>w oct</w:t>
            </w:r>
            <w:r>
              <w:rPr>
                <w:rFonts w:hint="default" w:ascii="Times New Roman" w:hAnsi="Times New Roman" w:eastAsia="宋体" w:cs="Times New Roman"/>
                <w:color w:val="auto"/>
                <w:sz w:val="24"/>
                <w:szCs w:val="24"/>
              </w:rPr>
              <w:t>，由此按室外声源方法计算等效室外声源在预测点产生的声级。</w:t>
            </w:r>
          </w:p>
          <w:p w14:paraId="20B6F5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由上述各式可计算出周围声环境因该项目设备新增加的声级值，综合该区内的声环境背景值，再按声能量迭加模式预测出某点的总声压级值，预测模式如下：</w:t>
            </w:r>
          </w:p>
          <w:p w14:paraId="6BAB14D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drawing>
                <wp:inline distT="0" distB="0" distL="114300" distR="114300">
                  <wp:extent cx="2932430" cy="447675"/>
                  <wp:effectExtent l="0" t="0" r="0" b="8255"/>
                  <wp:docPr id="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0"/>
                          <pic:cNvPicPr>
                            <a:picLocks noChangeAspect="1"/>
                          </pic:cNvPicPr>
                        </pic:nvPicPr>
                        <pic:blipFill>
                          <a:blip r:embed="rId17"/>
                          <a:stretch>
                            <a:fillRect/>
                          </a:stretch>
                        </pic:blipFill>
                        <pic:spPr>
                          <a:xfrm>
                            <a:off x="0" y="0"/>
                            <a:ext cx="2932430" cy="447675"/>
                          </a:xfrm>
                          <a:prstGeom prst="rect">
                            <a:avLst/>
                          </a:prstGeom>
                          <a:noFill/>
                          <a:ln>
                            <a:noFill/>
                          </a:ln>
                        </pic:spPr>
                      </pic:pic>
                    </a:graphicData>
                  </a:graphic>
                </wp:inline>
              </w:drawing>
            </w:r>
          </w:p>
          <w:p w14:paraId="61DE66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式中：Leq总—某预测点总声压级，dB（A）；</w:t>
            </w:r>
          </w:p>
          <w:p w14:paraId="0E56E4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      n—为室外声源个数；</w:t>
            </w:r>
          </w:p>
          <w:p w14:paraId="4D0ABC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      m—为等效室外声源个数；</w:t>
            </w:r>
          </w:p>
          <w:p w14:paraId="2484D0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kern w:val="0"/>
                <w:sz w:val="24"/>
                <w:szCs w:val="24"/>
              </w:rPr>
            </w:pPr>
            <w:r>
              <w:rPr>
                <w:rFonts w:hint="default" w:ascii="Times New Roman" w:hAnsi="Times New Roman" w:eastAsia="宋体" w:cs="Times New Roman"/>
                <w:color w:val="auto"/>
                <w:sz w:val="24"/>
                <w:szCs w:val="24"/>
              </w:rPr>
              <w:t xml:space="preserve">      T—为计算等效声级时间。</w:t>
            </w:r>
          </w:p>
          <w:p w14:paraId="58FF3AE6">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default" w:ascii="Times New Roman" w:hAnsi="Times New Roman" w:cs="Times New Roman"/>
                <w:bCs/>
                <w:sz w:val="24"/>
                <w:szCs w:val="24"/>
              </w:rPr>
            </w:pPr>
            <w:r>
              <w:rPr>
                <w:rFonts w:hint="default" w:ascii="Times New Roman" w:hAnsi="Times New Roman" w:cs="Times New Roman"/>
                <w:bCs/>
                <w:sz w:val="24"/>
                <w:szCs w:val="24"/>
              </w:rPr>
              <w:t>（2）预测结果</w:t>
            </w:r>
          </w:p>
          <w:p w14:paraId="6D7A1C1C">
            <w:pPr>
              <w:keepNext w:val="0"/>
              <w:keepLines w:val="0"/>
              <w:pageBreakBefore w:val="0"/>
              <w:widowControl w:val="0"/>
              <w:kinsoku/>
              <w:wordWrap/>
              <w:overflowPunct/>
              <w:topLinePunct w:val="0"/>
              <w:autoSpaceDE/>
              <w:autoSpaceDN/>
              <w:bidi w:val="0"/>
              <w:snapToGrid/>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在本次噪声源影响的计算过程中，仅考虑距离衰减这个主要衰减因素，对于声能在传播过程中受其它因素的影响（如构筑物的屏障作用，地面吸收效应，雨雪雾和温度梯度的削减）忽略不计。</w:t>
            </w:r>
          </w:p>
          <w:p w14:paraId="097080B2">
            <w:pPr>
              <w:keepNext w:val="0"/>
              <w:keepLines w:val="0"/>
              <w:pageBreakBefore w:val="0"/>
              <w:widowControl w:val="0"/>
              <w:kinsoku/>
              <w:wordWrap/>
              <w:overflowPunct/>
              <w:topLinePunct w:val="0"/>
              <w:autoSpaceDE/>
              <w:autoSpaceDN/>
              <w:bidi w:val="0"/>
              <w:snapToGrid/>
              <w:spacing w:line="360" w:lineRule="auto"/>
              <w:ind w:firstLine="480"/>
              <w:textAlignment w:val="auto"/>
              <w:rPr>
                <w:rFonts w:hint="default" w:ascii="Times New Roman" w:hAnsi="Times New Roman" w:eastAsia="黑体" w:cs="Times New Roman"/>
                <w:b w:val="0"/>
                <w:bCs/>
                <w:sz w:val="21"/>
                <w:szCs w:val="21"/>
              </w:rPr>
            </w:pPr>
            <w:r>
              <w:rPr>
                <w:rFonts w:hint="default" w:ascii="Times New Roman" w:hAnsi="Times New Roman" w:cs="Times New Roman"/>
                <w:bCs/>
                <w:sz w:val="24"/>
              </w:rPr>
              <w:t>根据确定的声环境影响评价范围，结合拟建项目的实际位置，在</w:t>
            </w:r>
            <w:r>
              <w:rPr>
                <w:rFonts w:hint="eastAsia" w:ascii="Times New Roman" w:hAnsi="Times New Roman" w:cs="Times New Roman"/>
                <w:bCs/>
                <w:sz w:val="24"/>
                <w:lang w:val="en-US" w:eastAsia="zh-CN"/>
              </w:rPr>
              <w:t>本</w:t>
            </w:r>
            <w:r>
              <w:rPr>
                <w:rFonts w:hint="default" w:ascii="Times New Roman" w:hAnsi="Times New Roman" w:cs="Times New Roman"/>
                <w:bCs/>
                <w:sz w:val="24"/>
              </w:rPr>
              <w:t>项目</w:t>
            </w:r>
            <w:r>
              <w:rPr>
                <w:rFonts w:hint="eastAsia" w:ascii="Times New Roman" w:hAnsi="Times New Roman" w:cs="Times New Roman"/>
                <w:bCs/>
                <w:sz w:val="24"/>
                <w:lang w:val="en-US" w:eastAsia="zh-CN"/>
              </w:rPr>
              <w:t>厂</w:t>
            </w:r>
            <w:r>
              <w:rPr>
                <w:rFonts w:hint="default" w:ascii="Times New Roman" w:hAnsi="Times New Roman" w:cs="Times New Roman"/>
                <w:bCs/>
                <w:sz w:val="24"/>
              </w:rPr>
              <w:t>界</w:t>
            </w:r>
            <w:r>
              <w:rPr>
                <w:rFonts w:hint="eastAsia" w:ascii="Times New Roman" w:hAnsi="Times New Roman" w:cs="Times New Roman"/>
                <w:bCs/>
                <w:sz w:val="24"/>
                <w:lang w:eastAsia="zh-CN"/>
              </w:rPr>
              <w:t>（</w:t>
            </w:r>
            <w:r>
              <w:rPr>
                <w:rFonts w:hint="eastAsia" w:ascii="Times New Roman" w:hAnsi="Times New Roman" w:cs="Times New Roman"/>
                <w:bCs/>
                <w:sz w:val="24"/>
                <w:lang w:val="en-US" w:eastAsia="zh-CN"/>
              </w:rPr>
              <w:t>以租赁厂房园区厂界为厂界</w:t>
            </w:r>
            <w:r>
              <w:rPr>
                <w:rFonts w:hint="eastAsia" w:ascii="Times New Roman" w:hAnsi="Times New Roman" w:cs="Times New Roman"/>
                <w:bCs/>
                <w:sz w:val="24"/>
                <w:lang w:eastAsia="zh-CN"/>
              </w:rPr>
              <w:t>）</w:t>
            </w:r>
            <w:r>
              <w:rPr>
                <w:rFonts w:hint="default" w:ascii="Times New Roman" w:hAnsi="Times New Roman" w:cs="Times New Roman"/>
                <w:bCs/>
                <w:sz w:val="24"/>
              </w:rPr>
              <w:t>东面、北面、西面和南面各选取1个预测点作为噪声预测点，厂界噪声预测结果见表</w:t>
            </w:r>
            <w:r>
              <w:rPr>
                <w:rFonts w:hint="eastAsia" w:ascii="Times New Roman" w:hAnsi="Times New Roman" w:cs="Times New Roman"/>
                <w:bCs/>
                <w:sz w:val="24"/>
                <w:lang w:val="en-US" w:eastAsia="zh-CN"/>
              </w:rPr>
              <w:t>4-12</w:t>
            </w:r>
            <w:r>
              <w:rPr>
                <w:rFonts w:hint="default" w:ascii="Times New Roman" w:hAnsi="Times New Roman" w:cs="Times New Roman"/>
                <w:bCs/>
                <w:sz w:val="24"/>
              </w:rPr>
              <w:t>。</w:t>
            </w:r>
          </w:p>
          <w:p w14:paraId="0DF2A8E0">
            <w:pPr>
              <w:keepNext w:val="0"/>
              <w:keepLines w:val="0"/>
              <w:pageBreakBefore w:val="0"/>
              <w:widowControl w:val="0"/>
              <w:kinsoku/>
              <w:wordWrap/>
              <w:overflowPunct/>
              <w:topLinePunct w:val="0"/>
              <w:autoSpaceDE/>
              <w:autoSpaceDN/>
              <w:bidi w:val="0"/>
              <w:snapToGrid/>
              <w:spacing w:line="360" w:lineRule="auto"/>
              <w:jc w:val="center"/>
              <w:textAlignment w:val="auto"/>
              <w:rPr>
                <w:rFonts w:hint="default" w:ascii="Times New Roman" w:hAnsi="Times New Roman" w:eastAsia="黑体" w:cs="Times New Roman"/>
                <w:b w:val="0"/>
                <w:bCs/>
                <w:sz w:val="21"/>
                <w:szCs w:val="21"/>
                <w:lang w:val="en-US" w:eastAsia="zh-CN"/>
              </w:rPr>
            </w:pPr>
            <w:r>
              <w:rPr>
                <w:rFonts w:hint="default" w:ascii="Times New Roman" w:hAnsi="Times New Roman" w:eastAsia="黑体" w:cs="Times New Roman"/>
                <w:b w:val="0"/>
                <w:bCs/>
                <w:sz w:val="21"/>
                <w:szCs w:val="21"/>
              </w:rPr>
              <w:t>表</w:t>
            </w:r>
            <w:r>
              <w:rPr>
                <w:rFonts w:hint="eastAsia" w:ascii="Times New Roman" w:hAnsi="Times New Roman" w:eastAsia="黑体" w:cs="Times New Roman"/>
                <w:b w:val="0"/>
                <w:bCs/>
                <w:sz w:val="21"/>
                <w:szCs w:val="21"/>
                <w:lang w:val="en-US" w:eastAsia="zh-CN"/>
              </w:rPr>
              <w:t>4-12</w:t>
            </w:r>
            <w:r>
              <w:rPr>
                <w:rFonts w:hint="default" w:ascii="Times New Roman" w:hAnsi="Times New Roman" w:eastAsia="黑体" w:cs="Times New Roman"/>
                <w:b w:val="0"/>
                <w:bCs/>
                <w:sz w:val="21"/>
                <w:szCs w:val="21"/>
                <w:lang w:val="en-US" w:eastAsia="zh-CN"/>
              </w:rPr>
              <w:t xml:space="preserve"> </w:t>
            </w:r>
            <w:r>
              <w:rPr>
                <w:rFonts w:hint="default" w:ascii="Times New Roman" w:hAnsi="Times New Roman" w:eastAsia="黑体" w:cs="Times New Roman"/>
                <w:b w:val="0"/>
                <w:bCs/>
                <w:sz w:val="21"/>
                <w:szCs w:val="21"/>
              </w:rPr>
              <w:t>厂界噪声预测</w:t>
            </w:r>
            <w:r>
              <w:rPr>
                <w:rFonts w:hint="eastAsia" w:ascii="Times New Roman" w:hAnsi="Times New Roman" w:eastAsia="黑体" w:cs="Times New Roman"/>
                <w:b w:val="0"/>
                <w:bCs/>
                <w:sz w:val="21"/>
                <w:szCs w:val="21"/>
                <w:lang w:val="en-US" w:eastAsia="zh-CN"/>
              </w:rPr>
              <w:t>结果一览</w:t>
            </w:r>
            <w:r>
              <w:rPr>
                <w:rFonts w:hint="default" w:ascii="Times New Roman" w:hAnsi="Times New Roman" w:eastAsia="黑体" w:cs="Times New Roman"/>
                <w:b w:val="0"/>
                <w:bCs/>
                <w:sz w:val="21"/>
                <w:szCs w:val="21"/>
              </w:rPr>
              <w:t>表</w:t>
            </w:r>
            <w:r>
              <w:rPr>
                <w:rFonts w:hint="eastAsia" w:ascii="Times New Roman" w:hAnsi="Times New Roman" w:eastAsia="黑体" w:cs="Times New Roman"/>
                <w:b w:val="0"/>
                <w:bCs/>
                <w:sz w:val="21"/>
                <w:szCs w:val="21"/>
                <w:lang w:val="en-US" w:eastAsia="zh-CN"/>
              </w:rPr>
              <w:t xml:space="preserve">  单位：dB（A）</w:t>
            </w:r>
          </w:p>
          <w:tbl>
            <w:tblPr>
              <w:tblStyle w:val="24"/>
              <w:tblW w:w="4997"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2348"/>
              <w:gridCol w:w="2297"/>
              <w:gridCol w:w="1977"/>
              <w:gridCol w:w="1538"/>
            </w:tblGrid>
            <w:tr w14:paraId="655714C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3" w:hRule="atLeast"/>
                <w:jc w:val="center"/>
              </w:trPr>
              <w:tc>
                <w:tcPr>
                  <w:tcW w:w="2846" w:type="pct"/>
                  <w:gridSpan w:val="2"/>
                  <w:tcBorders>
                    <w:tl2br w:val="nil"/>
                    <w:tr2bl w:val="nil"/>
                  </w:tcBorders>
                  <w:vAlign w:val="center"/>
                </w:tcPr>
                <w:p w14:paraId="19FB86C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val="0"/>
                      <w:bCs w:val="0"/>
                      <w:color w:val="0C0C0C"/>
                      <w:szCs w:val="21"/>
                    </w:rPr>
                  </w:pPr>
                  <w:r>
                    <w:rPr>
                      <w:rFonts w:hint="default" w:ascii="Times New Roman" w:hAnsi="Times New Roman" w:cs="Times New Roman"/>
                      <w:b w:val="0"/>
                      <w:bCs w:val="0"/>
                      <w:color w:val="0C0C0C"/>
                      <w:szCs w:val="21"/>
                    </w:rPr>
                    <w:t>预测点</w:t>
                  </w:r>
                </w:p>
              </w:tc>
              <w:tc>
                <w:tcPr>
                  <w:tcW w:w="1211" w:type="pct"/>
                  <w:tcBorders>
                    <w:tl2br w:val="nil"/>
                    <w:tr2bl w:val="nil"/>
                  </w:tcBorders>
                  <w:vAlign w:val="center"/>
                </w:tcPr>
                <w:p w14:paraId="085F3EA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val="0"/>
                      <w:bCs w:val="0"/>
                      <w:color w:val="0C0C0C"/>
                      <w:szCs w:val="21"/>
                      <w:highlight w:val="none"/>
                    </w:rPr>
                  </w:pPr>
                  <w:r>
                    <w:rPr>
                      <w:rFonts w:hint="default" w:ascii="Times New Roman" w:hAnsi="Times New Roman" w:cs="Times New Roman"/>
                      <w:b w:val="0"/>
                      <w:bCs w:val="0"/>
                      <w:color w:val="0C0C0C"/>
                      <w:szCs w:val="21"/>
                      <w:highlight w:val="none"/>
                    </w:rPr>
                    <w:t>贡献值</w:t>
                  </w:r>
                </w:p>
              </w:tc>
              <w:tc>
                <w:tcPr>
                  <w:tcW w:w="942" w:type="pct"/>
                  <w:tcBorders>
                    <w:tl2br w:val="nil"/>
                    <w:tr2bl w:val="nil"/>
                  </w:tcBorders>
                  <w:vAlign w:val="center"/>
                </w:tcPr>
                <w:p w14:paraId="7451C1A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val="0"/>
                      <w:bCs w:val="0"/>
                      <w:color w:val="0C0C0C"/>
                      <w:szCs w:val="21"/>
                    </w:rPr>
                  </w:pPr>
                  <w:r>
                    <w:rPr>
                      <w:rFonts w:hint="default" w:ascii="Times New Roman" w:hAnsi="Times New Roman" w:cs="Times New Roman"/>
                      <w:b w:val="0"/>
                      <w:bCs w:val="0"/>
                      <w:color w:val="0C0C0C"/>
                      <w:szCs w:val="21"/>
                    </w:rPr>
                    <w:t>标准</w:t>
                  </w:r>
                  <w:r>
                    <w:rPr>
                      <w:rFonts w:hint="default" w:ascii="Times New Roman" w:hAnsi="Times New Roman" w:cs="Times New Roman"/>
                      <w:b w:val="0"/>
                      <w:bCs w:val="0"/>
                      <w:color w:val="0C0C0C"/>
                      <w:szCs w:val="21"/>
                      <w:lang w:eastAsia="zh-CN"/>
                    </w:rPr>
                    <w:t>限</w:t>
                  </w:r>
                  <w:r>
                    <w:rPr>
                      <w:rFonts w:hint="default" w:ascii="Times New Roman" w:hAnsi="Times New Roman" w:cs="Times New Roman"/>
                      <w:b w:val="0"/>
                      <w:bCs w:val="0"/>
                      <w:color w:val="0C0C0C"/>
                      <w:szCs w:val="21"/>
                    </w:rPr>
                    <w:t>值</w:t>
                  </w:r>
                </w:p>
              </w:tc>
            </w:tr>
            <w:tr w14:paraId="3CFD554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3" w:hRule="atLeast"/>
                <w:jc w:val="center"/>
              </w:trPr>
              <w:tc>
                <w:tcPr>
                  <w:tcW w:w="1439" w:type="pct"/>
                  <w:tcBorders>
                    <w:tl2br w:val="nil"/>
                    <w:tr2bl w:val="nil"/>
                  </w:tcBorders>
                  <w:vAlign w:val="center"/>
                </w:tcPr>
                <w:p w14:paraId="0F8D5B2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val="0"/>
                      <w:bCs w:val="0"/>
                      <w:color w:val="0C0C0C"/>
                      <w:szCs w:val="21"/>
                    </w:rPr>
                  </w:pPr>
                  <w:r>
                    <w:rPr>
                      <w:rFonts w:hint="default" w:ascii="Times New Roman" w:hAnsi="Times New Roman" w:cs="Times New Roman"/>
                      <w:b w:val="0"/>
                      <w:bCs w:val="0"/>
                      <w:color w:val="0C0C0C"/>
                      <w:szCs w:val="21"/>
                    </w:rPr>
                    <w:t>东厂界</w:t>
                  </w:r>
                </w:p>
              </w:tc>
              <w:tc>
                <w:tcPr>
                  <w:tcW w:w="1407" w:type="pct"/>
                  <w:tcBorders>
                    <w:tl2br w:val="nil"/>
                    <w:tr2bl w:val="nil"/>
                  </w:tcBorders>
                  <w:vAlign w:val="center"/>
                </w:tcPr>
                <w:p w14:paraId="54B1A0A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val="0"/>
                      <w:bCs w:val="0"/>
                      <w:color w:val="0C0C0C"/>
                      <w:szCs w:val="21"/>
                    </w:rPr>
                  </w:pPr>
                  <w:r>
                    <w:rPr>
                      <w:rFonts w:hint="default" w:ascii="Times New Roman" w:hAnsi="Times New Roman" w:cs="Times New Roman"/>
                      <w:b w:val="0"/>
                      <w:bCs w:val="0"/>
                      <w:color w:val="0C0C0C"/>
                      <w:szCs w:val="21"/>
                    </w:rPr>
                    <w:t>昼间</w:t>
                  </w:r>
                </w:p>
              </w:tc>
              <w:tc>
                <w:tcPr>
                  <w:tcW w:w="1807" w:type="dxa"/>
                  <w:tcBorders>
                    <w:tl2br w:val="nil"/>
                    <w:tr2bl w:val="nil"/>
                  </w:tcBorders>
                  <w:vAlign w:val="center"/>
                </w:tcPr>
                <w:p w14:paraId="5BD0EA1D">
                  <w:pPr>
                    <w:jc w:val="center"/>
                    <w:rPr>
                      <w:rFonts w:hint="default" w:ascii="Times New Roman" w:hAnsi="Times New Roman" w:cs="Times New Roman" w:eastAsiaTheme="minorEastAsia"/>
                      <w:b w:val="0"/>
                      <w:bCs w:val="0"/>
                      <w:szCs w:val="21"/>
                      <w:highlight w:val="none"/>
                      <w:lang w:val="en-US" w:eastAsia="zh-CN"/>
                    </w:rPr>
                  </w:pPr>
                  <w:r>
                    <w:rPr>
                      <w:rFonts w:hint="eastAsia" w:ascii="Times New Roman" w:hAnsi="Times New Roman" w:cs="Times New Roman"/>
                      <w:color w:val="000000"/>
                      <w:highlight w:val="none"/>
                      <w:lang w:val="en-US" w:eastAsia="zh-CN"/>
                    </w:rPr>
                    <w:t>38.88</w:t>
                  </w:r>
                </w:p>
              </w:tc>
              <w:tc>
                <w:tcPr>
                  <w:tcW w:w="942" w:type="pct"/>
                  <w:tcBorders>
                    <w:tl2br w:val="nil"/>
                    <w:tr2bl w:val="nil"/>
                  </w:tcBorders>
                  <w:vAlign w:val="center"/>
                </w:tcPr>
                <w:p w14:paraId="18F638F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inorEastAsia"/>
                      <w:b w:val="0"/>
                      <w:bCs w:val="0"/>
                      <w:color w:val="0C0C0C"/>
                      <w:szCs w:val="21"/>
                      <w:lang w:val="en-US" w:eastAsia="zh-CN"/>
                    </w:rPr>
                  </w:pPr>
                  <w:r>
                    <w:rPr>
                      <w:rFonts w:hint="eastAsia" w:ascii="Times New Roman" w:hAnsi="Times New Roman" w:cs="Times New Roman"/>
                      <w:b w:val="0"/>
                      <w:bCs w:val="0"/>
                      <w:color w:val="0C0C0C"/>
                      <w:szCs w:val="21"/>
                      <w:lang w:val="en-US" w:eastAsia="zh-CN"/>
                    </w:rPr>
                    <w:t>65</w:t>
                  </w:r>
                </w:p>
              </w:tc>
            </w:tr>
            <w:tr w14:paraId="25FE675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3" w:hRule="atLeast"/>
                <w:jc w:val="center"/>
              </w:trPr>
              <w:tc>
                <w:tcPr>
                  <w:tcW w:w="1439" w:type="pct"/>
                  <w:tcBorders>
                    <w:tl2br w:val="nil"/>
                    <w:tr2bl w:val="nil"/>
                  </w:tcBorders>
                  <w:vAlign w:val="center"/>
                </w:tcPr>
                <w:p w14:paraId="41F428C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val="0"/>
                      <w:bCs w:val="0"/>
                      <w:color w:val="0C0C0C"/>
                      <w:szCs w:val="21"/>
                    </w:rPr>
                  </w:pPr>
                  <w:r>
                    <w:rPr>
                      <w:rFonts w:hint="default" w:ascii="Times New Roman" w:hAnsi="Times New Roman" w:cs="Times New Roman"/>
                      <w:b w:val="0"/>
                      <w:bCs w:val="0"/>
                      <w:color w:val="0C0C0C"/>
                      <w:szCs w:val="21"/>
                    </w:rPr>
                    <w:t>南厂界</w:t>
                  </w:r>
                </w:p>
              </w:tc>
              <w:tc>
                <w:tcPr>
                  <w:tcW w:w="1407" w:type="pct"/>
                  <w:tcBorders>
                    <w:tl2br w:val="nil"/>
                    <w:tr2bl w:val="nil"/>
                  </w:tcBorders>
                  <w:vAlign w:val="center"/>
                </w:tcPr>
                <w:p w14:paraId="42BF721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val="0"/>
                      <w:bCs w:val="0"/>
                      <w:color w:val="0C0C0C"/>
                      <w:szCs w:val="21"/>
                    </w:rPr>
                  </w:pPr>
                  <w:r>
                    <w:rPr>
                      <w:rFonts w:hint="default" w:ascii="Times New Roman" w:hAnsi="Times New Roman" w:cs="Times New Roman"/>
                      <w:b w:val="0"/>
                      <w:bCs w:val="0"/>
                      <w:color w:val="0C0C0C"/>
                      <w:szCs w:val="21"/>
                    </w:rPr>
                    <w:t>昼间</w:t>
                  </w:r>
                </w:p>
              </w:tc>
              <w:tc>
                <w:tcPr>
                  <w:tcW w:w="1807" w:type="dxa"/>
                  <w:tcBorders>
                    <w:tl2br w:val="nil"/>
                    <w:tr2bl w:val="nil"/>
                  </w:tcBorders>
                  <w:vAlign w:val="center"/>
                </w:tcPr>
                <w:p w14:paraId="2092FA7A">
                  <w:pPr>
                    <w:jc w:val="center"/>
                    <w:rPr>
                      <w:rFonts w:hint="default" w:ascii="Times New Roman" w:hAnsi="Times New Roman" w:cs="Times New Roman" w:eastAsiaTheme="minorEastAsia"/>
                      <w:b w:val="0"/>
                      <w:bCs w:val="0"/>
                      <w:szCs w:val="21"/>
                      <w:highlight w:val="none"/>
                      <w:lang w:val="en-US" w:eastAsia="zh-CN"/>
                    </w:rPr>
                  </w:pPr>
                  <w:r>
                    <w:rPr>
                      <w:rFonts w:hint="eastAsia" w:ascii="Times New Roman" w:hAnsi="Times New Roman" w:cs="Times New Roman"/>
                      <w:b w:val="0"/>
                      <w:bCs w:val="0"/>
                      <w:szCs w:val="21"/>
                      <w:highlight w:val="none"/>
                      <w:lang w:val="en-US" w:eastAsia="zh-CN"/>
                    </w:rPr>
                    <w:t>26.44</w:t>
                  </w:r>
                </w:p>
              </w:tc>
              <w:tc>
                <w:tcPr>
                  <w:tcW w:w="942" w:type="pct"/>
                  <w:tcBorders>
                    <w:tl2br w:val="nil"/>
                    <w:tr2bl w:val="nil"/>
                  </w:tcBorders>
                  <w:vAlign w:val="center"/>
                </w:tcPr>
                <w:p w14:paraId="58AA493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color w:val="0C0C0C"/>
                      <w:szCs w:val="21"/>
                      <w:lang w:val="en-US" w:eastAsia="zh-CN"/>
                    </w:rPr>
                  </w:pPr>
                  <w:r>
                    <w:rPr>
                      <w:rFonts w:hint="eastAsia" w:ascii="Times New Roman" w:hAnsi="Times New Roman" w:cs="Times New Roman"/>
                      <w:b w:val="0"/>
                      <w:bCs w:val="0"/>
                      <w:color w:val="0C0C0C"/>
                      <w:szCs w:val="21"/>
                      <w:lang w:val="en-US" w:eastAsia="zh-CN"/>
                    </w:rPr>
                    <w:t>65</w:t>
                  </w:r>
                </w:p>
              </w:tc>
            </w:tr>
            <w:tr w14:paraId="537AB93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3" w:hRule="atLeast"/>
                <w:jc w:val="center"/>
              </w:trPr>
              <w:tc>
                <w:tcPr>
                  <w:tcW w:w="1439" w:type="pct"/>
                  <w:tcBorders>
                    <w:tl2br w:val="nil"/>
                    <w:tr2bl w:val="nil"/>
                  </w:tcBorders>
                  <w:vAlign w:val="center"/>
                </w:tcPr>
                <w:p w14:paraId="46B327F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val="0"/>
                      <w:bCs w:val="0"/>
                      <w:color w:val="0C0C0C"/>
                      <w:szCs w:val="21"/>
                    </w:rPr>
                  </w:pPr>
                  <w:r>
                    <w:rPr>
                      <w:rFonts w:hint="default" w:ascii="Times New Roman" w:hAnsi="Times New Roman" w:cs="Times New Roman"/>
                      <w:b w:val="0"/>
                      <w:bCs w:val="0"/>
                      <w:color w:val="0C0C0C"/>
                      <w:szCs w:val="21"/>
                    </w:rPr>
                    <w:t>西厂界</w:t>
                  </w:r>
                </w:p>
              </w:tc>
              <w:tc>
                <w:tcPr>
                  <w:tcW w:w="1407" w:type="pct"/>
                  <w:tcBorders>
                    <w:tl2br w:val="nil"/>
                    <w:tr2bl w:val="nil"/>
                  </w:tcBorders>
                  <w:vAlign w:val="center"/>
                </w:tcPr>
                <w:p w14:paraId="1A78861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val="0"/>
                      <w:bCs w:val="0"/>
                      <w:color w:val="0C0C0C"/>
                      <w:szCs w:val="21"/>
                    </w:rPr>
                  </w:pPr>
                  <w:r>
                    <w:rPr>
                      <w:rFonts w:hint="default" w:ascii="Times New Roman" w:hAnsi="Times New Roman" w:cs="Times New Roman"/>
                      <w:b w:val="0"/>
                      <w:bCs w:val="0"/>
                      <w:color w:val="0C0C0C"/>
                      <w:szCs w:val="21"/>
                    </w:rPr>
                    <w:t>昼间</w:t>
                  </w:r>
                </w:p>
              </w:tc>
              <w:tc>
                <w:tcPr>
                  <w:tcW w:w="1807" w:type="dxa"/>
                  <w:tcBorders>
                    <w:tl2br w:val="nil"/>
                    <w:tr2bl w:val="nil"/>
                  </w:tcBorders>
                  <w:vAlign w:val="center"/>
                </w:tcPr>
                <w:p w14:paraId="28BE3B5A">
                  <w:pPr>
                    <w:jc w:val="center"/>
                    <w:rPr>
                      <w:rFonts w:hint="default" w:ascii="Times New Roman" w:hAnsi="Times New Roman" w:cs="Times New Roman" w:eastAsiaTheme="minorEastAsia"/>
                      <w:b w:val="0"/>
                      <w:bCs w:val="0"/>
                      <w:szCs w:val="21"/>
                      <w:highlight w:val="none"/>
                      <w:lang w:val="en-US" w:eastAsia="zh-CN"/>
                    </w:rPr>
                  </w:pPr>
                  <w:r>
                    <w:rPr>
                      <w:rFonts w:hint="eastAsia" w:ascii="Times New Roman" w:hAnsi="Times New Roman" w:cs="Times New Roman"/>
                      <w:b w:val="0"/>
                      <w:bCs w:val="0"/>
                      <w:szCs w:val="21"/>
                      <w:highlight w:val="none"/>
                      <w:lang w:val="en-US" w:eastAsia="zh-CN"/>
                    </w:rPr>
                    <w:t>21.78</w:t>
                  </w:r>
                </w:p>
              </w:tc>
              <w:tc>
                <w:tcPr>
                  <w:tcW w:w="942" w:type="pct"/>
                  <w:tcBorders>
                    <w:tl2br w:val="nil"/>
                    <w:tr2bl w:val="nil"/>
                  </w:tcBorders>
                  <w:vAlign w:val="center"/>
                </w:tcPr>
                <w:p w14:paraId="2187105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inorEastAsia"/>
                      <w:b w:val="0"/>
                      <w:bCs w:val="0"/>
                      <w:color w:val="0C0C0C"/>
                      <w:szCs w:val="21"/>
                      <w:lang w:val="en-US" w:eastAsia="zh-CN"/>
                    </w:rPr>
                  </w:pPr>
                  <w:r>
                    <w:rPr>
                      <w:rFonts w:hint="eastAsia" w:ascii="Times New Roman" w:hAnsi="Times New Roman" w:cs="Times New Roman"/>
                      <w:b w:val="0"/>
                      <w:bCs w:val="0"/>
                      <w:color w:val="0C0C0C"/>
                      <w:szCs w:val="21"/>
                      <w:lang w:val="en-US" w:eastAsia="zh-CN"/>
                    </w:rPr>
                    <w:t>65</w:t>
                  </w:r>
                </w:p>
              </w:tc>
            </w:tr>
            <w:tr w14:paraId="0CC542C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3" w:hRule="atLeast"/>
                <w:jc w:val="center"/>
              </w:trPr>
              <w:tc>
                <w:tcPr>
                  <w:tcW w:w="1439" w:type="pct"/>
                  <w:tcBorders>
                    <w:tl2br w:val="nil"/>
                    <w:tr2bl w:val="nil"/>
                  </w:tcBorders>
                  <w:vAlign w:val="center"/>
                </w:tcPr>
                <w:p w14:paraId="076BC8C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val="0"/>
                      <w:bCs w:val="0"/>
                      <w:color w:val="0C0C0C"/>
                      <w:szCs w:val="21"/>
                    </w:rPr>
                  </w:pPr>
                  <w:r>
                    <w:rPr>
                      <w:rFonts w:hint="default" w:ascii="Times New Roman" w:hAnsi="Times New Roman" w:cs="Times New Roman"/>
                      <w:b w:val="0"/>
                      <w:bCs w:val="0"/>
                      <w:color w:val="0C0C0C"/>
                      <w:szCs w:val="21"/>
                    </w:rPr>
                    <w:t>北厂界</w:t>
                  </w:r>
                </w:p>
              </w:tc>
              <w:tc>
                <w:tcPr>
                  <w:tcW w:w="1407" w:type="pct"/>
                  <w:tcBorders>
                    <w:tl2br w:val="nil"/>
                    <w:tr2bl w:val="nil"/>
                  </w:tcBorders>
                  <w:vAlign w:val="center"/>
                </w:tcPr>
                <w:p w14:paraId="05FA8B5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val="0"/>
                      <w:bCs w:val="0"/>
                      <w:color w:val="0C0C0C"/>
                      <w:szCs w:val="21"/>
                    </w:rPr>
                  </w:pPr>
                  <w:r>
                    <w:rPr>
                      <w:rFonts w:hint="default" w:ascii="Times New Roman" w:hAnsi="Times New Roman" w:cs="Times New Roman"/>
                      <w:b w:val="0"/>
                      <w:bCs w:val="0"/>
                      <w:color w:val="0C0C0C"/>
                      <w:szCs w:val="21"/>
                    </w:rPr>
                    <w:t>昼间</w:t>
                  </w:r>
                </w:p>
              </w:tc>
              <w:tc>
                <w:tcPr>
                  <w:tcW w:w="1807" w:type="dxa"/>
                  <w:tcBorders>
                    <w:tl2br w:val="nil"/>
                    <w:tr2bl w:val="nil"/>
                  </w:tcBorders>
                  <w:vAlign w:val="center"/>
                </w:tcPr>
                <w:p w14:paraId="30439394">
                  <w:pPr>
                    <w:jc w:val="center"/>
                    <w:rPr>
                      <w:rFonts w:hint="default" w:ascii="Times New Roman" w:hAnsi="Times New Roman" w:cs="Times New Roman" w:eastAsiaTheme="minorEastAsia"/>
                      <w:b w:val="0"/>
                      <w:bCs w:val="0"/>
                      <w:szCs w:val="21"/>
                      <w:highlight w:val="none"/>
                      <w:lang w:val="en-US" w:eastAsia="zh-CN"/>
                    </w:rPr>
                  </w:pPr>
                  <w:r>
                    <w:rPr>
                      <w:rFonts w:hint="eastAsia" w:ascii="Times New Roman" w:hAnsi="Times New Roman" w:cs="Times New Roman"/>
                      <w:b w:val="0"/>
                      <w:bCs w:val="0"/>
                      <w:szCs w:val="21"/>
                      <w:highlight w:val="none"/>
                      <w:lang w:val="en-US" w:eastAsia="zh-CN"/>
                    </w:rPr>
                    <w:t>29.08</w:t>
                  </w:r>
                </w:p>
              </w:tc>
              <w:tc>
                <w:tcPr>
                  <w:tcW w:w="942" w:type="pct"/>
                  <w:tcBorders>
                    <w:tl2br w:val="nil"/>
                    <w:tr2bl w:val="nil"/>
                  </w:tcBorders>
                  <w:vAlign w:val="center"/>
                </w:tcPr>
                <w:p w14:paraId="4B62ADF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inorEastAsia"/>
                      <w:b w:val="0"/>
                      <w:bCs w:val="0"/>
                      <w:color w:val="0C0C0C"/>
                      <w:szCs w:val="21"/>
                      <w:lang w:val="en-US" w:eastAsia="zh-CN"/>
                    </w:rPr>
                  </w:pPr>
                  <w:r>
                    <w:rPr>
                      <w:rFonts w:hint="eastAsia" w:ascii="Times New Roman" w:hAnsi="Times New Roman" w:cs="Times New Roman"/>
                      <w:b w:val="0"/>
                      <w:bCs w:val="0"/>
                      <w:color w:val="0C0C0C"/>
                      <w:szCs w:val="21"/>
                      <w:lang w:val="en-US" w:eastAsia="zh-CN"/>
                    </w:rPr>
                    <w:t>65</w:t>
                  </w:r>
                </w:p>
              </w:tc>
            </w:tr>
          </w:tbl>
          <w:p w14:paraId="4A2181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rPr>
            </w:pPr>
            <w:r>
              <w:rPr>
                <w:rFonts w:hint="default" w:ascii="Times New Roman" w:hAnsi="Times New Roman" w:cs="Times New Roman"/>
                <w:bCs/>
                <w:sz w:val="24"/>
              </w:rPr>
              <w:t>由预测结果可知，各噪声经采取噪声防治措施，并经距离衰减后厂界噪声贡献值满足</w:t>
            </w:r>
            <w:r>
              <w:rPr>
                <w:rFonts w:hint="default" w:ascii="Times New Roman" w:hAnsi="Times New Roman" w:cs="Times New Roman"/>
                <w:color w:val="000000"/>
                <w:kern w:val="0"/>
                <w:sz w:val="24"/>
                <w:lang w:bidi="ar"/>
              </w:rPr>
              <w:t>《工业企业厂界环境噪声排放标准》（GB12348-2008）</w:t>
            </w:r>
            <w:r>
              <w:rPr>
                <w:rFonts w:hint="eastAsia" w:ascii="Times New Roman" w:hAnsi="Times New Roman" w:cs="Times New Roman"/>
                <w:color w:val="000000"/>
                <w:kern w:val="0"/>
                <w:sz w:val="24"/>
                <w:lang w:val="en-US" w:eastAsia="zh-CN" w:bidi="ar"/>
              </w:rPr>
              <w:t>3</w:t>
            </w:r>
            <w:r>
              <w:rPr>
                <w:rFonts w:hint="default" w:ascii="Times New Roman" w:hAnsi="Times New Roman" w:cs="Times New Roman"/>
                <w:color w:val="000000"/>
                <w:kern w:val="0"/>
                <w:sz w:val="24"/>
                <w:lang w:bidi="ar"/>
              </w:rPr>
              <w:t>类标准</w:t>
            </w:r>
            <w:r>
              <w:rPr>
                <w:rFonts w:hint="default" w:ascii="Times New Roman" w:hAnsi="Times New Roman" w:cs="Times New Roman"/>
                <w:bCs/>
                <w:sz w:val="24"/>
              </w:rPr>
              <w:t>要求，对区域声环境影响较小。</w:t>
            </w:r>
          </w:p>
          <w:p w14:paraId="004D7C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3、噪声治理措施</w:t>
            </w:r>
          </w:p>
          <w:p w14:paraId="2DD47C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kern w:val="0"/>
                <w:sz w:val="24"/>
              </w:rPr>
            </w:pPr>
            <w:r>
              <w:rPr>
                <w:rFonts w:hint="default" w:ascii="Times New Roman" w:hAnsi="Times New Roman" w:cs="Times New Roman"/>
                <w:kern w:val="0"/>
                <w:sz w:val="24"/>
              </w:rPr>
              <w:t>为减轻拟建项目噪声对周边环境的影响，提出以下防治措施：</w:t>
            </w:r>
          </w:p>
          <w:p w14:paraId="54B56F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kern w:val="0"/>
                <w:sz w:val="24"/>
              </w:rPr>
            </w:pPr>
            <w:r>
              <w:rPr>
                <w:rFonts w:hint="default" w:ascii="Times New Roman" w:hAnsi="Times New Roman" w:cs="Times New Roman"/>
                <w:kern w:val="0"/>
                <w:sz w:val="24"/>
              </w:rPr>
              <w:t xml:space="preserve">①建议项目购买低噪声、高效的生产设备，安装时采取垫减震片等从源头上降低设备运转过程中产生的噪声； </w:t>
            </w:r>
          </w:p>
          <w:p w14:paraId="17C9D4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kern w:val="0"/>
                <w:sz w:val="24"/>
              </w:rPr>
            </w:pPr>
            <w:r>
              <w:rPr>
                <w:rFonts w:hint="default" w:ascii="Times New Roman" w:hAnsi="Times New Roman" w:cs="Times New Roman"/>
                <w:kern w:val="0"/>
                <w:sz w:val="24"/>
              </w:rPr>
              <w:t xml:space="preserve">②合理布置声源，将产噪高的设备集中在一个设备间内，同时设备间墙体采用密闭、隔声的方式； </w:t>
            </w:r>
          </w:p>
          <w:p w14:paraId="1AADE4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Cs/>
                <w:sz w:val="24"/>
                <w:lang w:val="en-US" w:eastAsia="zh-CN"/>
              </w:rPr>
            </w:pPr>
            <w:r>
              <w:rPr>
                <w:rFonts w:hint="default" w:ascii="Times New Roman" w:hAnsi="Times New Roman" w:cs="Times New Roman"/>
                <w:kern w:val="0"/>
                <w:sz w:val="24"/>
              </w:rPr>
              <w:t>③加强对设备间设备的保养与维护，加强对工作人员职业技能及环保意识的培训，以降低项目噪声的排放</w:t>
            </w:r>
            <w:r>
              <w:rPr>
                <w:rFonts w:hint="default" w:ascii="Times New Roman" w:hAnsi="Times New Roman" w:cs="Times New Roman"/>
                <w:bCs/>
                <w:sz w:val="24"/>
              </w:rPr>
              <w:t>。</w:t>
            </w:r>
            <w:r>
              <w:rPr>
                <w:rFonts w:hint="default" w:ascii="Times New Roman" w:hAnsi="Times New Roman" w:cs="Times New Roman"/>
                <w:bCs/>
                <w:sz w:val="24"/>
                <w:lang w:val="en-US" w:eastAsia="zh-CN"/>
              </w:rPr>
              <w:t xml:space="preserve">    </w:t>
            </w:r>
          </w:p>
          <w:p w14:paraId="205D34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lang w:val="en-US" w:eastAsia="zh-CN"/>
              </w:rPr>
              <w:t>4</w:t>
            </w:r>
            <w:r>
              <w:rPr>
                <w:rFonts w:hint="default" w:ascii="Times New Roman" w:hAnsi="Times New Roman" w:cs="Times New Roman"/>
                <w:bCs/>
                <w:sz w:val="24"/>
              </w:rPr>
              <w:t>、监测要求</w:t>
            </w:r>
          </w:p>
          <w:p w14:paraId="132D0D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根据《排污许可证申请与核发技术规范 电子工业》（HJ1031</w:t>
            </w:r>
            <w:r>
              <w:rPr>
                <w:rFonts w:hint="eastAsia" w:ascii="Times New Roman" w:hAnsi="Times New Roman" w:cs="Times New Roman"/>
                <w:bCs/>
                <w:sz w:val="24"/>
                <w:lang w:val="en-US" w:eastAsia="zh-CN"/>
              </w:rPr>
              <w:t>-</w:t>
            </w:r>
            <w:r>
              <w:rPr>
                <w:rFonts w:hint="default" w:ascii="Times New Roman" w:hAnsi="Times New Roman" w:cs="Times New Roman"/>
                <w:bCs/>
                <w:sz w:val="24"/>
              </w:rPr>
              <w:t>2019）确定本项目运营期内监测计划，具体见表</w:t>
            </w:r>
            <w:r>
              <w:rPr>
                <w:rFonts w:hint="eastAsia" w:ascii="Times New Roman" w:hAnsi="Times New Roman" w:cs="Times New Roman"/>
                <w:bCs/>
                <w:sz w:val="24"/>
                <w:lang w:val="en-US" w:eastAsia="zh-CN"/>
              </w:rPr>
              <w:t>4-13</w:t>
            </w:r>
            <w:r>
              <w:rPr>
                <w:rFonts w:hint="default" w:ascii="Times New Roman" w:hAnsi="Times New Roman" w:cs="Times New Roman"/>
                <w:bCs/>
                <w:sz w:val="24"/>
              </w:rPr>
              <w:t>。</w:t>
            </w:r>
          </w:p>
          <w:p w14:paraId="41EC4E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黑体" w:cs="Times New Roman"/>
                <w:sz w:val="21"/>
                <w:szCs w:val="21"/>
              </w:rPr>
            </w:pPr>
            <w:r>
              <w:rPr>
                <w:rFonts w:hint="default" w:ascii="Times New Roman" w:hAnsi="Times New Roman" w:eastAsia="黑体" w:cs="Times New Roman"/>
                <w:bCs/>
                <w:sz w:val="21"/>
                <w:szCs w:val="21"/>
              </w:rPr>
              <w:t>表</w:t>
            </w:r>
            <w:r>
              <w:rPr>
                <w:rFonts w:hint="eastAsia" w:ascii="Times New Roman" w:hAnsi="Times New Roman" w:eastAsia="黑体" w:cs="Times New Roman"/>
                <w:bCs/>
                <w:sz w:val="21"/>
                <w:szCs w:val="21"/>
                <w:lang w:val="en-US" w:eastAsia="zh-CN"/>
              </w:rPr>
              <w:t>4-13</w:t>
            </w:r>
            <w:r>
              <w:rPr>
                <w:rFonts w:hint="default" w:ascii="Times New Roman" w:hAnsi="Times New Roman" w:eastAsia="黑体" w:cs="Times New Roman"/>
                <w:bCs/>
                <w:sz w:val="21"/>
                <w:szCs w:val="21"/>
                <w:lang w:val="en-US" w:eastAsia="zh-CN"/>
              </w:rPr>
              <w:t xml:space="preserve"> </w:t>
            </w:r>
            <w:r>
              <w:rPr>
                <w:rFonts w:hint="default" w:ascii="Times New Roman" w:hAnsi="Times New Roman" w:eastAsia="黑体" w:cs="Times New Roman"/>
                <w:kern w:val="0"/>
                <w:sz w:val="21"/>
                <w:szCs w:val="21"/>
                <w:lang w:val="en-US" w:eastAsia="zh-CN"/>
              </w:rPr>
              <w:t>运营期</w:t>
            </w:r>
            <w:r>
              <w:rPr>
                <w:rFonts w:hint="eastAsia" w:ascii="Times New Roman" w:hAnsi="Times New Roman" w:eastAsia="黑体" w:cs="Times New Roman"/>
                <w:kern w:val="0"/>
                <w:sz w:val="21"/>
                <w:szCs w:val="21"/>
                <w:lang w:val="en-US" w:eastAsia="zh-CN"/>
              </w:rPr>
              <w:t>噪声</w:t>
            </w:r>
            <w:r>
              <w:rPr>
                <w:rFonts w:hint="default" w:ascii="Times New Roman" w:hAnsi="Times New Roman" w:eastAsia="黑体" w:cs="Times New Roman"/>
                <w:kern w:val="0"/>
                <w:sz w:val="21"/>
                <w:szCs w:val="21"/>
                <w:lang w:val="en-US" w:eastAsia="zh-CN"/>
              </w:rPr>
              <w:t>自行监测方案</w:t>
            </w:r>
          </w:p>
          <w:tbl>
            <w:tblPr>
              <w:tblStyle w:val="24"/>
              <w:tblW w:w="4999" w:type="pct"/>
              <w:jc w:val="center"/>
              <w:tblBorders>
                <w:top w:val="thinThickSmallGap" w:color="auto" w:sz="12" w:space="0"/>
                <w:left w:val="none" w:color="auto" w:sz="0" w:space="0"/>
                <w:bottom w:val="thickThinSmallGap"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74"/>
              <w:gridCol w:w="2853"/>
              <w:gridCol w:w="2016"/>
              <w:gridCol w:w="1930"/>
            </w:tblGrid>
            <w:tr w14:paraId="38783567">
              <w:tblPrEx>
                <w:tblBorders>
                  <w:top w:val="thinThickSmallGap" w:color="auto" w:sz="12" w:space="0"/>
                  <w:left w:val="none" w:color="auto" w:sz="0" w:space="0"/>
                  <w:bottom w:val="thickThinSmallGap"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0" w:type="pct"/>
                  <w:tcBorders>
                    <w:top w:val="single" w:color="auto" w:sz="4" w:space="0"/>
                    <w:left w:val="single" w:color="auto" w:sz="0" w:space="0"/>
                  </w:tcBorders>
                  <w:vAlign w:val="center"/>
                </w:tcPr>
                <w:p w14:paraId="76BD6DB1">
                  <w:pPr>
                    <w:pStyle w:val="41"/>
                    <w:keepNext w:val="0"/>
                    <w:keepLines w:val="0"/>
                    <w:pageBreakBefore w:val="0"/>
                    <w:widowControl w:val="0"/>
                    <w:kinsoku/>
                    <w:wordWrap/>
                    <w:overflowPunct/>
                    <w:topLinePunct w:val="0"/>
                    <w:autoSpaceDE/>
                    <w:autoSpaceDN/>
                    <w:bidi w:val="0"/>
                    <w:adjustRightInd/>
                    <w:snapToGrid/>
                    <w:spacing w:beforeLines="0" w:afterLines="0" w:line="360" w:lineRule="exact"/>
                    <w:ind w:left="0" w:firstLine="0" w:firstLineChars="0"/>
                    <w:jc w:val="center"/>
                    <w:textAlignment w:val="baseline"/>
                    <w:rPr>
                      <w:rFonts w:hint="default" w:ascii="Times New Roman" w:hAnsi="Times New Roman" w:cs="Times New Roman"/>
                      <w:b w:val="0"/>
                      <w:bCs/>
                      <w:color w:val="0C0C0C"/>
                      <w:szCs w:val="21"/>
                    </w:rPr>
                  </w:pPr>
                  <w:r>
                    <w:rPr>
                      <w:rFonts w:hint="default" w:ascii="Times New Roman" w:hAnsi="Times New Roman" w:cs="Times New Roman"/>
                      <w:b w:val="0"/>
                      <w:bCs/>
                      <w:color w:val="0C0C0C"/>
                      <w:szCs w:val="21"/>
                    </w:rPr>
                    <w:t>监测项目</w:t>
                  </w:r>
                </w:p>
              </w:tc>
              <w:tc>
                <w:tcPr>
                  <w:tcW w:w="1745" w:type="pct"/>
                  <w:tcBorders>
                    <w:top w:val="single" w:color="auto" w:sz="4" w:space="0"/>
                  </w:tcBorders>
                  <w:vAlign w:val="center"/>
                </w:tcPr>
                <w:p w14:paraId="59EACE1C">
                  <w:pPr>
                    <w:pStyle w:val="41"/>
                    <w:keepNext w:val="0"/>
                    <w:keepLines w:val="0"/>
                    <w:pageBreakBefore w:val="0"/>
                    <w:widowControl w:val="0"/>
                    <w:kinsoku/>
                    <w:wordWrap/>
                    <w:overflowPunct/>
                    <w:topLinePunct w:val="0"/>
                    <w:autoSpaceDE/>
                    <w:autoSpaceDN/>
                    <w:bidi w:val="0"/>
                    <w:adjustRightInd/>
                    <w:snapToGrid/>
                    <w:spacing w:beforeLines="0" w:afterLines="0" w:line="360" w:lineRule="exact"/>
                    <w:ind w:left="0" w:firstLine="0" w:firstLineChars="0"/>
                    <w:jc w:val="center"/>
                    <w:textAlignment w:val="baseline"/>
                    <w:rPr>
                      <w:rFonts w:hint="default" w:ascii="Times New Roman" w:hAnsi="Times New Roman" w:cs="Times New Roman"/>
                      <w:b w:val="0"/>
                      <w:bCs/>
                      <w:color w:val="0C0C0C"/>
                      <w:szCs w:val="21"/>
                    </w:rPr>
                  </w:pPr>
                  <w:r>
                    <w:rPr>
                      <w:rFonts w:hint="default" w:ascii="Times New Roman" w:hAnsi="Times New Roman" w:cs="Times New Roman"/>
                      <w:b w:val="0"/>
                      <w:bCs/>
                      <w:color w:val="0C0C0C"/>
                      <w:szCs w:val="21"/>
                    </w:rPr>
                    <w:t>监测因子</w:t>
                  </w:r>
                </w:p>
              </w:tc>
              <w:tc>
                <w:tcPr>
                  <w:tcW w:w="1233" w:type="pct"/>
                  <w:tcBorders>
                    <w:top w:val="single" w:color="auto" w:sz="4" w:space="0"/>
                  </w:tcBorders>
                  <w:vAlign w:val="center"/>
                </w:tcPr>
                <w:p w14:paraId="2FF5CB59">
                  <w:pPr>
                    <w:pStyle w:val="41"/>
                    <w:keepNext w:val="0"/>
                    <w:keepLines w:val="0"/>
                    <w:pageBreakBefore w:val="0"/>
                    <w:widowControl w:val="0"/>
                    <w:kinsoku/>
                    <w:wordWrap/>
                    <w:overflowPunct/>
                    <w:topLinePunct w:val="0"/>
                    <w:autoSpaceDE/>
                    <w:autoSpaceDN/>
                    <w:bidi w:val="0"/>
                    <w:adjustRightInd/>
                    <w:snapToGrid/>
                    <w:spacing w:beforeLines="0" w:afterLines="0" w:line="360" w:lineRule="exact"/>
                    <w:ind w:left="0" w:firstLine="0" w:firstLineChars="0"/>
                    <w:jc w:val="center"/>
                    <w:textAlignment w:val="baseline"/>
                    <w:rPr>
                      <w:rFonts w:hint="default" w:ascii="Times New Roman" w:hAnsi="Times New Roman" w:cs="Times New Roman"/>
                      <w:b w:val="0"/>
                      <w:bCs/>
                      <w:color w:val="0C0C0C"/>
                      <w:szCs w:val="21"/>
                    </w:rPr>
                  </w:pPr>
                  <w:r>
                    <w:rPr>
                      <w:rFonts w:hint="default" w:ascii="Times New Roman" w:hAnsi="Times New Roman" w:cs="Times New Roman"/>
                      <w:b w:val="0"/>
                      <w:bCs/>
                      <w:color w:val="0C0C0C"/>
                      <w:szCs w:val="21"/>
                    </w:rPr>
                    <w:t>监测点位</w:t>
                  </w:r>
                </w:p>
              </w:tc>
              <w:tc>
                <w:tcPr>
                  <w:tcW w:w="1180" w:type="pct"/>
                  <w:tcBorders>
                    <w:top w:val="single" w:color="auto" w:sz="4" w:space="0"/>
                    <w:right w:val="single" w:color="auto" w:sz="4" w:space="0"/>
                  </w:tcBorders>
                  <w:vAlign w:val="center"/>
                </w:tcPr>
                <w:p w14:paraId="482D8C6F">
                  <w:pPr>
                    <w:pStyle w:val="41"/>
                    <w:keepNext w:val="0"/>
                    <w:keepLines w:val="0"/>
                    <w:pageBreakBefore w:val="0"/>
                    <w:widowControl w:val="0"/>
                    <w:kinsoku/>
                    <w:wordWrap/>
                    <w:overflowPunct/>
                    <w:topLinePunct w:val="0"/>
                    <w:autoSpaceDE/>
                    <w:autoSpaceDN/>
                    <w:bidi w:val="0"/>
                    <w:adjustRightInd/>
                    <w:snapToGrid/>
                    <w:spacing w:beforeLines="0" w:afterLines="0" w:line="360" w:lineRule="exact"/>
                    <w:ind w:left="0" w:firstLine="0" w:firstLineChars="0"/>
                    <w:jc w:val="center"/>
                    <w:textAlignment w:val="baseline"/>
                    <w:rPr>
                      <w:rFonts w:hint="default" w:ascii="Times New Roman" w:hAnsi="Times New Roman" w:cs="Times New Roman"/>
                      <w:b w:val="0"/>
                      <w:bCs/>
                      <w:color w:val="0C0C0C"/>
                      <w:szCs w:val="21"/>
                    </w:rPr>
                  </w:pPr>
                  <w:r>
                    <w:rPr>
                      <w:rFonts w:hint="default" w:ascii="Times New Roman" w:hAnsi="Times New Roman" w:cs="Times New Roman"/>
                      <w:b w:val="0"/>
                      <w:bCs/>
                      <w:color w:val="0C0C0C"/>
                      <w:szCs w:val="21"/>
                    </w:rPr>
                    <w:t>监测频率</w:t>
                  </w:r>
                </w:p>
              </w:tc>
            </w:tr>
            <w:tr w14:paraId="4EC06FCB">
              <w:tblPrEx>
                <w:tblBorders>
                  <w:top w:val="thinThickSmallGap" w:color="auto" w:sz="12" w:space="0"/>
                  <w:left w:val="none" w:color="auto" w:sz="0" w:space="0"/>
                  <w:bottom w:val="thickThinSmallGap"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0" w:type="pct"/>
                  <w:tcBorders>
                    <w:left w:val="single" w:color="auto" w:sz="4" w:space="0"/>
                    <w:bottom w:val="single" w:color="auto" w:sz="4" w:space="0"/>
                  </w:tcBorders>
                  <w:vAlign w:val="center"/>
                </w:tcPr>
                <w:p w14:paraId="078E8656">
                  <w:pPr>
                    <w:pStyle w:val="41"/>
                    <w:keepNext w:val="0"/>
                    <w:keepLines w:val="0"/>
                    <w:pageBreakBefore w:val="0"/>
                    <w:widowControl w:val="0"/>
                    <w:kinsoku/>
                    <w:wordWrap/>
                    <w:overflowPunct/>
                    <w:topLinePunct w:val="0"/>
                    <w:autoSpaceDE/>
                    <w:autoSpaceDN/>
                    <w:bidi w:val="0"/>
                    <w:adjustRightInd/>
                    <w:snapToGrid/>
                    <w:spacing w:beforeLines="0" w:afterLines="0" w:line="360" w:lineRule="exact"/>
                    <w:ind w:left="0" w:firstLine="0" w:firstLineChars="0"/>
                    <w:jc w:val="center"/>
                    <w:textAlignment w:val="baseline"/>
                    <w:rPr>
                      <w:rFonts w:hint="default" w:ascii="Times New Roman" w:hAnsi="Times New Roman" w:cs="Times New Roman"/>
                      <w:b w:val="0"/>
                      <w:bCs/>
                      <w:color w:val="0C0C0C"/>
                      <w:szCs w:val="21"/>
                    </w:rPr>
                  </w:pPr>
                  <w:r>
                    <w:rPr>
                      <w:rFonts w:hint="default" w:ascii="Times New Roman" w:hAnsi="Times New Roman" w:cs="Times New Roman"/>
                      <w:b w:val="0"/>
                      <w:bCs/>
                      <w:color w:val="0C0C0C"/>
                      <w:szCs w:val="21"/>
                    </w:rPr>
                    <w:t>噪声</w:t>
                  </w:r>
                </w:p>
              </w:tc>
              <w:tc>
                <w:tcPr>
                  <w:tcW w:w="1745" w:type="pct"/>
                  <w:tcBorders>
                    <w:bottom w:val="single" w:color="auto" w:sz="4" w:space="0"/>
                  </w:tcBorders>
                  <w:vAlign w:val="center"/>
                </w:tcPr>
                <w:p w14:paraId="36C46844">
                  <w:pPr>
                    <w:pStyle w:val="41"/>
                    <w:keepNext w:val="0"/>
                    <w:keepLines w:val="0"/>
                    <w:pageBreakBefore w:val="0"/>
                    <w:widowControl w:val="0"/>
                    <w:kinsoku/>
                    <w:wordWrap/>
                    <w:overflowPunct/>
                    <w:topLinePunct w:val="0"/>
                    <w:autoSpaceDE/>
                    <w:autoSpaceDN/>
                    <w:bidi w:val="0"/>
                    <w:adjustRightInd/>
                    <w:snapToGrid/>
                    <w:spacing w:beforeLines="0" w:afterLines="0" w:line="360" w:lineRule="exact"/>
                    <w:ind w:left="0" w:firstLine="0" w:firstLineChars="0"/>
                    <w:jc w:val="center"/>
                    <w:textAlignment w:val="baseline"/>
                    <w:rPr>
                      <w:rFonts w:hint="default" w:ascii="Times New Roman" w:hAnsi="Times New Roman" w:cs="Times New Roman"/>
                      <w:b w:val="0"/>
                      <w:bCs/>
                      <w:color w:val="0C0C0C"/>
                      <w:szCs w:val="21"/>
                    </w:rPr>
                  </w:pPr>
                  <w:r>
                    <w:rPr>
                      <w:rFonts w:hint="default" w:ascii="Times New Roman" w:hAnsi="Times New Roman" w:cs="Times New Roman"/>
                      <w:b w:val="0"/>
                      <w:bCs/>
                      <w:color w:val="0C0C0C"/>
                      <w:szCs w:val="21"/>
                    </w:rPr>
                    <w:t>昼、夜等效连续A声级</w:t>
                  </w:r>
                </w:p>
              </w:tc>
              <w:tc>
                <w:tcPr>
                  <w:tcW w:w="1233" w:type="pct"/>
                  <w:tcBorders>
                    <w:bottom w:val="single" w:color="auto" w:sz="4" w:space="0"/>
                  </w:tcBorders>
                  <w:vAlign w:val="center"/>
                </w:tcPr>
                <w:p w14:paraId="50763454">
                  <w:pPr>
                    <w:pStyle w:val="41"/>
                    <w:keepNext w:val="0"/>
                    <w:keepLines w:val="0"/>
                    <w:pageBreakBefore w:val="0"/>
                    <w:widowControl w:val="0"/>
                    <w:kinsoku/>
                    <w:wordWrap/>
                    <w:overflowPunct/>
                    <w:topLinePunct w:val="0"/>
                    <w:autoSpaceDE/>
                    <w:autoSpaceDN/>
                    <w:bidi w:val="0"/>
                    <w:adjustRightInd/>
                    <w:snapToGrid/>
                    <w:spacing w:beforeLines="0" w:afterLines="0" w:line="360" w:lineRule="exact"/>
                    <w:ind w:left="0" w:firstLine="0" w:firstLineChars="0"/>
                    <w:jc w:val="center"/>
                    <w:textAlignment w:val="baseline"/>
                    <w:rPr>
                      <w:rFonts w:hint="default" w:ascii="Times New Roman" w:hAnsi="Times New Roman" w:cs="Times New Roman"/>
                      <w:b w:val="0"/>
                      <w:bCs/>
                      <w:color w:val="0C0C0C"/>
                      <w:szCs w:val="21"/>
                    </w:rPr>
                  </w:pPr>
                  <w:r>
                    <w:rPr>
                      <w:rFonts w:hint="default" w:ascii="Times New Roman" w:hAnsi="Times New Roman" w:cs="Times New Roman"/>
                      <w:b w:val="0"/>
                      <w:bCs/>
                      <w:color w:val="0C0C0C"/>
                      <w:szCs w:val="21"/>
                    </w:rPr>
                    <w:t>厂界四周</w:t>
                  </w:r>
                </w:p>
              </w:tc>
              <w:tc>
                <w:tcPr>
                  <w:tcW w:w="1180" w:type="pct"/>
                  <w:tcBorders>
                    <w:bottom w:val="single" w:color="auto" w:sz="4" w:space="0"/>
                    <w:right w:val="single" w:color="auto" w:sz="4" w:space="0"/>
                  </w:tcBorders>
                  <w:vAlign w:val="center"/>
                </w:tcPr>
                <w:p w14:paraId="46C312E4">
                  <w:pPr>
                    <w:pStyle w:val="41"/>
                    <w:keepNext w:val="0"/>
                    <w:keepLines w:val="0"/>
                    <w:pageBreakBefore w:val="0"/>
                    <w:widowControl w:val="0"/>
                    <w:kinsoku/>
                    <w:wordWrap/>
                    <w:overflowPunct/>
                    <w:topLinePunct w:val="0"/>
                    <w:autoSpaceDE/>
                    <w:autoSpaceDN/>
                    <w:bidi w:val="0"/>
                    <w:adjustRightInd/>
                    <w:snapToGrid/>
                    <w:spacing w:beforeLines="0" w:afterLines="0" w:line="360" w:lineRule="exact"/>
                    <w:ind w:left="0" w:firstLine="0" w:firstLineChars="0"/>
                    <w:jc w:val="center"/>
                    <w:textAlignment w:val="baseline"/>
                    <w:rPr>
                      <w:rFonts w:hint="default" w:ascii="Times New Roman" w:hAnsi="Times New Roman" w:cs="Times New Roman"/>
                      <w:b w:val="0"/>
                      <w:bCs/>
                      <w:color w:val="0C0C0C"/>
                      <w:szCs w:val="21"/>
                    </w:rPr>
                  </w:pPr>
                  <w:r>
                    <w:rPr>
                      <w:rFonts w:hint="default" w:ascii="Times New Roman" w:hAnsi="Times New Roman" w:cs="Times New Roman"/>
                      <w:b w:val="0"/>
                      <w:bCs/>
                      <w:color w:val="0C0C0C"/>
                      <w:szCs w:val="21"/>
                    </w:rPr>
                    <w:t>1次/季度</w:t>
                  </w:r>
                </w:p>
              </w:tc>
            </w:tr>
          </w:tbl>
          <w:p w14:paraId="2E0DF2C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b/>
                <w:bCs/>
                <w:sz w:val="28"/>
                <w:szCs w:val="28"/>
              </w:rPr>
              <w:t>四、固体废物影响分析</w:t>
            </w:r>
          </w:p>
          <w:p w14:paraId="42C26CD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1、固体废物分析</w:t>
            </w:r>
          </w:p>
          <w:p w14:paraId="798661C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项目营运期产生的固体废物主要为生活垃圾</w:t>
            </w:r>
            <w:r>
              <w:rPr>
                <w:rFonts w:hint="eastAsia" w:ascii="Times New Roman" w:hAnsi="Times New Roman" w:eastAsia="宋体" w:cs="Times New Roman"/>
                <w:sz w:val="24"/>
                <w:lang w:eastAsia="zh-CN"/>
              </w:rPr>
              <w:t>、</w:t>
            </w:r>
            <w:r>
              <w:rPr>
                <w:rFonts w:hint="default" w:ascii="Times New Roman" w:hAnsi="Times New Roman" w:eastAsia="宋体" w:cs="Times New Roman"/>
                <w:sz w:val="24"/>
              </w:rPr>
              <w:t>废外包装材料</w:t>
            </w:r>
            <w:r>
              <w:rPr>
                <w:rFonts w:hint="eastAsia" w:ascii="Times New Roman" w:hAnsi="Times New Roman" w:eastAsia="宋体" w:cs="Times New Roman"/>
                <w:sz w:val="24"/>
                <w:lang w:eastAsia="zh-CN"/>
              </w:rPr>
              <w:t>、</w:t>
            </w:r>
            <w:r>
              <w:rPr>
                <w:rFonts w:hint="default" w:ascii="Times New Roman" w:hAnsi="Times New Roman" w:eastAsia="宋体" w:cs="Times New Roman"/>
                <w:sz w:val="24"/>
              </w:rPr>
              <w:t>锡渣</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除尘器捕捉粉尘、</w:t>
            </w:r>
            <w:r>
              <w:rPr>
                <w:rFonts w:hint="eastAsia" w:ascii="Times New Roman" w:hAnsi="Times New Roman" w:eastAsia="宋体" w:cs="Times New Roman"/>
                <w:sz w:val="24"/>
                <w:lang w:eastAsia="zh-CN"/>
              </w:rPr>
              <w:t>废电路板、</w:t>
            </w:r>
            <w:r>
              <w:rPr>
                <w:rFonts w:hint="default" w:ascii="Times New Roman" w:hAnsi="Times New Roman" w:eastAsia="宋体" w:cs="Times New Roman"/>
                <w:sz w:val="24"/>
              </w:rPr>
              <w:t>废辅料包装材料</w:t>
            </w:r>
            <w:r>
              <w:rPr>
                <w:rFonts w:hint="eastAsia" w:ascii="Times New Roman" w:hAnsi="Times New Roman" w:eastAsia="宋体" w:cs="Times New Roman"/>
                <w:sz w:val="24"/>
                <w:lang w:eastAsia="zh-CN"/>
              </w:rPr>
              <w:t>、</w:t>
            </w:r>
            <w:r>
              <w:rPr>
                <w:rFonts w:hint="default" w:ascii="Times New Roman" w:hAnsi="Times New Roman" w:eastAsia="宋体" w:cs="Times New Roman"/>
                <w:sz w:val="24"/>
              </w:rPr>
              <w:t>废</w:t>
            </w:r>
            <w:r>
              <w:rPr>
                <w:rFonts w:hint="eastAsia" w:ascii="Times New Roman" w:hAnsi="Times New Roman" w:eastAsia="宋体" w:cs="Times New Roman"/>
                <w:sz w:val="24"/>
                <w:lang w:eastAsia="zh-CN"/>
              </w:rPr>
              <w:t>擦拭布、</w:t>
            </w:r>
            <w:r>
              <w:rPr>
                <w:rFonts w:hint="default" w:ascii="Times New Roman" w:hAnsi="Times New Roman" w:eastAsia="宋体" w:cs="Times New Roman"/>
                <w:sz w:val="24"/>
              </w:rPr>
              <w:t>废活性炭</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废滤芯、废机油、废机油桶、</w:t>
            </w:r>
            <w:r>
              <w:rPr>
                <w:rFonts w:hint="default" w:ascii="Times New Roman" w:hAnsi="Times New Roman" w:eastAsia="宋体" w:cs="Times New Roman"/>
                <w:sz w:val="24"/>
              </w:rPr>
              <w:t>废含油抹布手套</w:t>
            </w:r>
            <w:r>
              <w:rPr>
                <w:rFonts w:hint="eastAsia" w:ascii="Times New Roman" w:hAnsi="Times New Roman" w:eastAsia="宋体" w:cs="Times New Roman"/>
                <w:sz w:val="24"/>
                <w:lang w:val="en-US" w:eastAsia="zh-CN"/>
              </w:rPr>
              <w:t>等</w:t>
            </w:r>
            <w:r>
              <w:rPr>
                <w:rFonts w:hint="default" w:ascii="Times New Roman" w:hAnsi="Times New Roman" w:eastAsia="宋体" w:cs="Times New Roman"/>
                <w:sz w:val="24"/>
              </w:rPr>
              <w:t>。</w:t>
            </w:r>
          </w:p>
          <w:p w14:paraId="545B01C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w:t>
            </w:r>
            <w:r>
              <w:rPr>
                <w:rFonts w:hint="default" w:ascii="Times New Roman" w:hAnsi="Times New Roman" w:eastAsia="宋体" w:cs="Times New Roman"/>
                <w:sz w:val="24"/>
              </w:rPr>
              <w:t>生活垃圾</w:t>
            </w:r>
          </w:p>
          <w:p w14:paraId="4B0D547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本项目劳动定员</w:t>
            </w:r>
            <w:r>
              <w:rPr>
                <w:rFonts w:hint="eastAsia" w:ascii="Times New Roman" w:hAnsi="Times New Roman" w:eastAsia="宋体" w:cs="Times New Roman"/>
                <w:sz w:val="24"/>
                <w:lang w:val="en-US" w:eastAsia="zh-CN"/>
              </w:rPr>
              <w:t>30</w:t>
            </w:r>
            <w:r>
              <w:rPr>
                <w:rFonts w:hint="default" w:ascii="Times New Roman" w:hAnsi="Times New Roman" w:eastAsia="宋体" w:cs="Times New Roman"/>
                <w:sz w:val="24"/>
              </w:rPr>
              <w:t>人，员工生活垃圾按0.5kg/d计算，则员工生活垃圾产生量为</w:t>
            </w:r>
            <w:r>
              <w:rPr>
                <w:rFonts w:hint="eastAsia" w:ascii="Times New Roman" w:hAnsi="Times New Roman" w:eastAsia="宋体" w:cs="Times New Roman"/>
                <w:sz w:val="24"/>
                <w:lang w:val="en-US" w:eastAsia="zh-CN"/>
              </w:rPr>
              <w:t>15</w:t>
            </w:r>
            <w:r>
              <w:rPr>
                <w:rFonts w:hint="default" w:ascii="Times New Roman" w:hAnsi="Times New Roman" w:eastAsia="宋体" w:cs="Times New Roman"/>
                <w:sz w:val="24"/>
              </w:rPr>
              <w:t>kg/d</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4.5t/a</w:t>
            </w:r>
            <w:r>
              <w:rPr>
                <w:rFonts w:hint="eastAsia" w:ascii="Times New Roman" w:hAnsi="Times New Roman" w:eastAsia="宋体" w:cs="Times New Roman"/>
                <w:sz w:val="24"/>
                <w:lang w:eastAsia="zh-CN"/>
              </w:rPr>
              <w:t>）。</w:t>
            </w:r>
            <w:r>
              <w:rPr>
                <w:rFonts w:hint="default" w:ascii="Times New Roman" w:hAnsi="Times New Roman" w:eastAsia="宋体" w:cs="Times New Roman"/>
                <w:sz w:val="24"/>
              </w:rPr>
              <w:t>生活垃圾</w:t>
            </w:r>
            <w:r>
              <w:rPr>
                <w:rFonts w:hint="eastAsia" w:ascii="Times New Roman" w:hAnsi="Times New Roman" w:eastAsia="宋体" w:cs="Times New Roman"/>
                <w:sz w:val="24"/>
                <w:lang w:val="en-US" w:eastAsia="zh-CN"/>
              </w:rPr>
              <w:t>集中</w:t>
            </w:r>
            <w:r>
              <w:rPr>
                <w:rFonts w:hint="default" w:ascii="Times New Roman" w:hAnsi="Times New Roman" w:eastAsia="宋体" w:cs="Times New Roman"/>
                <w:sz w:val="24"/>
              </w:rPr>
              <w:t>收集后委托环卫部门进行</w:t>
            </w:r>
            <w:r>
              <w:rPr>
                <w:rFonts w:hint="eastAsia" w:ascii="Times New Roman" w:hAnsi="Times New Roman" w:eastAsia="宋体" w:cs="Times New Roman"/>
                <w:sz w:val="24"/>
                <w:lang w:val="en-US" w:eastAsia="zh-CN"/>
              </w:rPr>
              <w:t>清运</w:t>
            </w:r>
            <w:r>
              <w:rPr>
                <w:rFonts w:hint="default" w:ascii="Times New Roman" w:hAnsi="Times New Roman" w:eastAsia="宋体" w:cs="Times New Roman"/>
                <w:sz w:val="24"/>
              </w:rPr>
              <w:t>。</w:t>
            </w:r>
          </w:p>
          <w:p w14:paraId="7D286A1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2</w:t>
            </w:r>
            <w:r>
              <w:rPr>
                <w:rFonts w:hint="eastAsia" w:ascii="Times New Roman" w:hAnsi="Times New Roman" w:eastAsia="宋体" w:cs="Times New Roman"/>
                <w:sz w:val="24"/>
                <w:lang w:eastAsia="zh-CN"/>
              </w:rPr>
              <w:t>）废外包装材料</w:t>
            </w:r>
          </w:p>
          <w:p w14:paraId="3151BB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本项目</w:t>
            </w:r>
            <w:r>
              <w:rPr>
                <w:rFonts w:hint="eastAsia" w:ascii="Times New Roman" w:hAnsi="Times New Roman" w:eastAsia="宋体" w:cs="Times New Roman"/>
                <w:sz w:val="24"/>
                <w:lang w:eastAsia="zh-CN"/>
              </w:rPr>
              <w:t>原辅料使用及产品包装过程产生废外包装箱、废外包装纸等，产生量约为</w:t>
            </w:r>
            <w:r>
              <w:rPr>
                <w:rFonts w:hint="eastAsia" w:ascii="Times New Roman" w:hAnsi="Times New Roman" w:eastAsia="宋体" w:cs="Times New Roman"/>
                <w:sz w:val="24"/>
                <w:lang w:val="en-US" w:eastAsia="zh-CN"/>
              </w:rPr>
              <w:t>0</w:t>
            </w:r>
            <w:r>
              <w:rPr>
                <w:rFonts w:hint="eastAsia" w:ascii="Times New Roman" w:hAnsi="Times New Roman" w:eastAsia="宋体" w:cs="Times New Roman"/>
                <w:sz w:val="24"/>
                <w:lang w:eastAsia="zh-CN"/>
              </w:rPr>
              <w:t>.5t/a。废外包装材料集中收集后外售综合利用。</w:t>
            </w:r>
          </w:p>
          <w:p w14:paraId="5C80D45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3</w:t>
            </w:r>
            <w:r>
              <w:rPr>
                <w:rFonts w:hint="eastAsia" w:ascii="Times New Roman" w:hAnsi="Times New Roman" w:eastAsia="宋体" w:cs="Times New Roman"/>
                <w:sz w:val="24"/>
                <w:lang w:eastAsia="zh-CN"/>
              </w:rPr>
              <w:t>）</w:t>
            </w:r>
            <w:r>
              <w:rPr>
                <w:rFonts w:hint="default" w:ascii="Times New Roman" w:hAnsi="Times New Roman" w:eastAsia="宋体" w:cs="Times New Roman"/>
                <w:sz w:val="24"/>
              </w:rPr>
              <w:t>锡渣</w:t>
            </w:r>
          </w:p>
          <w:p w14:paraId="54DBD97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本项目</w:t>
            </w:r>
            <w:r>
              <w:rPr>
                <w:rFonts w:hint="default" w:ascii="Times New Roman" w:hAnsi="Times New Roman" w:eastAsia="宋体" w:cs="Times New Roman"/>
                <w:sz w:val="24"/>
              </w:rPr>
              <w:t>生产过程中手工焊工序产生锡渣，锡渣产生量按原料使用量的1%计算，无铅锡丝总用量为0.1t/a，则焊接锡渣产生量为0.0</w:t>
            </w:r>
            <w:r>
              <w:rPr>
                <w:rFonts w:hint="eastAsia" w:ascii="Times New Roman" w:hAnsi="Times New Roman" w:eastAsia="宋体" w:cs="Times New Roman"/>
                <w:sz w:val="24"/>
                <w:lang w:val="en-US" w:eastAsia="zh-CN"/>
              </w:rPr>
              <w:t>01</w:t>
            </w:r>
            <w:r>
              <w:rPr>
                <w:rFonts w:hint="default" w:ascii="Times New Roman" w:hAnsi="Times New Roman" w:eastAsia="宋体" w:cs="Times New Roman"/>
                <w:sz w:val="24"/>
              </w:rPr>
              <w:t>t/a。</w:t>
            </w:r>
            <w:r>
              <w:rPr>
                <w:rFonts w:hint="eastAsia" w:ascii="Times New Roman" w:hAnsi="Times New Roman" w:eastAsia="宋体" w:cs="Times New Roman"/>
                <w:sz w:val="24"/>
                <w:lang w:val="en-US" w:eastAsia="zh-CN"/>
              </w:rPr>
              <w:t>锡渣</w:t>
            </w:r>
            <w:r>
              <w:rPr>
                <w:rFonts w:hint="default" w:ascii="Times New Roman" w:hAnsi="Times New Roman" w:eastAsia="宋体" w:cs="Times New Roman"/>
                <w:sz w:val="24"/>
              </w:rPr>
              <w:t>集中收集后外售综合利用</w:t>
            </w:r>
            <w:r>
              <w:rPr>
                <w:rFonts w:hint="eastAsia" w:ascii="Times New Roman" w:hAnsi="Times New Roman" w:eastAsia="宋体" w:cs="Times New Roman"/>
                <w:sz w:val="24"/>
                <w:lang w:eastAsia="zh-CN"/>
              </w:rPr>
              <w:t>。</w:t>
            </w:r>
          </w:p>
          <w:p w14:paraId="39DB2C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（4）除尘器捕捉粉尘</w:t>
            </w:r>
          </w:p>
          <w:p w14:paraId="3B245D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根据废气源强核算结果可知，本项目除尘器捕捉粉尘量为0.1879kg/a，除尘器捕捉粉尘经收集后外售处理。</w:t>
            </w:r>
          </w:p>
          <w:p w14:paraId="25ACCCD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5</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废电路板</w:t>
            </w:r>
          </w:p>
          <w:p w14:paraId="69A92E9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产品焊接、测试过程中会产生</w:t>
            </w:r>
            <w:r>
              <w:rPr>
                <w:rFonts w:hint="eastAsia" w:ascii="Times New Roman" w:hAnsi="Times New Roman" w:eastAsia="宋体" w:cs="Times New Roman"/>
                <w:sz w:val="24"/>
                <w:lang w:val="en-US" w:eastAsia="zh-CN"/>
              </w:rPr>
              <w:t>废电路板</w:t>
            </w:r>
            <w:r>
              <w:rPr>
                <w:rFonts w:hint="eastAsia" w:ascii="Times New Roman" w:hAnsi="Times New Roman" w:eastAsia="宋体" w:cs="Times New Roman"/>
                <w:sz w:val="24"/>
                <w:lang w:eastAsia="zh-CN"/>
              </w:rPr>
              <w:t>。</w:t>
            </w:r>
            <w:r>
              <w:rPr>
                <w:rFonts w:hint="default" w:ascii="Times New Roman" w:hAnsi="Times New Roman" w:eastAsia="宋体" w:cs="Times New Roman"/>
                <w:sz w:val="24"/>
                <w:lang w:eastAsia="zh-CN"/>
              </w:rPr>
              <w:t>根据建设单位提供资料，</w:t>
            </w:r>
            <w:r>
              <w:rPr>
                <w:rFonts w:hint="eastAsia" w:ascii="Times New Roman" w:hAnsi="Times New Roman" w:eastAsia="宋体" w:cs="Times New Roman"/>
                <w:sz w:val="24"/>
                <w:lang w:eastAsia="zh-CN"/>
              </w:rPr>
              <w:t>废电路板</w:t>
            </w:r>
            <w:r>
              <w:rPr>
                <w:rFonts w:hint="default" w:ascii="Times New Roman" w:hAnsi="Times New Roman" w:eastAsia="宋体" w:cs="Times New Roman"/>
                <w:sz w:val="24"/>
                <w:lang w:eastAsia="zh-CN"/>
              </w:rPr>
              <w:t>产生量约占产品总量的</w:t>
            </w:r>
            <w:r>
              <w:rPr>
                <w:rFonts w:hint="eastAsia" w:ascii="Times New Roman" w:hAnsi="Times New Roman" w:eastAsia="宋体" w:cs="Times New Roman"/>
                <w:sz w:val="24"/>
                <w:lang w:val="en-US" w:eastAsia="zh-CN"/>
              </w:rPr>
              <w:t>2</w:t>
            </w:r>
            <w:r>
              <w:rPr>
                <w:rFonts w:hint="default"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则废电路板产生量为100块，</w:t>
            </w:r>
            <w:r>
              <w:rPr>
                <w:rFonts w:hint="eastAsia" w:ascii="Times New Roman" w:hAnsi="Times New Roman" w:eastAsia="宋体" w:cs="Times New Roman"/>
                <w:sz w:val="24"/>
                <w:highlight w:val="none"/>
                <w:lang w:eastAsia="zh-CN"/>
              </w:rPr>
              <w:t>约0.</w:t>
            </w:r>
            <w:r>
              <w:rPr>
                <w:rFonts w:hint="eastAsia" w:ascii="Times New Roman" w:hAnsi="Times New Roman" w:eastAsia="宋体" w:cs="Times New Roman"/>
                <w:sz w:val="24"/>
                <w:highlight w:val="none"/>
                <w:lang w:val="en-US" w:eastAsia="zh-CN"/>
              </w:rPr>
              <w:t>01</w:t>
            </w:r>
            <w:r>
              <w:rPr>
                <w:rFonts w:hint="eastAsia" w:ascii="Times New Roman" w:hAnsi="Times New Roman" w:eastAsia="宋体" w:cs="Times New Roman"/>
                <w:sz w:val="24"/>
                <w:highlight w:val="none"/>
                <w:lang w:eastAsia="zh-CN"/>
              </w:rPr>
              <w:t>t/a</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对照</w:t>
            </w:r>
            <w:r>
              <w:rPr>
                <w:rFonts w:hint="eastAsia" w:ascii="Times New Roman" w:hAnsi="Times New Roman" w:eastAsia="宋体" w:cs="Times New Roman"/>
                <w:sz w:val="24"/>
                <w:lang w:eastAsia="zh-CN"/>
              </w:rPr>
              <w:t>《国家危险废物名录（2025年版）》，</w:t>
            </w:r>
            <w:r>
              <w:rPr>
                <w:rFonts w:hint="eastAsia" w:ascii="Times New Roman" w:hAnsi="Times New Roman" w:eastAsia="宋体" w:cs="Times New Roman"/>
                <w:sz w:val="24"/>
                <w:lang w:val="en-US" w:eastAsia="zh-CN"/>
              </w:rPr>
              <w:t>废电路板属于</w:t>
            </w:r>
            <w:r>
              <w:rPr>
                <w:rFonts w:hint="eastAsia" w:ascii="Times New Roman" w:hAnsi="Times New Roman" w:eastAsia="宋体" w:cs="Times New Roman"/>
                <w:sz w:val="24"/>
                <w:lang w:eastAsia="zh-CN"/>
              </w:rPr>
              <w:t>HW49，900-045-49。</w:t>
            </w:r>
            <w:r>
              <w:rPr>
                <w:rFonts w:hint="eastAsia" w:ascii="Times New Roman" w:hAnsi="Times New Roman" w:eastAsia="宋体" w:cs="Times New Roman"/>
                <w:sz w:val="24"/>
                <w:lang w:val="en-US" w:eastAsia="zh-CN"/>
              </w:rPr>
              <w:t>废电路板</w:t>
            </w:r>
            <w:r>
              <w:rPr>
                <w:rFonts w:hint="default" w:ascii="Times New Roman" w:hAnsi="Times New Roman" w:eastAsia="宋体" w:cs="Times New Roman"/>
                <w:sz w:val="24"/>
                <w:lang w:eastAsia="zh-CN"/>
              </w:rPr>
              <w:t>集中收集后置于</w:t>
            </w:r>
            <w:r>
              <w:rPr>
                <w:rFonts w:hint="eastAsia" w:ascii="Times New Roman" w:hAnsi="Times New Roman" w:cs="Times New Roman"/>
                <w:color w:val="000000"/>
                <w:spacing w:val="-1"/>
                <w:sz w:val="24"/>
              </w:rPr>
              <w:t>危废贮存点</w:t>
            </w:r>
            <w:r>
              <w:rPr>
                <w:rFonts w:hint="default" w:ascii="Times New Roman" w:hAnsi="Times New Roman" w:eastAsia="宋体" w:cs="Times New Roman"/>
                <w:sz w:val="24"/>
                <w:lang w:eastAsia="zh-CN"/>
              </w:rPr>
              <w:t>，定期委托有资质的单位进行处置。</w:t>
            </w:r>
          </w:p>
          <w:p w14:paraId="1B4FE49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6</w:t>
            </w:r>
            <w:r>
              <w:rPr>
                <w:rFonts w:hint="eastAsia" w:ascii="Times New Roman" w:hAnsi="Times New Roman" w:eastAsia="宋体" w:cs="Times New Roman"/>
                <w:sz w:val="24"/>
                <w:lang w:eastAsia="zh-CN"/>
              </w:rPr>
              <w:t>）废</w:t>
            </w:r>
            <w:r>
              <w:rPr>
                <w:rFonts w:hint="eastAsia" w:ascii="Times New Roman" w:hAnsi="Times New Roman" w:eastAsia="宋体" w:cs="Times New Roman"/>
                <w:sz w:val="24"/>
                <w:lang w:val="en-US" w:eastAsia="zh-CN"/>
              </w:rPr>
              <w:t>辅料包装材料</w:t>
            </w:r>
          </w:p>
          <w:p w14:paraId="5D45099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根据建设单位提供的资料，项目无铅锡膏用量为</w:t>
            </w:r>
            <w:r>
              <w:rPr>
                <w:rFonts w:hint="eastAsia" w:ascii="Times New Roman" w:hAnsi="Times New Roman" w:eastAsia="宋体" w:cs="Times New Roman"/>
                <w:sz w:val="24"/>
                <w:lang w:val="en-US" w:eastAsia="zh-CN"/>
              </w:rPr>
              <w:t>0.1</w:t>
            </w:r>
            <w:r>
              <w:rPr>
                <w:rFonts w:hint="eastAsia" w:ascii="Times New Roman" w:hAnsi="Times New Roman" w:eastAsia="宋体" w:cs="Times New Roman"/>
                <w:sz w:val="24"/>
                <w:lang w:eastAsia="zh-CN"/>
              </w:rPr>
              <w:t>t/a，包装规格为500g/</w:t>
            </w:r>
            <w:r>
              <w:rPr>
                <w:rFonts w:hint="eastAsia" w:ascii="Times New Roman" w:hAnsi="Times New Roman" w:eastAsia="宋体" w:cs="Times New Roman"/>
                <w:sz w:val="24"/>
                <w:lang w:val="en-US" w:eastAsia="zh-CN"/>
              </w:rPr>
              <w:t>瓶</w:t>
            </w:r>
            <w:r>
              <w:rPr>
                <w:rFonts w:hint="eastAsia" w:ascii="Times New Roman" w:hAnsi="Times New Roman" w:eastAsia="宋体" w:cs="Times New Roman"/>
                <w:sz w:val="24"/>
                <w:lang w:eastAsia="zh-CN"/>
              </w:rPr>
              <w:t>，产生废</w:t>
            </w:r>
            <w:r>
              <w:rPr>
                <w:rFonts w:hint="eastAsia" w:ascii="Times New Roman" w:hAnsi="Times New Roman" w:eastAsia="宋体" w:cs="Times New Roman"/>
                <w:sz w:val="24"/>
                <w:lang w:val="en-US" w:eastAsia="zh-CN"/>
              </w:rPr>
              <w:t>锡膏瓶200</w:t>
            </w:r>
            <w:r>
              <w:rPr>
                <w:rFonts w:hint="eastAsia" w:ascii="Times New Roman" w:hAnsi="Times New Roman" w:eastAsia="宋体" w:cs="Times New Roman"/>
                <w:sz w:val="24"/>
                <w:lang w:eastAsia="zh-CN"/>
              </w:rPr>
              <w:t>个/</w:t>
            </w:r>
            <w:r>
              <w:rPr>
                <w:rFonts w:hint="eastAsia" w:ascii="Times New Roman" w:hAnsi="Times New Roman" w:eastAsia="宋体" w:cs="Times New Roman"/>
                <w:sz w:val="24"/>
                <w:lang w:val="en-US" w:eastAsia="zh-CN"/>
              </w:rPr>
              <w:t>年</w:t>
            </w:r>
            <w:r>
              <w:rPr>
                <w:rFonts w:hint="eastAsia" w:ascii="Times New Roman" w:hAnsi="Times New Roman" w:eastAsia="宋体" w:cs="Times New Roman"/>
                <w:sz w:val="24"/>
                <w:lang w:eastAsia="zh-CN"/>
              </w:rPr>
              <w:t>，按照每个</w:t>
            </w:r>
            <w:r>
              <w:rPr>
                <w:rFonts w:hint="eastAsia" w:ascii="Times New Roman" w:hAnsi="Times New Roman" w:eastAsia="宋体" w:cs="Times New Roman"/>
                <w:sz w:val="24"/>
                <w:lang w:val="en-US" w:eastAsia="zh-CN"/>
              </w:rPr>
              <w:t>锡膏盒</w:t>
            </w:r>
            <w:r>
              <w:rPr>
                <w:rFonts w:hint="eastAsia" w:ascii="Times New Roman" w:hAnsi="Times New Roman" w:eastAsia="宋体" w:cs="Times New Roman"/>
                <w:sz w:val="24"/>
                <w:lang w:eastAsia="zh-CN"/>
              </w:rPr>
              <w:t>重量0.</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kg计，则废</w:t>
            </w:r>
            <w:r>
              <w:rPr>
                <w:rFonts w:hint="eastAsia" w:ascii="Times New Roman" w:hAnsi="Times New Roman" w:eastAsia="宋体" w:cs="Times New Roman"/>
                <w:sz w:val="24"/>
                <w:lang w:val="en-US" w:eastAsia="zh-CN"/>
              </w:rPr>
              <w:t>锡膏瓶</w:t>
            </w:r>
            <w:r>
              <w:rPr>
                <w:rFonts w:hint="eastAsia" w:ascii="Times New Roman" w:hAnsi="Times New Roman" w:eastAsia="宋体" w:cs="Times New Roman"/>
                <w:sz w:val="24"/>
                <w:lang w:eastAsia="zh-CN"/>
              </w:rPr>
              <w:t>产生量约为</w:t>
            </w:r>
            <w:r>
              <w:rPr>
                <w:rFonts w:hint="eastAsia" w:ascii="Times New Roman" w:hAnsi="Times New Roman" w:eastAsia="宋体" w:cs="Times New Roman"/>
                <w:sz w:val="24"/>
                <w:lang w:val="en-US" w:eastAsia="zh-CN"/>
              </w:rPr>
              <w:t>0.02</w:t>
            </w:r>
            <w:r>
              <w:rPr>
                <w:rFonts w:hint="eastAsia" w:ascii="Times New Roman" w:hAnsi="Times New Roman" w:eastAsia="宋体" w:cs="Times New Roman"/>
                <w:sz w:val="24"/>
                <w:lang w:eastAsia="zh-CN"/>
              </w:rPr>
              <w:t>t/a；</w:t>
            </w:r>
            <w:r>
              <w:rPr>
                <w:rFonts w:hint="eastAsia" w:ascii="Times New Roman" w:hAnsi="Times New Roman" w:eastAsia="宋体" w:cs="Times New Roman"/>
                <w:sz w:val="24"/>
                <w:lang w:val="en-US" w:eastAsia="zh-CN"/>
              </w:rPr>
              <w:t>无水乙醇</w:t>
            </w:r>
            <w:r>
              <w:rPr>
                <w:rFonts w:hint="eastAsia" w:ascii="Times New Roman" w:hAnsi="Times New Roman" w:eastAsia="宋体" w:cs="Times New Roman"/>
                <w:sz w:val="24"/>
                <w:lang w:eastAsia="zh-CN"/>
              </w:rPr>
              <w:t>用量0.0</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t/a，包装规格为</w:t>
            </w:r>
            <w:r>
              <w:rPr>
                <w:rFonts w:hint="eastAsia" w:ascii="Times New Roman" w:hAnsi="Times New Roman" w:eastAsia="宋体" w:cs="Times New Roman"/>
                <w:sz w:val="24"/>
                <w:lang w:val="en-US" w:eastAsia="zh-CN"/>
              </w:rPr>
              <w:t>500ml</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瓶</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产生</w:t>
            </w:r>
            <w:r>
              <w:rPr>
                <w:rFonts w:hint="eastAsia" w:ascii="Times New Roman" w:hAnsi="Times New Roman" w:eastAsia="宋体" w:cs="Times New Roman"/>
                <w:sz w:val="24"/>
                <w:lang w:eastAsia="zh-CN"/>
              </w:rPr>
              <w:t>废</w:t>
            </w:r>
            <w:r>
              <w:rPr>
                <w:rFonts w:hint="eastAsia" w:ascii="Times New Roman" w:hAnsi="Times New Roman" w:eastAsia="宋体" w:cs="Times New Roman"/>
                <w:sz w:val="24"/>
                <w:lang w:val="en-US" w:eastAsia="zh-CN"/>
              </w:rPr>
              <w:t>无水乙醇瓶2</w:t>
            </w:r>
            <w:r>
              <w:rPr>
                <w:rFonts w:hint="eastAsia" w:ascii="Times New Roman" w:hAnsi="Times New Roman" w:eastAsia="宋体" w:cs="Times New Roman"/>
                <w:sz w:val="24"/>
                <w:lang w:eastAsia="zh-CN"/>
              </w:rPr>
              <w:t>0个/年，按照每个</w:t>
            </w:r>
            <w:r>
              <w:rPr>
                <w:rFonts w:hint="eastAsia" w:ascii="Times New Roman" w:hAnsi="Times New Roman" w:eastAsia="宋体" w:cs="Times New Roman"/>
                <w:sz w:val="24"/>
                <w:lang w:val="en-US" w:eastAsia="zh-CN"/>
              </w:rPr>
              <w:t>无水乙醇瓶</w:t>
            </w:r>
            <w:r>
              <w:rPr>
                <w:rFonts w:hint="eastAsia" w:ascii="Times New Roman" w:hAnsi="Times New Roman" w:eastAsia="宋体" w:cs="Times New Roman"/>
                <w:sz w:val="24"/>
                <w:lang w:eastAsia="zh-CN"/>
              </w:rPr>
              <w:t>重量0.</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kg计，则废</w:t>
            </w:r>
            <w:r>
              <w:rPr>
                <w:rFonts w:hint="eastAsia" w:ascii="Times New Roman" w:hAnsi="Times New Roman" w:eastAsia="宋体" w:cs="Times New Roman"/>
                <w:sz w:val="24"/>
                <w:lang w:val="en-US" w:eastAsia="zh-CN"/>
              </w:rPr>
              <w:t>锡膏瓶</w:t>
            </w:r>
            <w:r>
              <w:rPr>
                <w:rFonts w:hint="eastAsia" w:ascii="Times New Roman" w:hAnsi="Times New Roman" w:eastAsia="宋体" w:cs="Times New Roman"/>
                <w:sz w:val="24"/>
                <w:lang w:eastAsia="zh-CN"/>
              </w:rPr>
              <w:t>产生量约为</w:t>
            </w:r>
            <w:r>
              <w:rPr>
                <w:rFonts w:hint="eastAsia" w:ascii="Times New Roman" w:hAnsi="Times New Roman" w:eastAsia="宋体" w:cs="Times New Roman"/>
                <w:sz w:val="24"/>
                <w:lang w:val="en-US" w:eastAsia="zh-CN"/>
              </w:rPr>
              <w:t>0.002</w:t>
            </w:r>
            <w:r>
              <w:rPr>
                <w:rFonts w:hint="eastAsia" w:ascii="Times New Roman" w:hAnsi="Times New Roman" w:eastAsia="宋体" w:cs="Times New Roman"/>
                <w:sz w:val="24"/>
                <w:lang w:eastAsia="zh-CN"/>
              </w:rPr>
              <w:t>t/a；助焊剂用量0.0</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t/a，包装规格为</w:t>
            </w:r>
            <w:r>
              <w:rPr>
                <w:rFonts w:hint="eastAsia" w:ascii="Times New Roman" w:hAnsi="Times New Roman" w:eastAsia="宋体" w:cs="Times New Roman"/>
                <w:sz w:val="24"/>
                <w:lang w:val="en-US" w:eastAsia="zh-CN"/>
              </w:rPr>
              <w:t>1L</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瓶</w:t>
            </w:r>
            <w:r>
              <w:rPr>
                <w:rFonts w:hint="eastAsia" w:ascii="Times New Roman" w:hAnsi="Times New Roman" w:eastAsia="宋体" w:cs="Times New Roman"/>
                <w:sz w:val="24"/>
                <w:lang w:eastAsia="zh-CN"/>
              </w:rPr>
              <w:t>，产生废</w:t>
            </w:r>
            <w:r>
              <w:rPr>
                <w:rFonts w:hint="eastAsia" w:ascii="Times New Roman" w:hAnsi="Times New Roman" w:eastAsia="宋体" w:cs="Times New Roman"/>
                <w:sz w:val="24"/>
                <w:lang w:val="en-US" w:eastAsia="zh-CN"/>
              </w:rPr>
              <w:t>助焊剂瓶</w:t>
            </w:r>
            <w:r>
              <w:rPr>
                <w:rFonts w:hint="eastAsia" w:ascii="Times New Roman" w:hAnsi="Times New Roman" w:eastAsia="宋体" w:cs="Times New Roman"/>
                <w:sz w:val="24"/>
                <w:lang w:eastAsia="zh-CN"/>
              </w:rPr>
              <w:t>10个/年，按照每个</w:t>
            </w:r>
            <w:r>
              <w:rPr>
                <w:rFonts w:hint="eastAsia" w:ascii="Times New Roman" w:hAnsi="Times New Roman" w:eastAsia="宋体" w:cs="Times New Roman"/>
                <w:sz w:val="24"/>
                <w:lang w:val="en-US" w:eastAsia="zh-CN"/>
              </w:rPr>
              <w:t>助焊剂瓶</w:t>
            </w:r>
            <w:r>
              <w:rPr>
                <w:rFonts w:hint="eastAsia" w:ascii="Times New Roman" w:hAnsi="Times New Roman" w:eastAsia="宋体" w:cs="Times New Roman"/>
                <w:sz w:val="24"/>
                <w:lang w:eastAsia="zh-CN"/>
              </w:rPr>
              <w:t>重量0.</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kg计，则废</w:t>
            </w:r>
            <w:r>
              <w:rPr>
                <w:rFonts w:hint="eastAsia" w:ascii="Times New Roman" w:hAnsi="Times New Roman" w:eastAsia="宋体" w:cs="Times New Roman"/>
                <w:sz w:val="24"/>
                <w:lang w:val="en-US" w:eastAsia="zh-CN"/>
              </w:rPr>
              <w:t>锡膏瓶</w:t>
            </w:r>
            <w:r>
              <w:rPr>
                <w:rFonts w:hint="eastAsia" w:ascii="Times New Roman" w:hAnsi="Times New Roman" w:eastAsia="宋体" w:cs="Times New Roman"/>
                <w:sz w:val="24"/>
                <w:lang w:eastAsia="zh-CN"/>
              </w:rPr>
              <w:t>产生量约为</w:t>
            </w:r>
            <w:r>
              <w:rPr>
                <w:rFonts w:hint="eastAsia" w:ascii="Times New Roman" w:hAnsi="Times New Roman" w:eastAsia="宋体" w:cs="Times New Roman"/>
                <w:sz w:val="24"/>
                <w:lang w:val="en-US" w:eastAsia="zh-CN"/>
              </w:rPr>
              <w:t>0.001</w:t>
            </w:r>
            <w:r>
              <w:rPr>
                <w:rFonts w:hint="eastAsia" w:ascii="Times New Roman" w:hAnsi="Times New Roman" w:eastAsia="宋体" w:cs="Times New Roman"/>
                <w:sz w:val="24"/>
                <w:lang w:eastAsia="zh-CN"/>
              </w:rPr>
              <w:t>t/a。则废辅料包装材料</w:t>
            </w:r>
            <w:r>
              <w:rPr>
                <w:rFonts w:hint="eastAsia" w:ascii="Times New Roman" w:hAnsi="Times New Roman" w:eastAsia="宋体" w:cs="Times New Roman"/>
                <w:sz w:val="24"/>
                <w:lang w:val="en-US" w:eastAsia="zh-CN"/>
              </w:rPr>
              <w:t>总</w:t>
            </w:r>
            <w:r>
              <w:rPr>
                <w:rFonts w:hint="eastAsia" w:ascii="Times New Roman" w:hAnsi="Times New Roman" w:eastAsia="宋体" w:cs="Times New Roman"/>
                <w:sz w:val="24"/>
                <w:lang w:eastAsia="zh-CN"/>
              </w:rPr>
              <w:t>产生量约0.0</w:t>
            </w:r>
            <w:r>
              <w:rPr>
                <w:rFonts w:hint="eastAsia" w:ascii="Times New Roman" w:hAnsi="Times New Roman" w:eastAsia="宋体" w:cs="Times New Roman"/>
                <w:sz w:val="24"/>
                <w:lang w:val="en-US" w:eastAsia="zh-CN"/>
              </w:rPr>
              <w:t>23</w:t>
            </w:r>
            <w:r>
              <w:rPr>
                <w:rFonts w:hint="eastAsia" w:ascii="Times New Roman" w:hAnsi="Times New Roman" w:eastAsia="宋体" w:cs="Times New Roman"/>
                <w:sz w:val="24"/>
                <w:lang w:eastAsia="zh-CN"/>
              </w:rPr>
              <w:t>t</w:t>
            </w:r>
            <w:r>
              <w:rPr>
                <w:rFonts w:hint="eastAsia" w:ascii="Times New Roman" w:hAnsi="Times New Roman" w:eastAsia="宋体" w:cs="Times New Roman"/>
                <w:sz w:val="24"/>
                <w:lang w:val="en-US" w:eastAsia="zh-CN"/>
              </w:rPr>
              <w:t>/</w:t>
            </w:r>
            <w:r>
              <w:rPr>
                <w:rFonts w:hint="eastAsia" w:ascii="Times New Roman" w:hAnsi="Times New Roman" w:eastAsia="宋体" w:cs="Times New Roman"/>
                <w:sz w:val="24"/>
                <w:lang w:eastAsia="zh-CN"/>
              </w:rPr>
              <w:t>a。</w:t>
            </w:r>
            <w:r>
              <w:rPr>
                <w:rFonts w:hint="eastAsia" w:ascii="Times New Roman" w:hAnsi="Times New Roman" w:eastAsia="宋体" w:cs="Times New Roman"/>
                <w:sz w:val="24"/>
                <w:lang w:val="en-US" w:eastAsia="zh-CN"/>
              </w:rPr>
              <w:t>对照</w:t>
            </w:r>
            <w:r>
              <w:rPr>
                <w:rFonts w:hint="eastAsia" w:ascii="Times New Roman" w:hAnsi="Times New Roman" w:eastAsia="宋体" w:cs="Times New Roman"/>
                <w:sz w:val="24"/>
                <w:lang w:eastAsia="zh-CN"/>
              </w:rPr>
              <w:t>《国家危险废物名录（2025年版）》，废</w:t>
            </w:r>
            <w:r>
              <w:rPr>
                <w:rFonts w:hint="eastAsia" w:ascii="Times New Roman" w:hAnsi="Times New Roman" w:eastAsia="宋体" w:cs="Times New Roman"/>
                <w:sz w:val="24"/>
                <w:lang w:val="en-US" w:eastAsia="zh-CN"/>
              </w:rPr>
              <w:t>辅料包装材料属于</w:t>
            </w:r>
            <w:r>
              <w:rPr>
                <w:rFonts w:hint="eastAsia" w:ascii="Times New Roman" w:hAnsi="Times New Roman" w:eastAsia="宋体" w:cs="Times New Roman"/>
                <w:sz w:val="24"/>
                <w:lang w:eastAsia="zh-CN"/>
              </w:rPr>
              <w:t>HW49，900-041-49。废</w:t>
            </w:r>
            <w:r>
              <w:rPr>
                <w:rFonts w:hint="eastAsia" w:ascii="Times New Roman" w:hAnsi="Times New Roman" w:eastAsia="宋体" w:cs="Times New Roman"/>
                <w:sz w:val="24"/>
                <w:lang w:val="en-US" w:eastAsia="zh-CN"/>
              </w:rPr>
              <w:t>辅料包装材料</w:t>
            </w:r>
            <w:r>
              <w:rPr>
                <w:rFonts w:hint="eastAsia" w:ascii="Times New Roman" w:hAnsi="Times New Roman" w:eastAsia="宋体" w:cs="Times New Roman"/>
                <w:sz w:val="24"/>
                <w:lang w:eastAsia="zh-CN"/>
              </w:rPr>
              <w:t>集中收集后置于</w:t>
            </w:r>
            <w:r>
              <w:rPr>
                <w:rFonts w:hint="eastAsia" w:ascii="Times New Roman" w:hAnsi="Times New Roman" w:cs="Times New Roman"/>
                <w:color w:val="000000"/>
                <w:spacing w:val="-1"/>
                <w:sz w:val="24"/>
              </w:rPr>
              <w:t>危废贮存点</w:t>
            </w:r>
            <w:r>
              <w:rPr>
                <w:rFonts w:hint="eastAsia" w:ascii="Times New Roman" w:hAnsi="Times New Roman" w:eastAsia="宋体" w:cs="Times New Roman"/>
                <w:sz w:val="24"/>
                <w:lang w:eastAsia="zh-CN"/>
              </w:rPr>
              <w:t>，定期委托有资质的单位进行处置。</w:t>
            </w:r>
          </w:p>
          <w:p w14:paraId="771615F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7</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废擦拭布</w:t>
            </w:r>
          </w:p>
          <w:p w14:paraId="4B236FB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焊接后的电路板上有残留助焊剂和污物，需要用用无水乙醇来进行人工擦拭，此过程会产生废擦拭布，</w:t>
            </w:r>
            <w:r>
              <w:rPr>
                <w:rFonts w:hint="default" w:ascii="Times New Roman" w:hAnsi="Times New Roman" w:eastAsia="宋体" w:cs="Times New Roman"/>
                <w:sz w:val="24"/>
                <w:lang w:eastAsia="zh-CN"/>
              </w:rPr>
              <w:t>根据建设单位提供的资料，</w:t>
            </w:r>
            <w:r>
              <w:rPr>
                <w:rFonts w:hint="default" w:ascii="Times New Roman" w:hAnsi="Times New Roman" w:eastAsia="宋体" w:cs="Times New Roman"/>
                <w:sz w:val="24"/>
                <w:lang w:val="en-US" w:eastAsia="zh-CN"/>
              </w:rPr>
              <w:t>废擦拭布产生量约为0.1t/a。对照</w:t>
            </w:r>
            <w:r>
              <w:rPr>
                <w:rFonts w:hint="default" w:ascii="Times New Roman" w:hAnsi="Times New Roman" w:eastAsia="宋体" w:cs="Times New Roman"/>
                <w:sz w:val="24"/>
                <w:lang w:eastAsia="zh-CN"/>
              </w:rPr>
              <w:t>《国家危险废物名录（2025年版）》，</w:t>
            </w:r>
            <w:r>
              <w:rPr>
                <w:rFonts w:hint="default" w:ascii="Times New Roman" w:hAnsi="Times New Roman" w:eastAsia="宋体" w:cs="Times New Roman"/>
                <w:sz w:val="24"/>
                <w:lang w:val="en-US" w:eastAsia="zh-CN"/>
              </w:rPr>
              <w:t>废擦拭布属于</w:t>
            </w:r>
            <w:r>
              <w:rPr>
                <w:rFonts w:hint="default" w:ascii="Times New Roman" w:hAnsi="Times New Roman" w:eastAsia="宋体" w:cs="Times New Roman"/>
                <w:sz w:val="24"/>
                <w:lang w:eastAsia="zh-CN"/>
              </w:rPr>
              <w:t>HW49，900-041-49。</w:t>
            </w:r>
            <w:r>
              <w:rPr>
                <w:rFonts w:hint="default" w:ascii="Times New Roman" w:hAnsi="Times New Roman" w:eastAsia="宋体" w:cs="Times New Roman"/>
                <w:sz w:val="24"/>
                <w:lang w:val="en-US" w:eastAsia="zh-CN"/>
              </w:rPr>
              <w:t>废擦拭布</w:t>
            </w:r>
            <w:r>
              <w:rPr>
                <w:rFonts w:hint="default" w:ascii="Times New Roman" w:hAnsi="Times New Roman" w:eastAsia="宋体" w:cs="Times New Roman"/>
                <w:sz w:val="24"/>
                <w:lang w:eastAsia="zh-CN"/>
              </w:rPr>
              <w:t>集中收集后置于</w:t>
            </w:r>
            <w:r>
              <w:rPr>
                <w:rFonts w:hint="default" w:ascii="Times New Roman" w:hAnsi="Times New Roman" w:cs="Times New Roman"/>
                <w:color w:val="000000"/>
                <w:spacing w:val="-1"/>
                <w:sz w:val="24"/>
              </w:rPr>
              <w:t>危废贮存点</w:t>
            </w:r>
            <w:r>
              <w:rPr>
                <w:rFonts w:hint="default" w:ascii="Times New Roman" w:hAnsi="Times New Roman" w:eastAsia="宋体" w:cs="Times New Roman"/>
                <w:sz w:val="24"/>
                <w:lang w:eastAsia="zh-CN"/>
              </w:rPr>
              <w:t>，定期委托有资质的单位进行处置。</w:t>
            </w:r>
          </w:p>
          <w:p w14:paraId="66321A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（8）废活性炭</w:t>
            </w:r>
          </w:p>
          <w:p w14:paraId="277D39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eastAsia="zh-CN"/>
              </w:rPr>
            </w:pPr>
            <w:r>
              <w:rPr>
                <w:rFonts w:hint="default" w:ascii="Times New Roman" w:hAnsi="Times New Roman" w:eastAsia="宋体" w:cs="Times New Roman"/>
                <w:sz w:val="24"/>
                <w:lang w:val="en-US" w:eastAsia="zh-CN"/>
              </w:rPr>
              <w:t>项目有机废气处理需使用活性炭，因此会有废活性炭产生。根据废气污染源源强核算结果可知，活性炭吸附装置吸附有机废气量</w:t>
            </w:r>
            <w:r>
              <w:rPr>
                <w:rFonts w:hint="eastAsia" w:ascii="Times New Roman" w:hAnsi="Times New Roman" w:eastAsia="宋体" w:cs="Times New Roman"/>
                <w:sz w:val="24"/>
                <w:lang w:val="en-US" w:eastAsia="zh-CN"/>
              </w:rPr>
              <w:t>约</w:t>
            </w:r>
            <w:r>
              <w:rPr>
                <w:rFonts w:hint="default" w:ascii="Times New Roman" w:hAnsi="Times New Roman" w:eastAsia="宋体" w:cs="Times New Roman"/>
                <w:sz w:val="24"/>
                <w:lang w:val="en-US" w:eastAsia="zh-CN"/>
              </w:rPr>
              <w:t>为0.058t/a。根据“《简明通风设计手册》活性炭的有效吸附量：qe=0.24kg/kg活性炭”，则废活性炭产生量约为0.3t/a（含吸附的有机废气量）。对照《国家危险废物名录</w:t>
            </w:r>
            <w:r>
              <w:rPr>
                <w:rFonts w:hint="default" w:ascii="Times New Roman" w:hAnsi="Times New Roman" w:eastAsia="宋体" w:cs="Times New Roman"/>
                <w:sz w:val="24"/>
                <w:lang w:eastAsia="zh-CN"/>
              </w:rPr>
              <w:t>（2025年版）</w:t>
            </w:r>
            <w:r>
              <w:rPr>
                <w:rFonts w:hint="default" w:ascii="Times New Roman" w:hAnsi="Times New Roman" w:eastAsia="宋体" w:cs="Times New Roman"/>
                <w:sz w:val="24"/>
                <w:lang w:val="en-US" w:eastAsia="zh-CN"/>
              </w:rPr>
              <w:t>》可知，废活性炭属于HW49，900-039-49。废活性炭</w:t>
            </w:r>
            <w:r>
              <w:rPr>
                <w:rFonts w:hint="default" w:ascii="Times New Roman" w:hAnsi="Times New Roman" w:eastAsia="宋体" w:cs="Times New Roman"/>
                <w:sz w:val="24"/>
                <w:lang w:eastAsia="zh-CN"/>
              </w:rPr>
              <w:t>集中收集后置于</w:t>
            </w:r>
            <w:r>
              <w:rPr>
                <w:rFonts w:hint="default" w:ascii="Times New Roman" w:hAnsi="Times New Roman" w:cs="Times New Roman"/>
                <w:color w:val="000000"/>
                <w:spacing w:val="-1"/>
                <w:sz w:val="24"/>
              </w:rPr>
              <w:t>危废贮存点</w:t>
            </w:r>
            <w:r>
              <w:rPr>
                <w:rFonts w:hint="default" w:ascii="Times New Roman" w:hAnsi="Times New Roman" w:eastAsia="宋体" w:cs="Times New Roman"/>
                <w:sz w:val="24"/>
                <w:lang w:eastAsia="zh-CN"/>
              </w:rPr>
              <w:t>，定期委托有资质的单位进行处置。</w:t>
            </w:r>
          </w:p>
          <w:p w14:paraId="202F53BC">
            <w:pPr>
              <w:keepNext w:val="0"/>
              <w:keepLines w:val="0"/>
              <w:pageBreakBefore w:val="0"/>
              <w:widowControl w:val="0"/>
              <w:numPr>
                <w:ilvl w:val="0"/>
                <w:numId w:val="7"/>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废滤芯</w:t>
            </w:r>
          </w:p>
          <w:p w14:paraId="5A64B4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本项目滤筒除尘器和风淋室会有废滤芯产生，</w:t>
            </w:r>
            <w:r>
              <w:rPr>
                <w:rFonts w:hint="eastAsia" w:ascii="Times New Roman" w:hAnsi="Times New Roman" w:eastAsia="宋体" w:cs="Times New Roman"/>
                <w:sz w:val="24"/>
                <w:lang w:val="en-US" w:eastAsia="zh-CN"/>
              </w:rPr>
              <w:t>根据建设单位提供资料，项目滤筒除尘器、风淋室滤芯1年更换1次，废滤芯产生量约为0.03t/a。对照《国家危险废物名录</w:t>
            </w:r>
            <w:r>
              <w:rPr>
                <w:rFonts w:hint="eastAsia" w:ascii="Times New Roman" w:hAnsi="Times New Roman" w:eastAsia="宋体" w:cs="Times New Roman"/>
                <w:sz w:val="24"/>
                <w:lang w:eastAsia="zh-CN"/>
              </w:rPr>
              <w:t>（2025年版）</w:t>
            </w:r>
            <w:r>
              <w:rPr>
                <w:rFonts w:hint="eastAsia" w:ascii="Times New Roman" w:hAnsi="Times New Roman" w:eastAsia="宋体" w:cs="Times New Roman"/>
                <w:sz w:val="24"/>
                <w:lang w:val="en-US" w:eastAsia="zh-CN"/>
              </w:rPr>
              <w:t>》可知，废活性炭属于HW49，900-041-49。废滤芯由厂家更换并带走，不在厂区内贮存。</w:t>
            </w:r>
          </w:p>
          <w:p w14:paraId="601E90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10</w:t>
            </w:r>
            <w:r>
              <w:rPr>
                <w:rFonts w:hint="eastAsia" w:ascii="Times New Roman" w:hAnsi="Times New Roman" w:eastAsia="宋体" w:cs="Times New Roman"/>
                <w:sz w:val="24"/>
                <w:lang w:eastAsia="zh-CN"/>
              </w:rPr>
              <w:t>）废机油</w:t>
            </w:r>
          </w:p>
          <w:p w14:paraId="3B3241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本项目设备维护过程中会有废机油产生，产生量约为0.</w:t>
            </w:r>
            <w:r>
              <w:rPr>
                <w:rFonts w:hint="eastAsia" w:ascii="Times New Roman" w:hAnsi="Times New Roman" w:eastAsia="宋体" w:cs="Times New Roman"/>
                <w:sz w:val="24"/>
                <w:lang w:val="en-US" w:eastAsia="zh-CN"/>
              </w:rPr>
              <w:t>0</w:t>
            </w:r>
            <w:r>
              <w:rPr>
                <w:rFonts w:hint="eastAsia" w:ascii="Times New Roman" w:hAnsi="Times New Roman" w:eastAsia="宋体" w:cs="Times New Roman"/>
                <w:sz w:val="24"/>
                <w:lang w:eastAsia="zh-CN"/>
              </w:rPr>
              <w:t>5t/a。</w:t>
            </w:r>
            <w:r>
              <w:rPr>
                <w:rFonts w:hint="eastAsia" w:ascii="Times New Roman" w:hAnsi="Times New Roman" w:eastAsia="宋体" w:cs="Times New Roman"/>
                <w:sz w:val="24"/>
                <w:lang w:val="en-US" w:eastAsia="zh-CN"/>
              </w:rPr>
              <w:t>对照《国家危险废物名录</w:t>
            </w:r>
            <w:r>
              <w:rPr>
                <w:rFonts w:hint="eastAsia" w:ascii="Times New Roman" w:hAnsi="Times New Roman" w:eastAsia="宋体" w:cs="Times New Roman"/>
                <w:sz w:val="24"/>
                <w:lang w:eastAsia="zh-CN"/>
              </w:rPr>
              <w:t>（2025年版）</w:t>
            </w:r>
            <w:r>
              <w:rPr>
                <w:rFonts w:hint="eastAsia" w:ascii="Times New Roman" w:hAnsi="Times New Roman" w:eastAsia="宋体" w:cs="Times New Roman"/>
                <w:sz w:val="24"/>
                <w:lang w:val="en-US" w:eastAsia="zh-CN"/>
              </w:rPr>
              <w:t>》可知，废机油属于HW08，</w:t>
            </w:r>
            <w:r>
              <w:rPr>
                <w:rFonts w:hint="eastAsia" w:ascii="Times New Roman" w:hAnsi="Times New Roman" w:eastAsia="宋体" w:cs="Times New Roman"/>
                <w:sz w:val="24"/>
                <w:lang w:eastAsia="zh-CN"/>
              </w:rPr>
              <w:t>900-214-08</w:t>
            </w:r>
            <w:r>
              <w:rPr>
                <w:rFonts w:hint="eastAsia" w:ascii="Times New Roman" w:hAnsi="Times New Roman" w:eastAsia="宋体" w:cs="Times New Roman"/>
                <w:sz w:val="24"/>
                <w:lang w:val="en-US" w:eastAsia="zh-CN"/>
              </w:rPr>
              <w:t>。废机油</w:t>
            </w:r>
            <w:r>
              <w:rPr>
                <w:rFonts w:hint="eastAsia" w:ascii="Times New Roman" w:hAnsi="Times New Roman" w:eastAsia="宋体" w:cs="Times New Roman"/>
                <w:sz w:val="24"/>
                <w:lang w:eastAsia="zh-CN"/>
              </w:rPr>
              <w:t>集中收集后置于</w:t>
            </w:r>
            <w:r>
              <w:rPr>
                <w:rFonts w:hint="eastAsia" w:ascii="Times New Roman" w:hAnsi="Times New Roman" w:cs="Times New Roman"/>
                <w:color w:val="000000"/>
                <w:spacing w:val="-1"/>
                <w:sz w:val="24"/>
              </w:rPr>
              <w:t>危废贮存点</w:t>
            </w:r>
            <w:r>
              <w:rPr>
                <w:rFonts w:hint="eastAsia" w:ascii="Times New Roman" w:hAnsi="Times New Roman" w:eastAsia="宋体" w:cs="Times New Roman"/>
                <w:sz w:val="24"/>
                <w:lang w:eastAsia="zh-CN"/>
              </w:rPr>
              <w:t>，定期委托有资质的单位进行处置。</w:t>
            </w:r>
          </w:p>
          <w:p w14:paraId="16D7E8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11</w:t>
            </w:r>
            <w:r>
              <w:rPr>
                <w:rFonts w:hint="eastAsia" w:ascii="Times New Roman" w:hAnsi="Times New Roman" w:eastAsia="宋体" w:cs="Times New Roman"/>
                <w:sz w:val="24"/>
                <w:lang w:eastAsia="zh-CN"/>
              </w:rPr>
              <w:t>）废机油桶</w:t>
            </w:r>
          </w:p>
          <w:p w14:paraId="4C8207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本项目设备维护过程中会有废机油产生，产生量约为0.</w:t>
            </w:r>
            <w:r>
              <w:rPr>
                <w:rFonts w:hint="eastAsia" w:ascii="Times New Roman" w:hAnsi="Times New Roman" w:eastAsia="宋体" w:cs="Times New Roman"/>
                <w:sz w:val="24"/>
                <w:lang w:val="en-US" w:eastAsia="zh-CN"/>
              </w:rPr>
              <w:t>01</w:t>
            </w:r>
            <w:r>
              <w:rPr>
                <w:rFonts w:hint="eastAsia" w:ascii="Times New Roman" w:hAnsi="Times New Roman" w:eastAsia="宋体" w:cs="Times New Roman"/>
                <w:sz w:val="24"/>
                <w:lang w:eastAsia="zh-CN"/>
              </w:rPr>
              <w:t>t/a。</w:t>
            </w:r>
            <w:r>
              <w:rPr>
                <w:rFonts w:hint="eastAsia" w:ascii="Times New Roman" w:hAnsi="Times New Roman" w:eastAsia="宋体" w:cs="Times New Roman"/>
                <w:sz w:val="24"/>
                <w:lang w:val="en-US" w:eastAsia="zh-CN"/>
              </w:rPr>
              <w:t>对照《国家危险废物名录</w:t>
            </w:r>
            <w:r>
              <w:rPr>
                <w:rFonts w:hint="eastAsia" w:ascii="Times New Roman" w:hAnsi="Times New Roman" w:eastAsia="宋体" w:cs="Times New Roman"/>
                <w:sz w:val="24"/>
                <w:lang w:eastAsia="zh-CN"/>
              </w:rPr>
              <w:t>（2025年版）</w:t>
            </w:r>
            <w:r>
              <w:rPr>
                <w:rFonts w:hint="eastAsia" w:ascii="Times New Roman" w:hAnsi="Times New Roman" w:eastAsia="宋体" w:cs="Times New Roman"/>
                <w:sz w:val="24"/>
                <w:lang w:val="en-US" w:eastAsia="zh-CN"/>
              </w:rPr>
              <w:t>》可知，废机油桶属于HW08，</w:t>
            </w:r>
            <w:r>
              <w:rPr>
                <w:rFonts w:hint="eastAsia" w:ascii="Times New Roman" w:hAnsi="Times New Roman" w:eastAsia="宋体" w:cs="Times New Roman"/>
                <w:sz w:val="24"/>
                <w:lang w:eastAsia="zh-CN"/>
              </w:rPr>
              <w:t>900-249-08</w:t>
            </w:r>
            <w:r>
              <w:rPr>
                <w:rFonts w:hint="eastAsia" w:ascii="Times New Roman" w:hAnsi="Times New Roman" w:eastAsia="宋体" w:cs="Times New Roman"/>
                <w:sz w:val="24"/>
                <w:lang w:val="en-US" w:eastAsia="zh-CN"/>
              </w:rPr>
              <w:t>。</w:t>
            </w:r>
            <w:r>
              <w:rPr>
                <w:rFonts w:hint="eastAsia" w:ascii="Times New Roman" w:hAnsi="Times New Roman" w:eastAsia="宋体" w:cs="Times New Roman"/>
                <w:sz w:val="24"/>
                <w:lang w:eastAsia="zh-CN"/>
              </w:rPr>
              <w:t>废机油桶集中收集后置于</w:t>
            </w:r>
            <w:r>
              <w:rPr>
                <w:rFonts w:hint="eastAsia" w:ascii="Times New Roman" w:hAnsi="Times New Roman" w:cs="Times New Roman"/>
                <w:color w:val="000000"/>
                <w:spacing w:val="-1"/>
                <w:sz w:val="24"/>
              </w:rPr>
              <w:t>危废贮存点</w:t>
            </w:r>
            <w:r>
              <w:rPr>
                <w:rFonts w:hint="eastAsia" w:ascii="Times New Roman" w:hAnsi="Times New Roman" w:eastAsia="宋体" w:cs="Times New Roman"/>
                <w:sz w:val="24"/>
                <w:lang w:eastAsia="zh-CN"/>
              </w:rPr>
              <w:t>，定期委托有资质的单位进行处置。</w:t>
            </w:r>
          </w:p>
          <w:p w14:paraId="3AAE0D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12</w:t>
            </w:r>
            <w:r>
              <w:rPr>
                <w:rFonts w:hint="eastAsia" w:ascii="Times New Roman" w:hAnsi="Times New Roman" w:eastAsia="宋体" w:cs="Times New Roman"/>
                <w:sz w:val="24"/>
                <w:lang w:eastAsia="zh-CN"/>
              </w:rPr>
              <w:t>）废含油抹布手套</w:t>
            </w:r>
          </w:p>
          <w:p w14:paraId="565F54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本项目设备维护过程中会产生废含油抹布手套，产生量约为0.0</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t/a。</w:t>
            </w:r>
            <w:r>
              <w:rPr>
                <w:rFonts w:hint="eastAsia" w:ascii="Times New Roman" w:hAnsi="Times New Roman" w:eastAsia="宋体" w:cs="Times New Roman"/>
                <w:sz w:val="24"/>
                <w:lang w:val="en-US" w:eastAsia="zh-CN"/>
              </w:rPr>
              <w:t>对照《国家危险废物名录</w:t>
            </w:r>
            <w:r>
              <w:rPr>
                <w:rFonts w:hint="eastAsia" w:ascii="Times New Roman" w:hAnsi="Times New Roman" w:eastAsia="宋体" w:cs="Times New Roman"/>
                <w:sz w:val="24"/>
                <w:lang w:eastAsia="zh-CN"/>
              </w:rPr>
              <w:t>（2025年版）</w:t>
            </w:r>
            <w:r>
              <w:rPr>
                <w:rFonts w:hint="eastAsia" w:ascii="Times New Roman" w:hAnsi="Times New Roman" w:eastAsia="宋体" w:cs="Times New Roman"/>
                <w:sz w:val="24"/>
                <w:lang w:val="en-US" w:eastAsia="zh-CN"/>
              </w:rPr>
              <w:t>》可知，废含油抹布手套属于HW49，900-041-49。废含油抹布手套</w:t>
            </w:r>
            <w:r>
              <w:rPr>
                <w:rFonts w:hint="eastAsia" w:ascii="Times New Roman" w:hAnsi="Times New Roman" w:eastAsia="宋体" w:cs="Times New Roman"/>
                <w:sz w:val="24"/>
                <w:lang w:eastAsia="zh-CN"/>
              </w:rPr>
              <w:t>集中收集后置于</w:t>
            </w:r>
            <w:r>
              <w:rPr>
                <w:rFonts w:hint="eastAsia" w:ascii="Times New Roman" w:hAnsi="Times New Roman" w:cs="Times New Roman"/>
                <w:color w:val="000000"/>
                <w:spacing w:val="-1"/>
                <w:sz w:val="24"/>
              </w:rPr>
              <w:t>危废贮存点</w:t>
            </w:r>
            <w:r>
              <w:rPr>
                <w:rFonts w:hint="eastAsia" w:ascii="Times New Roman" w:hAnsi="Times New Roman" w:eastAsia="宋体" w:cs="Times New Roman"/>
                <w:sz w:val="24"/>
                <w:lang w:eastAsia="zh-CN"/>
              </w:rPr>
              <w:t>，定期委托有资质的</w:t>
            </w:r>
          </w:p>
          <w:p w14:paraId="4CF7827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eastAsia="zh-CN"/>
              </w:rPr>
            </w:pPr>
          </w:p>
          <w:p w14:paraId="66989EC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eastAsia="zh-CN"/>
              </w:rPr>
              <w:t>单位进行处置。</w:t>
            </w:r>
          </w:p>
          <w:p w14:paraId="733523A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黑体" w:cs="Times New Roman"/>
                <w:sz w:val="21"/>
                <w:szCs w:val="21"/>
                <w:lang w:val="en-US" w:eastAsia="zh-CN"/>
              </w:rPr>
            </w:pPr>
            <w:r>
              <w:rPr>
                <w:rFonts w:hint="default" w:ascii="Times New Roman" w:hAnsi="Times New Roman" w:eastAsia="宋体" w:cs="Times New Roman"/>
                <w:sz w:val="24"/>
              </w:rPr>
              <w:t>根据工程分析可知，本项目的固体废物产生与处置情况详见表</w:t>
            </w:r>
            <w:r>
              <w:rPr>
                <w:rFonts w:hint="eastAsia" w:ascii="Times New Roman" w:hAnsi="Times New Roman" w:eastAsia="宋体" w:cs="Times New Roman"/>
                <w:sz w:val="24"/>
                <w:lang w:val="en-US" w:eastAsia="zh-CN"/>
              </w:rPr>
              <w:t>4-14</w:t>
            </w:r>
            <w:r>
              <w:rPr>
                <w:rFonts w:hint="default" w:ascii="Times New Roman" w:hAnsi="Times New Roman" w:eastAsia="宋体" w:cs="Times New Roman"/>
                <w:sz w:val="24"/>
              </w:rPr>
              <w:t>。</w:t>
            </w:r>
          </w:p>
          <w:p w14:paraId="65739F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黑体" w:cs="Times New Roman"/>
                <w:sz w:val="21"/>
                <w:szCs w:val="21"/>
                <w:lang w:val="en-US" w:eastAsia="zh-CN"/>
              </w:rPr>
            </w:pPr>
            <w:r>
              <w:rPr>
                <w:rFonts w:hint="default" w:ascii="Times New Roman" w:hAnsi="Times New Roman" w:eastAsia="黑体" w:cs="Times New Roman"/>
                <w:sz w:val="21"/>
                <w:szCs w:val="21"/>
                <w:lang w:val="en-US" w:eastAsia="zh-CN"/>
              </w:rPr>
              <w:t>表</w:t>
            </w:r>
            <w:r>
              <w:rPr>
                <w:rFonts w:hint="eastAsia" w:ascii="Times New Roman" w:hAnsi="Times New Roman" w:eastAsia="黑体" w:cs="Times New Roman"/>
                <w:sz w:val="21"/>
                <w:szCs w:val="21"/>
                <w:lang w:val="en-US" w:eastAsia="zh-CN"/>
              </w:rPr>
              <w:t>4-14</w:t>
            </w:r>
            <w:r>
              <w:rPr>
                <w:rFonts w:hint="default" w:ascii="Times New Roman" w:hAnsi="Times New Roman" w:eastAsia="黑体" w:cs="Times New Roman"/>
                <w:sz w:val="21"/>
                <w:szCs w:val="21"/>
                <w:lang w:val="en-US" w:eastAsia="zh-CN"/>
              </w:rPr>
              <w:t xml:space="preserve"> 本项目</w:t>
            </w:r>
            <w:r>
              <w:rPr>
                <w:rFonts w:hint="eastAsia" w:ascii="Times New Roman" w:hAnsi="Times New Roman" w:eastAsia="黑体" w:cs="Times New Roman"/>
                <w:sz w:val="21"/>
                <w:szCs w:val="21"/>
                <w:lang w:val="en-US" w:eastAsia="zh-CN"/>
              </w:rPr>
              <w:t>固体废物汇总</w:t>
            </w:r>
            <w:r>
              <w:rPr>
                <w:rFonts w:hint="default" w:ascii="Times New Roman" w:hAnsi="Times New Roman" w:eastAsia="黑体" w:cs="Times New Roman"/>
                <w:sz w:val="21"/>
                <w:szCs w:val="21"/>
                <w:lang w:val="en-US" w:eastAsia="zh-CN"/>
              </w:rPr>
              <w:t>一览表</w:t>
            </w:r>
          </w:p>
          <w:tbl>
            <w:tblPr>
              <w:tblStyle w:val="24"/>
              <w:tblW w:w="4995"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28"/>
              <w:gridCol w:w="1711"/>
              <w:gridCol w:w="1268"/>
              <w:gridCol w:w="1231"/>
              <w:gridCol w:w="1461"/>
              <w:gridCol w:w="1758"/>
            </w:tblGrid>
            <w:tr w14:paraId="3A72D41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446" w:type="pct"/>
                  <w:vAlign w:val="center"/>
                </w:tcPr>
                <w:p w14:paraId="014F0D4A">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eastAsia="zh-CN"/>
                    </w:rPr>
                  </w:pPr>
                  <w:r>
                    <w:rPr>
                      <w:rFonts w:hint="default" w:ascii="Times New Roman" w:hAnsi="Times New Roman" w:eastAsia="宋体" w:cs="Times New Roman"/>
                      <w:b w:val="0"/>
                      <w:bCs/>
                      <w:sz w:val="21"/>
                      <w:szCs w:val="21"/>
                      <w:lang w:eastAsia="zh-CN"/>
                    </w:rPr>
                    <w:t>序号</w:t>
                  </w:r>
                </w:p>
              </w:tc>
              <w:tc>
                <w:tcPr>
                  <w:tcW w:w="1048" w:type="pct"/>
                  <w:vAlign w:val="center"/>
                </w:tcPr>
                <w:p w14:paraId="69EF5CEF">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名称</w:t>
                  </w:r>
                </w:p>
              </w:tc>
              <w:tc>
                <w:tcPr>
                  <w:tcW w:w="777" w:type="pct"/>
                  <w:shd w:val="clear" w:color="auto" w:fill="auto"/>
                  <w:vAlign w:val="center"/>
                </w:tcPr>
                <w:p w14:paraId="2365C720">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类别</w:t>
                  </w:r>
                </w:p>
              </w:tc>
              <w:tc>
                <w:tcPr>
                  <w:tcW w:w="754" w:type="pct"/>
                  <w:vAlign w:val="center"/>
                </w:tcPr>
                <w:p w14:paraId="59711F84">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产生量t/a</w:t>
                  </w:r>
                </w:p>
              </w:tc>
              <w:tc>
                <w:tcPr>
                  <w:tcW w:w="895" w:type="pct"/>
                  <w:vAlign w:val="center"/>
                </w:tcPr>
                <w:p w14:paraId="2A9AF23C">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产污节点</w:t>
                  </w:r>
                </w:p>
              </w:tc>
              <w:tc>
                <w:tcPr>
                  <w:tcW w:w="1077" w:type="pct"/>
                  <w:vAlign w:val="center"/>
                </w:tcPr>
                <w:p w14:paraId="2AD42728">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处置方式</w:t>
                  </w:r>
                </w:p>
              </w:tc>
            </w:tr>
            <w:tr w14:paraId="3C36B03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446" w:type="pct"/>
                  <w:vAlign w:val="center"/>
                </w:tcPr>
                <w:p w14:paraId="0E76677D">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1</w:t>
                  </w:r>
                </w:p>
              </w:tc>
              <w:tc>
                <w:tcPr>
                  <w:tcW w:w="1048" w:type="pct"/>
                  <w:vAlign w:val="center"/>
                </w:tcPr>
                <w:p w14:paraId="05A34F23">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生活垃圾</w:t>
                  </w:r>
                </w:p>
              </w:tc>
              <w:tc>
                <w:tcPr>
                  <w:tcW w:w="777" w:type="pct"/>
                  <w:shd w:val="clear" w:color="auto" w:fill="auto"/>
                  <w:vAlign w:val="center"/>
                </w:tcPr>
                <w:p w14:paraId="242B7722">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生活垃圾</w:t>
                  </w:r>
                </w:p>
              </w:tc>
              <w:tc>
                <w:tcPr>
                  <w:tcW w:w="754" w:type="pct"/>
                  <w:vAlign w:val="center"/>
                </w:tcPr>
                <w:p w14:paraId="36DADEA7">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4.5</w:t>
                  </w:r>
                </w:p>
              </w:tc>
              <w:tc>
                <w:tcPr>
                  <w:tcW w:w="895" w:type="pct"/>
                  <w:vAlign w:val="center"/>
                </w:tcPr>
                <w:p w14:paraId="1D078187">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生活</w:t>
                  </w:r>
                </w:p>
              </w:tc>
              <w:tc>
                <w:tcPr>
                  <w:tcW w:w="1077" w:type="pct"/>
                  <w:vAlign w:val="center"/>
                </w:tcPr>
                <w:p w14:paraId="22586992">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eastAsia="zh-CN"/>
                    </w:rPr>
                    <w:t>交由环卫部门</w:t>
                  </w:r>
                  <w:r>
                    <w:rPr>
                      <w:rFonts w:hint="eastAsia" w:ascii="Times New Roman" w:hAnsi="Times New Roman" w:eastAsia="宋体" w:cs="Times New Roman"/>
                      <w:b w:val="0"/>
                      <w:bCs/>
                      <w:sz w:val="21"/>
                      <w:szCs w:val="21"/>
                      <w:lang w:val="en-US" w:eastAsia="zh-CN"/>
                    </w:rPr>
                    <w:t>清运</w:t>
                  </w:r>
                </w:p>
              </w:tc>
            </w:tr>
            <w:tr w14:paraId="0491851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446" w:type="pct"/>
                  <w:vAlign w:val="center"/>
                </w:tcPr>
                <w:p w14:paraId="5001E2B9">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2</w:t>
                  </w:r>
                </w:p>
              </w:tc>
              <w:tc>
                <w:tcPr>
                  <w:tcW w:w="1048" w:type="pct"/>
                  <w:vAlign w:val="center"/>
                </w:tcPr>
                <w:p w14:paraId="7EEDA46E">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废外包装材料</w:t>
                  </w:r>
                </w:p>
              </w:tc>
              <w:tc>
                <w:tcPr>
                  <w:tcW w:w="777" w:type="pct"/>
                  <w:vMerge w:val="restart"/>
                  <w:vAlign w:val="center"/>
                </w:tcPr>
                <w:p w14:paraId="7ACB5023">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一般固废</w:t>
                  </w:r>
                </w:p>
              </w:tc>
              <w:tc>
                <w:tcPr>
                  <w:tcW w:w="754" w:type="pct"/>
                  <w:vAlign w:val="center"/>
                </w:tcPr>
                <w:p w14:paraId="219E7D80">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0.5</w:t>
                  </w:r>
                </w:p>
              </w:tc>
              <w:tc>
                <w:tcPr>
                  <w:tcW w:w="895" w:type="pct"/>
                  <w:vAlign w:val="center"/>
                </w:tcPr>
                <w:p w14:paraId="48405A0B">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包装</w:t>
                  </w:r>
                </w:p>
              </w:tc>
              <w:tc>
                <w:tcPr>
                  <w:tcW w:w="1077" w:type="pct"/>
                  <w:vMerge w:val="restart"/>
                  <w:vAlign w:val="center"/>
                </w:tcPr>
                <w:p w14:paraId="52A4D7E9">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eastAsia="zh-CN"/>
                    </w:rPr>
                  </w:pPr>
                  <w:r>
                    <w:rPr>
                      <w:rFonts w:hint="default" w:ascii="Times New Roman" w:hAnsi="Times New Roman" w:eastAsia="宋体" w:cs="Times New Roman"/>
                      <w:b w:val="0"/>
                      <w:bCs/>
                      <w:sz w:val="21"/>
                      <w:szCs w:val="21"/>
                      <w:lang w:eastAsia="zh-CN"/>
                    </w:rPr>
                    <w:t>外售</w:t>
                  </w:r>
                </w:p>
              </w:tc>
            </w:tr>
            <w:tr w14:paraId="02BBED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446" w:type="pct"/>
                  <w:vAlign w:val="center"/>
                </w:tcPr>
                <w:p w14:paraId="219DBAA1">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3</w:t>
                  </w:r>
                </w:p>
              </w:tc>
              <w:tc>
                <w:tcPr>
                  <w:tcW w:w="1048" w:type="pct"/>
                  <w:vAlign w:val="center"/>
                </w:tcPr>
                <w:p w14:paraId="718A9AE2">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锡渣</w:t>
                  </w:r>
                </w:p>
              </w:tc>
              <w:tc>
                <w:tcPr>
                  <w:tcW w:w="777" w:type="pct"/>
                  <w:vMerge w:val="continue"/>
                  <w:vAlign w:val="center"/>
                </w:tcPr>
                <w:p w14:paraId="6D8FB758">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p>
              </w:tc>
              <w:tc>
                <w:tcPr>
                  <w:tcW w:w="754" w:type="pct"/>
                  <w:vAlign w:val="center"/>
                </w:tcPr>
                <w:p w14:paraId="49AE8CB4">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0.001</w:t>
                  </w:r>
                </w:p>
              </w:tc>
              <w:tc>
                <w:tcPr>
                  <w:tcW w:w="895" w:type="pct"/>
                  <w:vAlign w:val="center"/>
                </w:tcPr>
                <w:p w14:paraId="1DA424BD">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焊接</w:t>
                  </w:r>
                </w:p>
              </w:tc>
              <w:tc>
                <w:tcPr>
                  <w:tcW w:w="1077" w:type="pct"/>
                  <w:vMerge w:val="continue"/>
                  <w:vAlign w:val="center"/>
                </w:tcPr>
                <w:p w14:paraId="7BE18F01">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eastAsia="zh-CN"/>
                    </w:rPr>
                  </w:pPr>
                </w:p>
              </w:tc>
            </w:tr>
            <w:tr w14:paraId="5CF8BB5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446" w:type="pct"/>
                  <w:shd w:val="clear" w:color="auto" w:fill="auto"/>
                  <w:vAlign w:val="center"/>
                </w:tcPr>
                <w:p w14:paraId="57E83D53">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sz w:val="21"/>
                      <w:szCs w:val="21"/>
                      <w:lang w:val="en-US" w:eastAsia="zh-CN"/>
                    </w:rPr>
                    <w:t>4</w:t>
                  </w:r>
                </w:p>
              </w:tc>
              <w:tc>
                <w:tcPr>
                  <w:tcW w:w="1048" w:type="pct"/>
                  <w:vAlign w:val="center"/>
                </w:tcPr>
                <w:p w14:paraId="6989E7BD">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除尘器捕捉粉尘</w:t>
                  </w:r>
                </w:p>
              </w:tc>
              <w:tc>
                <w:tcPr>
                  <w:tcW w:w="777" w:type="pct"/>
                  <w:vMerge w:val="continue"/>
                  <w:vAlign w:val="center"/>
                </w:tcPr>
                <w:p w14:paraId="2A94FAB2">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p>
              </w:tc>
              <w:tc>
                <w:tcPr>
                  <w:tcW w:w="754" w:type="pct"/>
                  <w:vAlign w:val="center"/>
                </w:tcPr>
                <w:p w14:paraId="2ADC5076">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0.00019</w:t>
                  </w:r>
                </w:p>
              </w:tc>
              <w:tc>
                <w:tcPr>
                  <w:tcW w:w="895" w:type="pct"/>
                  <w:vAlign w:val="center"/>
                </w:tcPr>
                <w:p w14:paraId="1C64C5EB">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废气处理</w:t>
                  </w:r>
                </w:p>
              </w:tc>
              <w:tc>
                <w:tcPr>
                  <w:tcW w:w="1077" w:type="pct"/>
                  <w:vMerge w:val="continue"/>
                  <w:vAlign w:val="center"/>
                </w:tcPr>
                <w:p w14:paraId="7C84EA4A">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eastAsia="zh-CN"/>
                    </w:rPr>
                  </w:pPr>
                </w:p>
              </w:tc>
            </w:tr>
            <w:tr w14:paraId="6DFFE0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446" w:type="pct"/>
                  <w:shd w:val="clear" w:color="auto" w:fill="auto"/>
                  <w:vAlign w:val="center"/>
                </w:tcPr>
                <w:p w14:paraId="0643468C">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sz w:val="21"/>
                      <w:szCs w:val="21"/>
                      <w:lang w:val="en-US" w:eastAsia="zh-CN"/>
                    </w:rPr>
                    <w:t>5</w:t>
                  </w:r>
                </w:p>
              </w:tc>
              <w:tc>
                <w:tcPr>
                  <w:tcW w:w="1048" w:type="pct"/>
                  <w:vAlign w:val="center"/>
                </w:tcPr>
                <w:p w14:paraId="4DE06093">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废电路板</w:t>
                  </w:r>
                </w:p>
              </w:tc>
              <w:tc>
                <w:tcPr>
                  <w:tcW w:w="777" w:type="pct"/>
                  <w:vMerge w:val="restart"/>
                  <w:vAlign w:val="center"/>
                </w:tcPr>
                <w:p w14:paraId="03D0E4A9">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危险废物</w:t>
                  </w:r>
                </w:p>
              </w:tc>
              <w:tc>
                <w:tcPr>
                  <w:tcW w:w="754" w:type="pct"/>
                  <w:vAlign w:val="center"/>
                </w:tcPr>
                <w:p w14:paraId="20825300">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0.01</w:t>
                  </w:r>
                </w:p>
              </w:tc>
              <w:tc>
                <w:tcPr>
                  <w:tcW w:w="895" w:type="pct"/>
                  <w:vAlign w:val="center"/>
                </w:tcPr>
                <w:p w14:paraId="6D433978">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焊接、测试</w:t>
                  </w:r>
                </w:p>
              </w:tc>
              <w:tc>
                <w:tcPr>
                  <w:tcW w:w="1077" w:type="pct"/>
                  <w:vMerge w:val="restart"/>
                  <w:vAlign w:val="center"/>
                </w:tcPr>
                <w:p w14:paraId="3DA9CE32">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eastAsia="zh-CN"/>
                    </w:rPr>
                  </w:pPr>
                  <w:r>
                    <w:rPr>
                      <w:rFonts w:hint="default" w:ascii="Times New Roman" w:hAnsi="Times New Roman" w:eastAsia="宋体" w:cs="Times New Roman"/>
                      <w:b w:val="0"/>
                      <w:bCs/>
                      <w:sz w:val="21"/>
                      <w:szCs w:val="21"/>
                      <w:lang w:eastAsia="zh-CN"/>
                    </w:rPr>
                    <w:t>集中收集后置于</w:t>
                  </w:r>
                  <w:r>
                    <w:rPr>
                      <w:rFonts w:hint="default" w:eastAsia="宋体" w:cs="Times New Roman"/>
                      <w:b w:val="0"/>
                      <w:bCs/>
                      <w:szCs w:val="21"/>
                      <w:lang w:eastAsia="zh-CN"/>
                    </w:rPr>
                    <w:t>危废贮存点</w:t>
                  </w:r>
                  <w:r>
                    <w:rPr>
                      <w:rFonts w:hint="default" w:ascii="Times New Roman" w:hAnsi="Times New Roman" w:eastAsia="宋体" w:cs="Times New Roman"/>
                      <w:b w:val="0"/>
                      <w:bCs/>
                      <w:sz w:val="21"/>
                      <w:szCs w:val="21"/>
                      <w:lang w:eastAsia="zh-CN"/>
                    </w:rPr>
                    <w:t>，定期委托有资质的单位进行处置</w:t>
                  </w:r>
                </w:p>
              </w:tc>
            </w:tr>
            <w:tr w14:paraId="6099D2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446" w:type="pct"/>
                  <w:shd w:val="clear" w:color="auto" w:fill="auto"/>
                  <w:vAlign w:val="center"/>
                </w:tcPr>
                <w:p w14:paraId="11D78F98">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sz w:val="21"/>
                      <w:szCs w:val="21"/>
                      <w:lang w:val="en-US" w:eastAsia="zh-CN"/>
                    </w:rPr>
                    <w:t>6</w:t>
                  </w:r>
                </w:p>
              </w:tc>
              <w:tc>
                <w:tcPr>
                  <w:tcW w:w="1048" w:type="pct"/>
                  <w:vAlign w:val="center"/>
                </w:tcPr>
                <w:p w14:paraId="1D98B25B">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eastAsia="zh-CN"/>
                    </w:rPr>
                    <w:t>废辅料包装材料</w:t>
                  </w:r>
                </w:p>
              </w:tc>
              <w:tc>
                <w:tcPr>
                  <w:tcW w:w="777" w:type="pct"/>
                  <w:vMerge w:val="continue"/>
                  <w:vAlign w:val="center"/>
                </w:tcPr>
                <w:p w14:paraId="4A44A532">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p>
              </w:tc>
              <w:tc>
                <w:tcPr>
                  <w:tcW w:w="754" w:type="pct"/>
                  <w:vAlign w:val="center"/>
                </w:tcPr>
                <w:p w14:paraId="6FC1594C">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0.023</w:t>
                  </w:r>
                </w:p>
              </w:tc>
              <w:tc>
                <w:tcPr>
                  <w:tcW w:w="895" w:type="pct"/>
                  <w:vAlign w:val="center"/>
                </w:tcPr>
                <w:p w14:paraId="2F31363D">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辅料使用</w:t>
                  </w:r>
                </w:p>
              </w:tc>
              <w:tc>
                <w:tcPr>
                  <w:tcW w:w="1077" w:type="pct"/>
                  <w:vMerge w:val="continue"/>
                  <w:vAlign w:val="center"/>
                </w:tcPr>
                <w:p w14:paraId="6ABDE862">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eastAsia="zh-CN"/>
                    </w:rPr>
                  </w:pPr>
                </w:p>
              </w:tc>
            </w:tr>
            <w:tr w14:paraId="77C3DA6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446" w:type="pct"/>
                  <w:shd w:val="clear" w:color="auto" w:fill="auto"/>
                  <w:vAlign w:val="center"/>
                </w:tcPr>
                <w:p w14:paraId="6A1E5E8C">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sz w:val="21"/>
                      <w:szCs w:val="21"/>
                      <w:lang w:val="en-US" w:eastAsia="zh-CN"/>
                    </w:rPr>
                    <w:t>7</w:t>
                  </w:r>
                </w:p>
              </w:tc>
              <w:tc>
                <w:tcPr>
                  <w:tcW w:w="1048" w:type="pct"/>
                  <w:vAlign w:val="center"/>
                </w:tcPr>
                <w:p w14:paraId="09ABD37C">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eastAsia="zh-CN"/>
                    </w:rPr>
                  </w:pPr>
                  <w:r>
                    <w:rPr>
                      <w:rFonts w:hint="default" w:ascii="Times New Roman" w:hAnsi="Times New Roman" w:eastAsia="宋体" w:cs="Times New Roman"/>
                      <w:b w:val="0"/>
                      <w:bCs/>
                      <w:sz w:val="21"/>
                      <w:szCs w:val="21"/>
                      <w:lang w:val="en-US" w:eastAsia="zh-CN"/>
                    </w:rPr>
                    <w:t>废</w:t>
                  </w:r>
                  <w:r>
                    <w:rPr>
                      <w:rFonts w:hint="eastAsia" w:eastAsia="宋体" w:cs="Times New Roman"/>
                      <w:b w:val="0"/>
                      <w:bCs/>
                      <w:sz w:val="21"/>
                      <w:szCs w:val="21"/>
                      <w:lang w:val="en-US" w:eastAsia="zh-CN"/>
                    </w:rPr>
                    <w:t>擦拭布</w:t>
                  </w:r>
                </w:p>
              </w:tc>
              <w:tc>
                <w:tcPr>
                  <w:tcW w:w="777" w:type="pct"/>
                  <w:vMerge w:val="continue"/>
                  <w:vAlign w:val="center"/>
                </w:tcPr>
                <w:p w14:paraId="700B90D2">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p>
              </w:tc>
              <w:tc>
                <w:tcPr>
                  <w:tcW w:w="754" w:type="pct"/>
                  <w:vAlign w:val="center"/>
                </w:tcPr>
                <w:p w14:paraId="13A43C0D">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0.1</w:t>
                  </w:r>
                </w:p>
              </w:tc>
              <w:tc>
                <w:tcPr>
                  <w:tcW w:w="895" w:type="pct"/>
                  <w:vAlign w:val="center"/>
                </w:tcPr>
                <w:p w14:paraId="23A8A6C0">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人工</w:t>
                  </w:r>
                  <w:r>
                    <w:rPr>
                      <w:rFonts w:hint="eastAsia" w:eastAsia="宋体" w:cs="Times New Roman"/>
                      <w:b w:val="0"/>
                      <w:bCs/>
                      <w:sz w:val="21"/>
                      <w:szCs w:val="21"/>
                      <w:lang w:val="en-US" w:eastAsia="zh-CN"/>
                    </w:rPr>
                    <w:t>擦拭</w:t>
                  </w:r>
                </w:p>
              </w:tc>
              <w:tc>
                <w:tcPr>
                  <w:tcW w:w="1077" w:type="pct"/>
                  <w:vMerge w:val="continue"/>
                  <w:vAlign w:val="center"/>
                </w:tcPr>
                <w:p w14:paraId="43AD231F">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eastAsia="zh-CN"/>
                    </w:rPr>
                  </w:pPr>
                </w:p>
              </w:tc>
            </w:tr>
            <w:tr w14:paraId="3EA8FF3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446" w:type="pct"/>
                  <w:shd w:val="clear" w:color="auto" w:fill="auto"/>
                  <w:vAlign w:val="center"/>
                </w:tcPr>
                <w:p w14:paraId="14762352">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kern w:val="0"/>
                      <w:sz w:val="21"/>
                      <w:szCs w:val="21"/>
                      <w:lang w:val="en-US" w:eastAsia="zh-CN" w:bidi="ar-SA"/>
                    </w:rPr>
                    <w:t>8</w:t>
                  </w:r>
                </w:p>
              </w:tc>
              <w:tc>
                <w:tcPr>
                  <w:tcW w:w="1048" w:type="pct"/>
                  <w:vAlign w:val="center"/>
                </w:tcPr>
                <w:p w14:paraId="0F8B1DE8">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eastAsia="zh-CN"/>
                    </w:rPr>
                  </w:pPr>
                  <w:r>
                    <w:rPr>
                      <w:rFonts w:hint="default" w:ascii="Times New Roman" w:hAnsi="Times New Roman" w:eastAsia="宋体" w:cs="Times New Roman"/>
                      <w:b w:val="0"/>
                      <w:bCs/>
                      <w:sz w:val="21"/>
                      <w:szCs w:val="21"/>
                      <w:lang w:val="en-US" w:eastAsia="zh-CN"/>
                    </w:rPr>
                    <w:t>废活性炭</w:t>
                  </w:r>
                </w:p>
              </w:tc>
              <w:tc>
                <w:tcPr>
                  <w:tcW w:w="777" w:type="pct"/>
                  <w:vMerge w:val="continue"/>
                  <w:vAlign w:val="center"/>
                </w:tcPr>
                <w:p w14:paraId="02E57239">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p>
              </w:tc>
              <w:tc>
                <w:tcPr>
                  <w:tcW w:w="754" w:type="pct"/>
                  <w:vAlign w:val="center"/>
                </w:tcPr>
                <w:p w14:paraId="18F1415A">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0.3</w:t>
                  </w:r>
                </w:p>
              </w:tc>
              <w:tc>
                <w:tcPr>
                  <w:tcW w:w="895" w:type="pct"/>
                  <w:vAlign w:val="center"/>
                </w:tcPr>
                <w:p w14:paraId="2EE1E3C4">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废气处理</w:t>
                  </w:r>
                </w:p>
              </w:tc>
              <w:tc>
                <w:tcPr>
                  <w:tcW w:w="1077" w:type="pct"/>
                  <w:vMerge w:val="continue"/>
                  <w:vAlign w:val="center"/>
                </w:tcPr>
                <w:p w14:paraId="422E61B7">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eastAsia="zh-CN"/>
                    </w:rPr>
                  </w:pPr>
                </w:p>
              </w:tc>
            </w:tr>
            <w:tr w14:paraId="41C15A1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446" w:type="pct"/>
                  <w:shd w:val="clear" w:color="auto" w:fill="auto"/>
                  <w:vAlign w:val="center"/>
                </w:tcPr>
                <w:p w14:paraId="0E6BEBE3">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9</w:t>
                  </w:r>
                </w:p>
              </w:tc>
              <w:tc>
                <w:tcPr>
                  <w:tcW w:w="1048" w:type="pct"/>
                  <w:vAlign w:val="center"/>
                </w:tcPr>
                <w:p w14:paraId="0C48B4E4">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废机油</w:t>
                  </w:r>
                </w:p>
              </w:tc>
              <w:tc>
                <w:tcPr>
                  <w:tcW w:w="777" w:type="pct"/>
                  <w:vMerge w:val="continue"/>
                  <w:vAlign w:val="center"/>
                </w:tcPr>
                <w:p w14:paraId="45F706E9">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p>
              </w:tc>
              <w:tc>
                <w:tcPr>
                  <w:tcW w:w="754" w:type="pct"/>
                  <w:vAlign w:val="center"/>
                </w:tcPr>
                <w:p w14:paraId="773F9C7B">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0.05</w:t>
                  </w:r>
                </w:p>
              </w:tc>
              <w:tc>
                <w:tcPr>
                  <w:tcW w:w="895" w:type="pct"/>
                  <w:vAlign w:val="center"/>
                </w:tcPr>
                <w:p w14:paraId="2F149C02">
                  <w:pPr>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eastAsia"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设备维护</w:t>
                  </w:r>
                </w:p>
              </w:tc>
              <w:tc>
                <w:tcPr>
                  <w:tcW w:w="1077" w:type="pct"/>
                  <w:vMerge w:val="continue"/>
                  <w:vAlign w:val="center"/>
                </w:tcPr>
                <w:p w14:paraId="52F19E11">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eastAsia="zh-CN"/>
                    </w:rPr>
                  </w:pPr>
                </w:p>
              </w:tc>
            </w:tr>
            <w:tr w14:paraId="16919B1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446" w:type="pct"/>
                  <w:shd w:val="clear" w:color="auto" w:fill="auto"/>
                  <w:vAlign w:val="center"/>
                </w:tcPr>
                <w:p w14:paraId="0D3B8410">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10</w:t>
                  </w:r>
                </w:p>
              </w:tc>
              <w:tc>
                <w:tcPr>
                  <w:tcW w:w="1048" w:type="pct"/>
                  <w:vAlign w:val="center"/>
                </w:tcPr>
                <w:p w14:paraId="5FAC129C">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废机油桶</w:t>
                  </w:r>
                </w:p>
              </w:tc>
              <w:tc>
                <w:tcPr>
                  <w:tcW w:w="777" w:type="pct"/>
                  <w:vMerge w:val="continue"/>
                  <w:vAlign w:val="center"/>
                </w:tcPr>
                <w:p w14:paraId="7B38E631">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p>
              </w:tc>
              <w:tc>
                <w:tcPr>
                  <w:tcW w:w="754" w:type="pct"/>
                  <w:vAlign w:val="center"/>
                </w:tcPr>
                <w:p w14:paraId="11D2475D">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0.01</w:t>
                  </w:r>
                </w:p>
              </w:tc>
              <w:tc>
                <w:tcPr>
                  <w:tcW w:w="895" w:type="pct"/>
                  <w:vAlign w:val="center"/>
                </w:tcPr>
                <w:p w14:paraId="6FA4BB65">
                  <w:pPr>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eastAsia"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设备维护</w:t>
                  </w:r>
                </w:p>
              </w:tc>
              <w:tc>
                <w:tcPr>
                  <w:tcW w:w="1077" w:type="pct"/>
                  <w:vMerge w:val="continue"/>
                  <w:vAlign w:val="center"/>
                </w:tcPr>
                <w:p w14:paraId="0AA6E2B5">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eastAsia="zh-CN"/>
                    </w:rPr>
                  </w:pPr>
                </w:p>
              </w:tc>
            </w:tr>
            <w:tr w14:paraId="7593087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97" w:hRule="atLeast"/>
              </w:trPr>
              <w:tc>
                <w:tcPr>
                  <w:tcW w:w="446" w:type="pct"/>
                  <w:shd w:val="clear" w:color="auto" w:fill="auto"/>
                  <w:vAlign w:val="center"/>
                </w:tcPr>
                <w:p w14:paraId="5927F940">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11</w:t>
                  </w:r>
                </w:p>
              </w:tc>
              <w:tc>
                <w:tcPr>
                  <w:tcW w:w="1048" w:type="pct"/>
                  <w:vAlign w:val="center"/>
                </w:tcPr>
                <w:p w14:paraId="6CCFE83F">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eastAsia="zh-CN"/>
                    </w:rPr>
                    <w:t>废含油抹布手套</w:t>
                  </w:r>
                </w:p>
              </w:tc>
              <w:tc>
                <w:tcPr>
                  <w:tcW w:w="777" w:type="pct"/>
                  <w:vMerge w:val="continue"/>
                  <w:vAlign w:val="center"/>
                </w:tcPr>
                <w:p w14:paraId="78E5EC9E">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p>
              </w:tc>
              <w:tc>
                <w:tcPr>
                  <w:tcW w:w="754" w:type="pct"/>
                  <w:vAlign w:val="center"/>
                </w:tcPr>
                <w:p w14:paraId="787D5A1A">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0.0</w:t>
                  </w:r>
                  <w:r>
                    <w:rPr>
                      <w:rFonts w:hint="eastAsia" w:eastAsia="宋体" w:cs="Times New Roman"/>
                      <w:b w:val="0"/>
                      <w:bCs/>
                      <w:sz w:val="21"/>
                      <w:szCs w:val="21"/>
                      <w:lang w:val="en-US" w:eastAsia="zh-CN"/>
                    </w:rPr>
                    <w:t>1</w:t>
                  </w:r>
                </w:p>
              </w:tc>
              <w:tc>
                <w:tcPr>
                  <w:tcW w:w="895" w:type="pct"/>
                  <w:vAlign w:val="center"/>
                </w:tcPr>
                <w:p w14:paraId="4127B838">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设备维护</w:t>
                  </w:r>
                </w:p>
              </w:tc>
              <w:tc>
                <w:tcPr>
                  <w:tcW w:w="1077" w:type="pct"/>
                  <w:vMerge w:val="continue"/>
                  <w:vAlign w:val="center"/>
                </w:tcPr>
                <w:p w14:paraId="40B13E63">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eastAsia="zh-CN"/>
                    </w:rPr>
                  </w:pPr>
                </w:p>
              </w:tc>
            </w:tr>
            <w:tr w14:paraId="74B2E0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446" w:type="pct"/>
                  <w:shd w:val="clear" w:color="auto" w:fill="auto"/>
                  <w:vAlign w:val="center"/>
                </w:tcPr>
                <w:p w14:paraId="36E3704E">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12</w:t>
                  </w:r>
                </w:p>
              </w:tc>
              <w:tc>
                <w:tcPr>
                  <w:tcW w:w="1048" w:type="pct"/>
                  <w:vAlign w:val="center"/>
                </w:tcPr>
                <w:p w14:paraId="11AA05DC">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废滤芯</w:t>
                  </w:r>
                </w:p>
              </w:tc>
              <w:tc>
                <w:tcPr>
                  <w:tcW w:w="777" w:type="pct"/>
                  <w:vMerge w:val="continue"/>
                  <w:vAlign w:val="center"/>
                </w:tcPr>
                <w:p w14:paraId="25CF7500">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p>
              </w:tc>
              <w:tc>
                <w:tcPr>
                  <w:tcW w:w="754" w:type="pct"/>
                  <w:vAlign w:val="center"/>
                </w:tcPr>
                <w:p w14:paraId="4CBE1711">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0.03</w:t>
                  </w:r>
                </w:p>
              </w:tc>
              <w:tc>
                <w:tcPr>
                  <w:tcW w:w="895" w:type="pct"/>
                  <w:vAlign w:val="center"/>
                </w:tcPr>
                <w:p w14:paraId="36FEE8F7">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生产</w:t>
                  </w:r>
                </w:p>
              </w:tc>
              <w:tc>
                <w:tcPr>
                  <w:tcW w:w="1077" w:type="pct"/>
                  <w:vAlign w:val="center"/>
                </w:tcPr>
                <w:p w14:paraId="016BB0D5">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由厂家更换带走</w:t>
                  </w:r>
                </w:p>
              </w:tc>
            </w:tr>
          </w:tbl>
          <w:p w14:paraId="54BC4F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黑体" w:cs="Times New Roman"/>
                <w:sz w:val="21"/>
                <w:szCs w:val="21"/>
                <w:lang w:val="en-US" w:eastAsia="zh-CN"/>
              </w:rPr>
            </w:pPr>
            <w:r>
              <w:rPr>
                <w:rFonts w:hint="default" w:ascii="Times New Roman" w:hAnsi="Times New Roman" w:eastAsia="黑体" w:cs="Times New Roman"/>
                <w:sz w:val="21"/>
                <w:szCs w:val="21"/>
                <w:lang w:val="en-US" w:eastAsia="zh-CN"/>
              </w:rPr>
              <w:t>表</w:t>
            </w:r>
            <w:r>
              <w:rPr>
                <w:rFonts w:hint="eastAsia" w:ascii="Times New Roman" w:hAnsi="Times New Roman" w:eastAsia="黑体" w:cs="Times New Roman"/>
                <w:sz w:val="21"/>
                <w:szCs w:val="21"/>
                <w:lang w:val="en-US" w:eastAsia="zh-CN"/>
              </w:rPr>
              <w:t>4-15</w:t>
            </w:r>
            <w:r>
              <w:rPr>
                <w:rFonts w:hint="default" w:ascii="Times New Roman" w:hAnsi="Times New Roman" w:eastAsia="黑体" w:cs="Times New Roman"/>
                <w:sz w:val="21"/>
                <w:szCs w:val="21"/>
                <w:lang w:val="en-US" w:eastAsia="zh-CN"/>
              </w:rPr>
              <w:t xml:space="preserve"> 本项目危险废物汇总一览表</w:t>
            </w:r>
          </w:p>
          <w:tbl>
            <w:tblPr>
              <w:tblStyle w:val="24"/>
              <w:tblW w:w="4995"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176"/>
              <w:gridCol w:w="847"/>
              <w:gridCol w:w="1306"/>
              <w:gridCol w:w="965"/>
              <w:gridCol w:w="965"/>
              <w:gridCol w:w="965"/>
              <w:gridCol w:w="965"/>
              <w:gridCol w:w="968"/>
            </w:tblGrid>
            <w:tr w14:paraId="4CDECE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720" w:type="pct"/>
                  <w:vAlign w:val="center"/>
                </w:tcPr>
                <w:p w14:paraId="6A916310">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名称</w:t>
                  </w:r>
                </w:p>
              </w:tc>
              <w:tc>
                <w:tcPr>
                  <w:tcW w:w="519" w:type="pct"/>
                  <w:vAlign w:val="center"/>
                </w:tcPr>
                <w:p w14:paraId="14C285CA">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危废类别</w:t>
                  </w:r>
                </w:p>
              </w:tc>
              <w:tc>
                <w:tcPr>
                  <w:tcW w:w="800" w:type="pct"/>
                  <w:shd w:val="clear" w:color="auto" w:fill="auto"/>
                  <w:vAlign w:val="center"/>
                </w:tcPr>
                <w:p w14:paraId="0615F2AF">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kern w:val="0"/>
                      <w:sz w:val="21"/>
                      <w:szCs w:val="21"/>
                      <w:lang w:val="en-US" w:eastAsia="zh-CN" w:bidi="ar-SA"/>
                    </w:rPr>
                    <w:t>危废代码</w:t>
                  </w:r>
                </w:p>
              </w:tc>
              <w:tc>
                <w:tcPr>
                  <w:tcW w:w="591" w:type="pct"/>
                  <w:vAlign w:val="center"/>
                </w:tcPr>
                <w:p w14:paraId="73CDF3F4">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产生量t/a</w:t>
                  </w:r>
                </w:p>
              </w:tc>
              <w:tc>
                <w:tcPr>
                  <w:tcW w:w="591" w:type="pct"/>
                  <w:vAlign w:val="center"/>
                </w:tcPr>
                <w:p w14:paraId="2E32C16E">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产污</w:t>
                  </w:r>
                </w:p>
                <w:p w14:paraId="18A6A3C9">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节点</w:t>
                  </w:r>
                </w:p>
              </w:tc>
              <w:tc>
                <w:tcPr>
                  <w:tcW w:w="591" w:type="pct"/>
                  <w:vAlign w:val="center"/>
                </w:tcPr>
                <w:p w14:paraId="2B25B04B">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形态</w:t>
                  </w:r>
                </w:p>
              </w:tc>
              <w:tc>
                <w:tcPr>
                  <w:tcW w:w="591" w:type="pct"/>
                  <w:vAlign w:val="center"/>
                </w:tcPr>
                <w:p w14:paraId="535C9F57">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环境危险特性</w:t>
                  </w:r>
                </w:p>
              </w:tc>
              <w:tc>
                <w:tcPr>
                  <w:tcW w:w="593" w:type="pct"/>
                  <w:vAlign w:val="center"/>
                </w:tcPr>
                <w:p w14:paraId="012B48E2">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处置方式</w:t>
                  </w:r>
                </w:p>
              </w:tc>
            </w:tr>
            <w:tr w14:paraId="69FDCFC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720" w:type="pct"/>
                  <w:shd w:val="clear" w:color="auto" w:fill="auto"/>
                  <w:vAlign w:val="center"/>
                </w:tcPr>
                <w:p w14:paraId="10E9A909">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eastAsia"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eastAsia="zh-CN"/>
                    </w:rPr>
                    <w:t>废电路板</w:t>
                  </w:r>
                </w:p>
              </w:tc>
              <w:tc>
                <w:tcPr>
                  <w:tcW w:w="519" w:type="pct"/>
                  <w:vAlign w:val="center"/>
                </w:tcPr>
                <w:p w14:paraId="7E4FD739">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HW49</w:t>
                  </w:r>
                </w:p>
              </w:tc>
              <w:tc>
                <w:tcPr>
                  <w:tcW w:w="800" w:type="pct"/>
                  <w:shd w:val="clear" w:color="auto" w:fill="auto"/>
                  <w:vAlign w:val="center"/>
                </w:tcPr>
                <w:p w14:paraId="70C3F725">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eastAsia"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kern w:val="0"/>
                      <w:sz w:val="21"/>
                      <w:szCs w:val="21"/>
                      <w:lang w:val="en-US" w:eastAsia="zh-CN" w:bidi="ar-SA"/>
                    </w:rPr>
                    <w:t>900-045-49</w:t>
                  </w:r>
                </w:p>
              </w:tc>
              <w:tc>
                <w:tcPr>
                  <w:tcW w:w="591" w:type="pct"/>
                  <w:shd w:val="clear" w:color="auto" w:fill="auto"/>
                  <w:vAlign w:val="center"/>
                </w:tcPr>
                <w:p w14:paraId="0CD352FD">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0.01</w:t>
                  </w:r>
                </w:p>
              </w:tc>
              <w:tc>
                <w:tcPr>
                  <w:tcW w:w="591" w:type="pct"/>
                  <w:shd w:val="clear" w:color="auto" w:fill="auto"/>
                  <w:vAlign w:val="center"/>
                </w:tcPr>
                <w:p w14:paraId="231154F0">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sz w:val="21"/>
                      <w:szCs w:val="21"/>
                      <w:lang w:val="en-US" w:eastAsia="zh-CN"/>
                    </w:rPr>
                    <w:t>焊接、测试</w:t>
                  </w:r>
                </w:p>
              </w:tc>
              <w:tc>
                <w:tcPr>
                  <w:tcW w:w="591" w:type="pct"/>
                  <w:vAlign w:val="center"/>
                </w:tcPr>
                <w:p w14:paraId="628CD458">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固态</w:t>
                  </w:r>
                </w:p>
              </w:tc>
              <w:tc>
                <w:tcPr>
                  <w:tcW w:w="591" w:type="pct"/>
                  <w:vAlign w:val="center"/>
                </w:tcPr>
                <w:p w14:paraId="7A3B1EC4">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T</w:t>
                  </w:r>
                </w:p>
              </w:tc>
              <w:tc>
                <w:tcPr>
                  <w:tcW w:w="593" w:type="pct"/>
                  <w:vMerge w:val="restart"/>
                  <w:vAlign w:val="center"/>
                </w:tcPr>
                <w:p w14:paraId="41169AD0">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eastAsia="zh-CN"/>
                    </w:rPr>
                    <w:t>集中收集后置于</w:t>
                  </w:r>
                  <w:r>
                    <w:rPr>
                      <w:rFonts w:hint="default" w:eastAsia="宋体" w:cs="Times New Roman"/>
                      <w:b w:val="0"/>
                      <w:bCs/>
                      <w:szCs w:val="21"/>
                      <w:lang w:eastAsia="zh-CN"/>
                    </w:rPr>
                    <w:t>危废贮存点</w:t>
                  </w:r>
                  <w:r>
                    <w:rPr>
                      <w:rFonts w:hint="default" w:ascii="Times New Roman" w:hAnsi="Times New Roman" w:eastAsia="宋体" w:cs="Times New Roman"/>
                      <w:b w:val="0"/>
                      <w:bCs/>
                      <w:sz w:val="21"/>
                      <w:szCs w:val="21"/>
                      <w:lang w:eastAsia="zh-CN"/>
                    </w:rPr>
                    <w:t>，定期委托有资质的单位进行处置</w:t>
                  </w:r>
                </w:p>
              </w:tc>
            </w:tr>
            <w:tr w14:paraId="4282AD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720" w:type="pct"/>
                  <w:shd w:val="clear" w:color="auto" w:fill="auto"/>
                  <w:vAlign w:val="center"/>
                </w:tcPr>
                <w:p w14:paraId="7FBB80CD">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eastAsia"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eastAsia="zh-CN"/>
                    </w:rPr>
                    <w:t>废辅料包装材料</w:t>
                  </w:r>
                </w:p>
              </w:tc>
              <w:tc>
                <w:tcPr>
                  <w:tcW w:w="519" w:type="pct"/>
                  <w:vAlign w:val="center"/>
                </w:tcPr>
                <w:p w14:paraId="1E9D4A94">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HW49</w:t>
                  </w:r>
                </w:p>
              </w:tc>
              <w:tc>
                <w:tcPr>
                  <w:tcW w:w="0" w:type="auto"/>
                  <w:vAlign w:val="center"/>
                </w:tcPr>
                <w:p w14:paraId="1C768F38">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eastAsia"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kern w:val="0"/>
                      <w:sz w:val="21"/>
                      <w:szCs w:val="21"/>
                      <w:lang w:val="en-US" w:eastAsia="zh-CN" w:bidi="ar-SA"/>
                    </w:rPr>
                    <w:t>900-041-49</w:t>
                  </w:r>
                </w:p>
              </w:tc>
              <w:tc>
                <w:tcPr>
                  <w:tcW w:w="0" w:type="auto"/>
                  <w:shd w:val="clear" w:color="auto" w:fill="auto"/>
                  <w:vAlign w:val="center"/>
                </w:tcPr>
                <w:p w14:paraId="6258BBF1">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0.023</w:t>
                  </w:r>
                </w:p>
              </w:tc>
              <w:tc>
                <w:tcPr>
                  <w:tcW w:w="0" w:type="auto"/>
                  <w:shd w:val="clear" w:color="auto" w:fill="auto"/>
                  <w:vAlign w:val="center"/>
                </w:tcPr>
                <w:p w14:paraId="61AFE297">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sz w:val="21"/>
                      <w:szCs w:val="21"/>
                      <w:lang w:val="en-US" w:eastAsia="zh-CN"/>
                    </w:rPr>
                    <w:t>原辅料使用</w:t>
                  </w:r>
                </w:p>
              </w:tc>
              <w:tc>
                <w:tcPr>
                  <w:tcW w:w="0" w:type="auto"/>
                  <w:vAlign w:val="center"/>
                </w:tcPr>
                <w:p w14:paraId="22DCED63">
                  <w:pPr>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固态</w:t>
                  </w:r>
                </w:p>
              </w:tc>
              <w:tc>
                <w:tcPr>
                  <w:tcW w:w="0" w:type="auto"/>
                  <w:vAlign w:val="center"/>
                </w:tcPr>
                <w:p w14:paraId="1D462306">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T/In</w:t>
                  </w:r>
                </w:p>
              </w:tc>
              <w:tc>
                <w:tcPr>
                  <w:tcW w:w="593" w:type="pct"/>
                  <w:vMerge w:val="continue"/>
                  <w:vAlign w:val="center"/>
                </w:tcPr>
                <w:p w14:paraId="2D35DF77">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p>
              </w:tc>
            </w:tr>
            <w:tr w14:paraId="639A9BD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720" w:type="pct"/>
                  <w:shd w:val="clear" w:color="auto" w:fill="auto"/>
                  <w:vAlign w:val="center"/>
                </w:tcPr>
                <w:p w14:paraId="30B0091B">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eastAsia"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废</w:t>
                  </w:r>
                  <w:r>
                    <w:rPr>
                      <w:rFonts w:hint="eastAsia" w:eastAsia="宋体" w:cs="Times New Roman"/>
                      <w:b w:val="0"/>
                      <w:bCs/>
                      <w:sz w:val="21"/>
                      <w:szCs w:val="21"/>
                      <w:lang w:val="en-US" w:eastAsia="zh-CN"/>
                    </w:rPr>
                    <w:t>擦拭布</w:t>
                  </w:r>
                </w:p>
              </w:tc>
              <w:tc>
                <w:tcPr>
                  <w:tcW w:w="519" w:type="pct"/>
                  <w:vAlign w:val="center"/>
                </w:tcPr>
                <w:p w14:paraId="6E965475">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HW49</w:t>
                  </w:r>
                </w:p>
              </w:tc>
              <w:tc>
                <w:tcPr>
                  <w:tcW w:w="0" w:type="auto"/>
                  <w:vAlign w:val="center"/>
                </w:tcPr>
                <w:p w14:paraId="21830E84">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eastAsia"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kern w:val="0"/>
                      <w:sz w:val="21"/>
                      <w:szCs w:val="21"/>
                      <w:lang w:val="en-US" w:eastAsia="zh-CN" w:bidi="ar-SA"/>
                    </w:rPr>
                    <w:t>900-041-49</w:t>
                  </w:r>
                </w:p>
              </w:tc>
              <w:tc>
                <w:tcPr>
                  <w:tcW w:w="0" w:type="auto"/>
                  <w:shd w:val="clear" w:color="auto" w:fill="auto"/>
                  <w:vAlign w:val="center"/>
                </w:tcPr>
                <w:p w14:paraId="5E29DE93">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0.1</w:t>
                  </w:r>
                </w:p>
              </w:tc>
              <w:tc>
                <w:tcPr>
                  <w:tcW w:w="0" w:type="auto"/>
                  <w:shd w:val="clear" w:color="auto" w:fill="auto"/>
                  <w:vAlign w:val="center"/>
                </w:tcPr>
                <w:p w14:paraId="0F0EB6EA">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kern w:val="0"/>
                      <w:sz w:val="21"/>
                      <w:szCs w:val="21"/>
                      <w:lang w:val="en-US" w:eastAsia="zh-CN" w:bidi="ar-SA"/>
                    </w:rPr>
                    <w:t>擦拭</w:t>
                  </w:r>
                </w:p>
              </w:tc>
              <w:tc>
                <w:tcPr>
                  <w:tcW w:w="0" w:type="auto"/>
                  <w:vAlign w:val="center"/>
                </w:tcPr>
                <w:p w14:paraId="60BC426F">
                  <w:pPr>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固态</w:t>
                  </w:r>
                </w:p>
              </w:tc>
              <w:tc>
                <w:tcPr>
                  <w:tcW w:w="0" w:type="auto"/>
                  <w:vAlign w:val="center"/>
                </w:tcPr>
                <w:p w14:paraId="1832F9BF">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T/In</w:t>
                  </w:r>
                </w:p>
              </w:tc>
              <w:tc>
                <w:tcPr>
                  <w:tcW w:w="593" w:type="pct"/>
                  <w:vMerge w:val="continue"/>
                  <w:vAlign w:val="center"/>
                </w:tcPr>
                <w:p w14:paraId="2A89A950">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p>
              </w:tc>
            </w:tr>
            <w:tr w14:paraId="6606EFB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720" w:type="pct"/>
                  <w:shd w:val="clear" w:color="auto" w:fill="auto"/>
                  <w:vAlign w:val="center"/>
                </w:tcPr>
                <w:p w14:paraId="1F27255E">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eastAsia"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废活性炭</w:t>
                  </w:r>
                </w:p>
              </w:tc>
              <w:tc>
                <w:tcPr>
                  <w:tcW w:w="519" w:type="pct"/>
                  <w:vAlign w:val="center"/>
                </w:tcPr>
                <w:p w14:paraId="556479A7">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HW49</w:t>
                  </w:r>
                </w:p>
              </w:tc>
              <w:tc>
                <w:tcPr>
                  <w:tcW w:w="0" w:type="auto"/>
                  <w:vAlign w:val="center"/>
                </w:tcPr>
                <w:p w14:paraId="5D884A7B">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eastAsia"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kern w:val="0"/>
                      <w:sz w:val="21"/>
                      <w:szCs w:val="21"/>
                      <w:lang w:val="en-US" w:eastAsia="zh-CN" w:bidi="ar-SA"/>
                    </w:rPr>
                    <w:t>900-039-49</w:t>
                  </w:r>
                </w:p>
              </w:tc>
              <w:tc>
                <w:tcPr>
                  <w:tcW w:w="0" w:type="auto"/>
                  <w:shd w:val="clear" w:color="auto" w:fill="auto"/>
                  <w:vAlign w:val="center"/>
                </w:tcPr>
                <w:p w14:paraId="2F2C53B1">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0.3</w:t>
                  </w:r>
                </w:p>
              </w:tc>
              <w:tc>
                <w:tcPr>
                  <w:tcW w:w="0" w:type="auto"/>
                  <w:shd w:val="clear" w:color="auto" w:fill="auto"/>
                  <w:vAlign w:val="center"/>
                </w:tcPr>
                <w:p w14:paraId="194A90F2">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废气</w:t>
                  </w:r>
                </w:p>
                <w:p w14:paraId="4F2EF096">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sz w:val="21"/>
                      <w:szCs w:val="21"/>
                      <w:lang w:val="en-US" w:eastAsia="zh-CN"/>
                    </w:rPr>
                    <w:t>处理</w:t>
                  </w:r>
                </w:p>
              </w:tc>
              <w:tc>
                <w:tcPr>
                  <w:tcW w:w="0" w:type="auto"/>
                  <w:vAlign w:val="center"/>
                </w:tcPr>
                <w:p w14:paraId="305492EA">
                  <w:pPr>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固态</w:t>
                  </w:r>
                </w:p>
              </w:tc>
              <w:tc>
                <w:tcPr>
                  <w:tcW w:w="0" w:type="auto"/>
                  <w:vAlign w:val="center"/>
                </w:tcPr>
                <w:p w14:paraId="581F4D05">
                  <w:pPr>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T/In</w:t>
                  </w:r>
                </w:p>
              </w:tc>
              <w:tc>
                <w:tcPr>
                  <w:tcW w:w="593" w:type="pct"/>
                  <w:vMerge w:val="continue"/>
                  <w:vAlign w:val="center"/>
                </w:tcPr>
                <w:p w14:paraId="4A48139C">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p>
              </w:tc>
            </w:tr>
            <w:tr w14:paraId="6C25D54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720" w:type="pct"/>
                  <w:shd w:val="clear" w:color="auto" w:fill="auto"/>
                  <w:vAlign w:val="center"/>
                </w:tcPr>
                <w:p w14:paraId="0B0C6691">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废机油</w:t>
                  </w:r>
                </w:p>
              </w:tc>
              <w:tc>
                <w:tcPr>
                  <w:tcW w:w="519" w:type="pct"/>
                  <w:vAlign w:val="center"/>
                </w:tcPr>
                <w:p w14:paraId="4E845918">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HW08</w:t>
                  </w:r>
                </w:p>
              </w:tc>
              <w:tc>
                <w:tcPr>
                  <w:tcW w:w="0" w:type="auto"/>
                  <w:vAlign w:val="center"/>
                </w:tcPr>
                <w:p w14:paraId="7BAC3A4E">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eastAsia"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kern w:val="0"/>
                      <w:sz w:val="21"/>
                      <w:szCs w:val="21"/>
                      <w:lang w:val="en-US" w:eastAsia="zh-CN" w:bidi="ar-SA"/>
                    </w:rPr>
                    <w:t>900-214-08</w:t>
                  </w:r>
                </w:p>
              </w:tc>
              <w:tc>
                <w:tcPr>
                  <w:tcW w:w="0" w:type="auto"/>
                  <w:shd w:val="clear" w:color="auto" w:fill="auto"/>
                  <w:vAlign w:val="center"/>
                </w:tcPr>
                <w:p w14:paraId="39C585DE">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0.05</w:t>
                  </w:r>
                </w:p>
              </w:tc>
              <w:tc>
                <w:tcPr>
                  <w:tcW w:w="0" w:type="auto"/>
                  <w:shd w:val="clear" w:color="auto" w:fill="auto"/>
                  <w:vAlign w:val="center"/>
                </w:tcPr>
                <w:p w14:paraId="75A580C1">
                  <w:pPr>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设备</w:t>
                  </w:r>
                </w:p>
                <w:p w14:paraId="0DEFCB4B">
                  <w:pPr>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eastAsia"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维护</w:t>
                  </w:r>
                </w:p>
              </w:tc>
              <w:tc>
                <w:tcPr>
                  <w:tcW w:w="0" w:type="auto"/>
                  <w:vAlign w:val="center"/>
                </w:tcPr>
                <w:p w14:paraId="49361481">
                  <w:pPr>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液态</w:t>
                  </w:r>
                </w:p>
              </w:tc>
              <w:tc>
                <w:tcPr>
                  <w:tcW w:w="0" w:type="auto"/>
                  <w:vAlign w:val="center"/>
                </w:tcPr>
                <w:p w14:paraId="074F24A0">
                  <w:pPr>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T，I</w:t>
                  </w:r>
                </w:p>
              </w:tc>
              <w:tc>
                <w:tcPr>
                  <w:tcW w:w="593" w:type="pct"/>
                  <w:vMerge w:val="continue"/>
                  <w:vAlign w:val="center"/>
                </w:tcPr>
                <w:p w14:paraId="79189B3E">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p>
              </w:tc>
            </w:tr>
            <w:tr w14:paraId="091FBA0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720" w:type="pct"/>
                  <w:shd w:val="clear" w:color="auto" w:fill="auto"/>
                  <w:vAlign w:val="center"/>
                </w:tcPr>
                <w:p w14:paraId="23C97E33">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废机油桶</w:t>
                  </w:r>
                </w:p>
              </w:tc>
              <w:tc>
                <w:tcPr>
                  <w:tcW w:w="519" w:type="pct"/>
                  <w:vAlign w:val="center"/>
                </w:tcPr>
                <w:p w14:paraId="2CAD0D03">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HW08</w:t>
                  </w:r>
                </w:p>
              </w:tc>
              <w:tc>
                <w:tcPr>
                  <w:tcW w:w="0" w:type="auto"/>
                  <w:vAlign w:val="center"/>
                </w:tcPr>
                <w:p w14:paraId="45B47FD3">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eastAsia"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kern w:val="0"/>
                      <w:sz w:val="21"/>
                      <w:szCs w:val="21"/>
                      <w:lang w:val="en-US" w:eastAsia="zh-CN" w:bidi="ar-SA"/>
                    </w:rPr>
                    <w:t>900-249-08</w:t>
                  </w:r>
                </w:p>
              </w:tc>
              <w:tc>
                <w:tcPr>
                  <w:tcW w:w="0" w:type="auto"/>
                  <w:shd w:val="clear" w:color="auto" w:fill="auto"/>
                  <w:vAlign w:val="center"/>
                </w:tcPr>
                <w:p w14:paraId="58A5978C">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0.01</w:t>
                  </w:r>
                </w:p>
              </w:tc>
              <w:tc>
                <w:tcPr>
                  <w:tcW w:w="0" w:type="auto"/>
                  <w:shd w:val="clear" w:color="auto" w:fill="auto"/>
                  <w:vAlign w:val="center"/>
                </w:tcPr>
                <w:p w14:paraId="10DB2203">
                  <w:pPr>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设备</w:t>
                  </w:r>
                </w:p>
                <w:p w14:paraId="0EE4B9AC">
                  <w:pPr>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eastAsia"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维护</w:t>
                  </w:r>
                </w:p>
              </w:tc>
              <w:tc>
                <w:tcPr>
                  <w:tcW w:w="0" w:type="auto"/>
                  <w:vAlign w:val="center"/>
                </w:tcPr>
                <w:p w14:paraId="4D153B86">
                  <w:pPr>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固态</w:t>
                  </w:r>
                </w:p>
              </w:tc>
              <w:tc>
                <w:tcPr>
                  <w:tcW w:w="0" w:type="auto"/>
                  <w:vAlign w:val="center"/>
                </w:tcPr>
                <w:p w14:paraId="0E3E7335">
                  <w:pPr>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T，I</w:t>
                  </w:r>
                </w:p>
              </w:tc>
              <w:tc>
                <w:tcPr>
                  <w:tcW w:w="593" w:type="pct"/>
                  <w:vMerge w:val="continue"/>
                  <w:vAlign w:val="center"/>
                </w:tcPr>
                <w:p w14:paraId="2C3ECB2C">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p>
              </w:tc>
            </w:tr>
            <w:tr w14:paraId="1DF73BE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720" w:type="pct"/>
                  <w:shd w:val="clear" w:color="auto" w:fill="auto"/>
                  <w:vAlign w:val="center"/>
                </w:tcPr>
                <w:p w14:paraId="2E560AF9">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eastAsia="zh-CN"/>
                    </w:rPr>
                    <w:t>废含油抹布手套</w:t>
                  </w:r>
                </w:p>
              </w:tc>
              <w:tc>
                <w:tcPr>
                  <w:tcW w:w="519" w:type="pct"/>
                  <w:vAlign w:val="center"/>
                </w:tcPr>
                <w:p w14:paraId="48909F87">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HW49</w:t>
                  </w:r>
                </w:p>
              </w:tc>
              <w:tc>
                <w:tcPr>
                  <w:tcW w:w="0" w:type="auto"/>
                  <w:vAlign w:val="center"/>
                </w:tcPr>
                <w:p w14:paraId="479A939C">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eastAsia"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kern w:val="0"/>
                      <w:sz w:val="21"/>
                      <w:szCs w:val="21"/>
                      <w:lang w:val="en-US" w:eastAsia="zh-CN" w:bidi="ar-SA"/>
                    </w:rPr>
                    <w:t>900-041-49</w:t>
                  </w:r>
                </w:p>
              </w:tc>
              <w:tc>
                <w:tcPr>
                  <w:tcW w:w="0" w:type="auto"/>
                  <w:shd w:val="clear" w:color="auto" w:fill="auto"/>
                  <w:vAlign w:val="center"/>
                </w:tcPr>
                <w:p w14:paraId="1F55B4A2">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0.01</w:t>
                  </w:r>
                </w:p>
              </w:tc>
              <w:tc>
                <w:tcPr>
                  <w:tcW w:w="0" w:type="auto"/>
                  <w:shd w:val="clear" w:color="auto" w:fill="auto"/>
                  <w:vAlign w:val="center"/>
                </w:tcPr>
                <w:p w14:paraId="2459B1A3">
                  <w:pPr>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设备</w:t>
                  </w:r>
                </w:p>
                <w:p w14:paraId="01BFC2A7">
                  <w:pPr>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eastAsia"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维护</w:t>
                  </w:r>
                </w:p>
              </w:tc>
              <w:tc>
                <w:tcPr>
                  <w:tcW w:w="0" w:type="auto"/>
                  <w:vAlign w:val="center"/>
                </w:tcPr>
                <w:p w14:paraId="5C7DB5B3">
                  <w:pPr>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固态</w:t>
                  </w:r>
                </w:p>
              </w:tc>
              <w:tc>
                <w:tcPr>
                  <w:tcW w:w="0" w:type="auto"/>
                  <w:vAlign w:val="center"/>
                </w:tcPr>
                <w:p w14:paraId="35A682CB">
                  <w:pPr>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T/In</w:t>
                  </w:r>
                </w:p>
              </w:tc>
              <w:tc>
                <w:tcPr>
                  <w:tcW w:w="593" w:type="pct"/>
                  <w:vMerge w:val="continue"/>
                  <w:vAlign w:val="center"/>
                </w:tcPr>
                <w:p w14:paraId="76D93898">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p>
              </w:tc>
            </w:tr>
            <w:tr w14:paraId="67885B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720" w:type="pct"/>
                  <w:shd w:val="clear" w:color="auto" w:fill="auto"/>
                  <w:vAlign w:val="center"/>
                </w:tcPr>
                <w:p w14:paraId="4C2C36A9">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废滤芯</w:t>
                  </w:r>
                </w:p>
              </w:tc>
              <w:tc>
                <w:tcPr>
                  <w:tcW w:w="519" w:type="pct"/>
                  <w:shd w:val="clear" w:color="auto" w:fill="auto"/>
                  <w:vAlign w:val="center"/>
                </w:tcPr>
                <w:p w14:paraId="0C685AA7">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eastAsia"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HW49</w:t>
                  </w:r>
                </w:p>
              </w:tc>
              <w:tc>
                <w:tcPr>
                  <w:tcW w:w="0" w:type="auto"/>
                  <w:shd w:val="clear" w:color="auto" w:fill="auto"/>
                  <w:vAlign w:val="center"/>
                </w:tcPr>
                <w:p w14:paraId="026EFF3F">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eastAsia"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kern w:val="0"/>
                      <w:sz w:val="21"/>
                      <w:szCs w:val="21"/>
                      <w:lang w:val="en-US" w:eastAsia="zh-CN" w:bidi="ar-SA"/>
                    </w:rPr>
                    <w:t>900-041-49</w:t>
                  </w:r>
                </w:p>
              </w:tc>
              <w:tc>
                <w:tcPr>
                  <w:tcW w:w="0" w:type="auto"/>
                  <w:shd w:val="clear" w:color="auto" w:fill="auto"/>
                  <w:vAlign w:val="center"/>
                </w:tcPr>
                <w:p w14:paraId="1500104C">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eastAsia="宋体" w:cs="Times New Roman"/>
                      <w:b w:val="0"/>
                      <w:bCs/>
                      <w:sz w:val="21"/>
                      <w:szCs w:val="21"/>
                      <w:lang w:val="en-US" w:eastAsia="zh-CN"/>
                    </w:rPr>
                  </w:pPr>
                  <w:r>
                    <w:rPr>
                      <w:rFonts w:hint="eastAsia" w:eastAsia="宋体" w:cs="Times New Roman"/>
                      <w:b w:val="0"/>
                      <w:bCs/>
                      <w:sz w:val="21"/>
                      <w:szCs w:val="21"/>
                      <w:lang w:val="en-US" w:eastAsia="zh-CN"/>
                    </w:rPr>
                    <w:t>0.03</w:t>
                  </w:r>
                </w:p>
              </w:tc>
              <w:tc>
                <w:tcPr>
                  <w:tcW w:w="0" w:type="auto"/>
                  <w:shd w:val="clear" w:color="auto" w:fill="auto"/>
                  <w:vAlign w:val="center"/>
                </w:tcPr>
                <w:p w14:paraId="7A695D02">
                  <w:pPr>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w:t>
                  </w:r>
                </w:p>
              </w:tc>
              <w:tc>
                <w:tcPr>
                  <w:tcW w:w="0" w:type="auto"/>
                  <w:shd w:val="clear" w:color="auto" w:fill="auto"/>
                  <w:vAlign w:val="center"/>
                </w:tcPr>
                <w:p w14:paraId="545B4F2B">
                  <w:pPr>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sz w:val="21"/>
                      <w:szCs w:val="21"/>
                      <w:lang w:val="en-US" w:eastAsia="zh-CN"/>
                    </w:rPr>
                    <w:t>固态</w:t>
                  </w:r>
                </w:p>
              </w:tc>
              <w:tc>
                <w:tcPr>
                  <w:tcW w:w="0" w:type="auto"/>
                  <w:shd w:val="clear" w:color="auto" w:fill="auto"/>
                  <w:vAlign w:val="center"/>
                </w:tcPr>
                <w:p w14:paraId="2CD28082">
                  <w:pPr>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sz w:val="21"/>
                      <w:szCs w:val="21"/>
                      <w:lang w:val="en-US" w:eastAsia="zh-CN"/>
                    </w:rPr>
                    <w:t>T/In</w:t>
                  </w:r>
                </w:p>
              </w:tc>
              <w:tc>
                <w:tcPr>
                  <w:tcW w:w="593" w:type="pct"/>
                  <w:vAlign w:val="center"/>
                </w:tcPr>
                <w:p w14:paraId="5B32FD5D">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jc w:val="center"/>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由厂家更换带走</w:t>
                  </w:r>
                </w:p>
              </w:tc>
            </w:tr>
          </w:tbl>
          <w:p w14:paraId="7B338C1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w:t>
            </w:r>
            <w:r>
              <w:rPr>
                <w:rFonts w:hint="default" w:ascii="Times New Roman" w:hAnsi="Times New Roman" w:eastAsia="宋体" w:cs="Times New Roman"/>
                <w:sz w:val="24"/>
                <w:lang w:val="en-US" w:eastAsia="zh-CN"/>
              </w:rPr>
              <w:t>、</w:t>
            </w:r>
            <w:r>
              <w:rPr>
                <w:rFonts w:hint="default" w:ascii="Times New Roman" w:hAnsi="Times New Roman" w:eastAsia="宋体" w:cs="Times New Roman"/>
                <w:sz w:val="24"/>
              </w:rPr>
              <w:t>固体废物的</w:t>
            </w:r>
            <w:r>
              <w:rPr>
                <w:rFonts w:hint="eastAsia" w:ascii="Times New Roman" w:hAnsi="Times New Roman" w:eastAsia="宋体" w:cs="Times New Roman"/>
                <w:sz w:val="24"/>
                <w:lang w:val="en-US" w:eastAsia="zh-CN"/>
              </w:rPr>
              <w:t>暂存及处置</w:t>
            </w:r>
          </w:p>
          <w:p w14:paraId="35CFFA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sz w:val="24"/>
                <w:lang w:val="en-US" w:eastAsia="zh-CN"/>
              </w:rPr>
            </w:pPr>
            <w:r>
              <w:rPr>
                <w:rFonts w:hint="default" w:ascii="Times New Roman" w:hAnsi="Times New Roman" w:eastAsia="宋体" w:cs="Times New Roman"/>
                <w:sz w:val="24"/>
              </w:rPr>
              <w:t>本项目产生的固废主要是生活垃圾</w:t>
            </w:r>
            <w:r>
              <w:rPr>
                <w:rFonts w:hint="eastAsia" w:ascii="Times New Roman" w:hAnsi="Times New Roman" w:eastAsia="宋体" w:cs="Times New Roman"/>
                <w:sz w:val="24"/>
                <w:lang w:eastAsia="zh-CN"/>
              </w:rPr>
              <w:t>、</w:t>
            </w:r>
            <w:r>
              <w:rPr>
                <w:rFonts w:hint="default" w:ascii="Times New Roman" w:hAnsi="Times New Roman" w:eastAsia="宋体" w:cs="Times New Roman"/>
                <w:sz w:val="24"/>
              </w:rPr>
              <w:t>废外包装材料</w:t>
            </w:r>
            <w:r>
              <w:rPr>
                <w:rFonts w:hint="eastAsia" w:ascii="Times New Roman" w:hAnsi="Times New Roman" w:eastAsia="宋体" w:cs="Times New Roman"/>
                <w:sz w:val="24"/>
                <w:lang w:eastAsia="zh-CN"/>
              </w:rPr>
              <w:t>、</w:t>
            </w:r>
            <w:r>
              <w:rPr>
                <w:rFonts w:hint="default" w:ascii="Times New Roman" w:hAnsi="Times New Roman" w:eastAsia="宋体" w:cs="Times New Roman"/>
                <w:sz w:val="24"/>
              </w:rPr>
              <w:t>锡渣</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除尘器捕捉粉尘、</w:t>
            </w:r>
            <w:r>
              <w:rPr>
                <w:rFonts w:hint="eastAsia" w:ascii="Times New Roman" w:hAnsi="Times New Roman" w:eastAsia="宋体" w:cs="Times New Roman"/>
                <w:sz w:val="24"/>
                <w:lang w:eastAsia="zh-CN"/>
              </w:rPr>
              <w:t>废电路板、</w:t>
            </w:r>
            <w:r>
              <w:rPr>
                <w:rFonts w:hint="default" w:ascii="Times New Roman" w:hAnsi="Times New Roman" w:eastAsia="宋体" w:cs="Times New Roman"/>
                <w:sz w:val="24"/>
              </w:rPr>
              <w:t>废辅料包装材料</w:t>
            </w:r>
            <w:r>
              <w:rPr>
                <w:rFonts w:hint="eastAsia" w:ascii="Times New Roman" w:hAnsi="Times New Roman" w:eastAsia="宋体" w:cs="Times New Roman"/>
                <w:sz w:val="24"/>
                <w:lang w:eastAsia="zh-CN"/>
              </w:rPr>
              <w:t>、</w:t>
            </w:r>
            <w:r>
              <w:rPr>
                <w:rFonts w:hint="default" w:ascii="Times New Roman" w:hAnsi="Times New Roman" w:eastAsia="宋体" w:cs="Times New Roman"/>
                <w:sz w:val="24"/>
              </w:rPr>
              <w:t>废</w:t>
            </w:r>
            <w:r>
              <w:rPr>
                <w:rFonts w:hint="eastAsia" w:ascii="Times New Roman" w:hAnsi="Times New Roman" w:eastAsia="宋体" w:cs="Times New Roman"/>
                <w:sz w:val="24"/>
                <w:lang w:eastAsia="zh-CN"/>
              </w:rPr>
              <w:t>擦拭布、</w:t>
            </w:r>
            <w:r>
              <w:rPr>
                <w:rFonts w:hint="default" w:ascii="Times New Roman" w:hAnsi="Times New Roman" w:eastAsia="宋体" w:cs="Times New Roman"/>
                <w:sz w:val="24"/>
              </w:rPr>
              <w:t>废活性炭</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废滤芯、废机油、废机油桶、</w:t>
            </w:r>
            <w:r>
              <w:rPr>
                <w:rFonts w:hint="default" w:ascii="Times New Roman" w:hAnsi="Times New Roman" w:eastAsia="宋体" w:cs="Times New Roman"/>
                <w:sz w:val="24"/>
              </w:rPr>
              <w:t>废含油抹布手套等。</w:t>
            </w:r>
            <w:r>
              <w:rPr>
                <w:rFonts w:hint="eastAsia" w:ascii="Times New Roman" w:hAnsi="Times New Roman" w:eastAsia="宋体" w:cs="Times New Roman"/>
                <w:sz w:val="24"/>
                <w:lang w:val="en-US" w:eastAsia="zh-CN"/>
              </w:rPr>
              <w:t>生活垃圾经集中收集后交由环卫部门清运。</w:t>
            </w:r>
            <w:r>
              <w:rPr>
                <w:rFonts w:hint="default" w:ascii="Times New Roman" w:hAnsi="Times New Roman" w:eastAsia="宋体" w:cs="Times New Roman"/>
                <w:sz w:val="24"/>
              </w:rPr>
              <w:t>废外包装材料、锡渣</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除尘器捕捉粉尘</w:t>
            </w:r>
            <w:r>
              <w:rPr>
                <w:rFonts w:hint="eastAsia" w:ascii="Times New Roman" w:hAnsi="Times New Roman" w:eastAsia="宋体" w:cs="Times New Roman"/>
                <w:sz w:val="24"/>
                <w:lang w:eastAsia="zh-CN"/>
              </w:rPr>
              <w:t>集中收集后外售。废滤芯由厂家更换带走。废电路板</w:t>
            </w:r>
            <w:r>
              <w:rPr>
                <w:rFonts w:hint="default" w:ascii="Times New Roman" w:hAnsi="Times New Roman" w:eastAsia="宋体" w:cs="Times New Roman"/>
                <w:sz w:val="24"/>
              </w:rPr>
              <w:t>、</w:t>
            </w:r>
            <w:r>
              <w:rPr>
                <w:rFonts w:hint="eastAsia" w:ascii="Times New Roman" w:hAnsi="Times New Roman" w:eastAsia="宋体" w:cs="Times New Roman"/>
                <w:sz w:val="24"/>
                <w:lang w:eastAsia="zh-CN"/>
              </w:rPr>
              <w:t>废</w:t>
            </w:r>
            <w:r>
              <w:rPr>
                <w:rFonts w:hint="eastAsia" w:ascii="Times New Roman" w:hAnsi="Times New Roman" w:eastAsia="宋体" w:cs="Times New Roman"/>
                <w:sz w:val="24"/>
                <w:lang w:val="en-US" w:eastAsia="zh-CN"/>
              </w:rPr>
              <w:t>辅料包装材料</w:t>
            </w:r>
            <w:r>
              <w:rPr>
                <w:rFonts w:hint="default" w:ascii="Times New Roman" w:hAnsi="Times New Roman" w:eastAsia="宋体" w:cs="Times New Roman"/>
                <w:sz w:val="24"/>
              </w:rPr>
              <w:t>、废</w:t>
            </w:r>
            <w:r>
              <w:rPr>
                <w:rFonts w:hint="eastAsia" w:ascii="Times New Roman" w:hAnsi="Times New Roman" w:eastAsia="宋体" w:cs="Times New Roman"/>
                <w:sz w:val="24"/>
                <w:lang w:eastAsia="zh-CN"/>
              </w:rPr>
              <w:t>擦拭布</w:t>
            </w:r>
            <w:r>
              <w:rPr>
                <w:rFonts w:hint="default" w:ascii="Times New Roman" w:hAnsi="Times New Roman" w:eastAsia="宋体" w:cs="Times New Roman"/>
                <w:sz w:val="24"/>
              </w:rPr>
              <w:t>、废活性炭</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废机油、废机油桶、</w:t>
            </w:r>
            <w:r>
              <w:rPr>
                <w:rFonts w:hint="default" w:ascii="Times New Roman" w:hAnsi="Times New Roman" w:eastAsia="宋体" w:cs="Times New Roman"/>
                <w:sz w:val="24"/>
              </w:rPr>
              <w:t>废含油抹布手套</w:t>
            </w:r>
            <w:r>
              <w:rPr>
                <w:rFonts w:hint="eastAsia" w:ascii="Times New Roman" w:hAnsi="Times New Roman" w:eastAsia="宋体" w:cs="Times New Roman"/>
                <w:sz w:val="24"/>
                <w:lang w:eastAsia="zh-CN"/>
              </w:rPr>
              <w:t>集中收集后置于</w:t>
            </w:r>
            <w:r>
              <w:rPr>
                <w:rFonts w:hint="eastAsia" w:ascii="Times New Roman" w:hAnsi="Times New Roman" w:cs="Times New Roman"/>
                <w:color w:val="000000"/>
                <w:spacing w:val="-1"/>
                <w:sz w:val="24"/>
              </w:rPr>
              <w:t>危废贮存点</w:t>
            </w:r>
            <w:r>
              <w:rPr>
                <w:rFonts w:hint="eastAsia" w:ascii="Times New Roman" w:hAnsi="Times New Roman" w:eastAsia="宋体" w:cs="Times New Roman"/>
                <w:sz w:val="24"/>
                <w:lang w:eastAsia="zh-CN"/>
              </w:rPr>
              <w:t>，定期委托有资质的单位进行处置。</w:t>
            </w:r>
            <w:r>
              <w:rPr>
                <w:rFonts w:hint="eastAsia" w:ascii="Times New Roman" w:hAnsi="Times New Roman" w:eastAsia="宋体" w:cs="Times New Roman"/>
                <w:sz w:val="24"/>
                <w:lang w:val="en-US" w:eastAsia="zh-CN"/>
              </w:rPr>
              <w:t>本项目在库房西北侧设置10m</w:t>
            </w:r>
            <w:r>
              <w:rPr>
                <w:rFonts w:hint="eastAsia" w:ascii="Times New Roman" w:hAnsi="Times New Roman" w:eastAsia="宋体" w:cs="Times New Roman"/>
                <w:sz w:val="24"/>
                <w:vertAlign w:val="superscript"/>
                <w:lang w:val="en-US" w:eastAsia="zh-CN"/>
              </w:rPr>
              <w:t>2</w:t>
            </w:r>
            <w:r>
              <w:rPr>
                <w:rFonts w:hint="eastAsia" w:ascii="Times New Roman" w:hAnsi="Times New Roman" w:eastAsia="宋体" w:cs="Times New Roman"/>
                <w:sz w:val="24"/>
                <w:lang w:val="en-US" w:eastAsia="zh-CN"/>
              </w:rPr>
              <w:t>的</w:t>
            </w:r>
            <w:r>
              <w:rPr>
                <w:rFonts w:hint="default" w:ascii="Times New Roman" w:hAnsi="Times New Roman" w:eastAsia="宋体" w:cs="Times New Roman"/>
                <w:sz w:val="24"/>
              </w:rPr>
              <w:t>一般固废暂存</w:t>
            </w:r>
            <w:r>
              <w:rPr>
                <w:rFonts w:hint="eastAsia" w:ascii="Times New Roman" w:hAnsi="Times New Roman" w:eastAsia="宋体" w:cs="Times New Roman"/>
                <w:sz w:val="24"/>
                <w:lang w:val="en-US" w:eastAsia="zh-CN"/>
              </w:rPr>
              <w:t>点，在库房东北侧设置15m</w:t>
            </w:r>
            <w:r>
              <w:rPr>
                <w:rFonts w:hint="eastAsia" w:ascii="Times New Roman" w:hAnsi="Times New Roman" w:eastAsia="宋体" w:cs="Times New Roman"/>
                <w:sz w:val="24"/>
                <w:vertAlign w:val="superscript"/>
                <w:lang w:val="en-US" w:eastAsia="zh-CN"/>
              </w:rPr>
              <w:t>2</w:t>
            </w:r>
            <w:r>
              <w:rPr>
                <w:rFonts w:hint="eastAsia" w:ascii="Times New Roman" w:hAnsi="Times New Roman" w:eastAsia="宋体" w:cs="Times New Roman"/>
                <w:sz w:val="24"/>
                <w:lang w:val="en-US" w:eastAsia="zh-CN"/>
              </w:rPr>
              <w:t>的危废贮存点。</w:t>
            </w:r>
          </w:p>
          <w:p w14:paraId="681DA1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（1）一般固废暂存</w:t>
            </w:r>
            <w:r>
              <w:rPr>
                <w:rFonts w:hint="eastAsia" w:ascii="Times New Roman" w:hAnsi="Times New Roman" w:eastAsia="宋体" w:cs="Times New Roman"/>
                <w:sz w:val="24"/>
                <w:lang w:val="en-US" w:eastAsia="zh-CN"/>
              </w:rPr>
              <w:t>点</w:t>
            </w:r>
            <w:r>
              <w:rPr>
                <w:rFonts w:hint="default" w:ascii="Times New Roman" w:hAnsi="Times New Roman" w:eastAsia="宋体" w:cs="Times New Roman"/>
                <w:sz w:val="24"/>
              </w:rPr>
              <w:t>要求</w:t>
            </w:r>
          </w:p>
          <w:p w14:paraId="693CE3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必须按照《一般工业固体废物贮存、处置场污染控制标准》（GB18599-2020）有关要求设置贮存场所，严禁乱堆乱放和随便倾倒，本项目一般固废设置于</w:t>
            </w:r>
            <w:r>
              <w:rPr>
                <w:rFonts w:hint="eastAsia" w:ascii="Times New Roman" w:hAnsi="Times New Roman" w:eastAsia="宋体" w:cs="Times New Roman"/>
                <w:sz w:val="24"/>
                <w:lang w:val="en-US" w:eastAsia="zh-CN"/>
              </w:rPr>
              <w:t>库房</w:t>
            </w:r>
            <w:r>
              <w:rPr>
                <w:rFonts w:hint="default" w:ascii="Times New Roman" w:hAnsi="Times New Roman" w:eastAsia="宋体" w:cs="Times New Roman"/>
                <w:sz w:val="24"/>
              </w:rPr>
              <w:t>中。固废在运输过程中要防止散落地面，以免产生二次污染。</w:t>
            </w:r>
          </w:p>
          <w:p w14:paraId="5983A7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（2）</w:t>
            </w:r>
            <w:r>
              <w:rPr>
                <w:rFonts w:hint="eastAsia" w:ascii="Times New Roman" w:hAnsi="Times New Roman" w:eastAsia="宋体" w:cs="Times New Roman"/>
                <w:sz w:val="24"/>
                <w:lang w:val="en-US" w:eastAsia="zh-CN"/>
              </w:rPr>
              <w:t>危废贮存点</w:t>
            </w:r>
            <w:r>
              <w:rPr>
                <w:rFonts w:hint="default" w:ascii="Times New Roman" w:hAnsi="Times New Roman" w:eastAsia="宋体" w:cs="Times New Roman"/>
                <w:sz w:val="24"/>
              </w:rPr>
              <w:t>要求</w:t>
            </w:r>
          </w:p>
          <w:p w14:paraId="182D338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①厂内转运过程的污染防治措施</w:t>
            </w:r>
          </w:p>
          <w:p w14:paraId="097935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危险废物产生后立即放入专门承装危险废物的容器中，由带有防漏托盘的容器用拖车转运至</w:t>
            </w:r>
            <w:r>
              <w:rPr>
                <w:rFonts w:hint="eastAsia" w:ascii="Times New Roman" w:hAnsi="Times New Roman" w:eastAsia="宋体" w:cs="Times New Roman"/>
                <w:sz w:val="24"/>
                <w:lang w:val="en-US" w:eastAsia="zh-CN"/>
              </w:rPr>
              <w:t>危废贮存点</w:t>
            </w:r>
            <w:r>
              <w:rPr>
                <w:rFonts w:hint="default" w:ascii="Times New Roman" w:hAnsi="Times New Roman" w:eastAsia="宋体" w:cs="Times New Roman"/>
                <w:sz w:val="24"/>
              </w:rPr>
              <w:t>内，同时加强对危废管理人员的培训。防止危废厂内转运过程发生散落等情况。</w:t>
            </w:r>
          </w:p>
          <w:p w14:paraId="68ABF3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②</w:t>
            </w:r>
            <w:r>
              <w:rPr>
                <w:rFonts w:hint="eastAsia" w:ascii="Times New Roman" w:hAnsi="Times New Roman" w:eastAsia="宋体" w:cs="Times New Roman"/>
                <w:sz w:val="24"/>
                <w:lang w:val="en-US" w:eastAsia="zh-CN"/>
              </w:rPr>
              <w:t>危废贮存点</w:t>
            </w:r>
            <w:r>
              <w:rPr>
                <w:rFonts w:hint="default" w:ascii="Times New Roman" w:hAnsi="Times New Roman" w:eastAsia="宋体" w:cs="Times New Roman"/>
                <w:sz w:val="24"/>
              </w:rPr>
              <w:t>污染防治措施</w:t>
            </w:r>
          </w:p>
          <w:p w14:paraId="693DCB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eastAsia" w:ascii="Times New Roman" w:hAnsi="Times New Roman" w:eastAsia="宋体" w:cs="Times New Roman"/>
                <w:sz w:val="24"/>
                <w:lang w:val="en-US" w:eastAsia="zh-CN"/>
              </w:rPr>
              <w:t>危废贮存点</w:t>
            </w:r>
            <w:r>
              <w:rPr>
                <w:rFonts w:hint="default" w:ascii="Times New Roman" w:hAnsi="Times New Roman" w:eastAsia="宋体" w:cs="Times New Roman"/>
                <w:sz w:val="24"/>
              </w:rPr>
              <w:t>建设需根据《危险废物贮存污染控制标准》（GB18597-2023）中的相关规定建设。</w:t>
            </w:r>
            <w:r>
              <w:rPr>
                <w:rFonts w:hint="eastAsia" w:ascii="Times New Roman" w:hAnsi="Times New Roman" w:eastAsia="宋体" w:cs="Times New Roman"/>
                <w:sz w:val="24"/>
                <w:lang w:val="en-US" w:eastAsia="zh-CN"/>
              </w:rPr>
              <w:t>根据</w:t>
            </w:r>
            <w:r>
              <w:rPr>
                <w:rFonts w:hint="eastAsia" w:ascii="Times New Roman" w:hAnsi="Times New Roman" w:eastAsia="宋体" w:cs="Times New Roman"/>
                <w:sz w:val="24"/>
              </w:rPr>
              <w:t>《中华人民共和国固体废物污染环境防治法》</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rPr>
              <w:t> 中华人民共和国主席令（第四十三号）</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从事收集、贮存、利用、处置危险废物经营活动的单位，贮存危险废物不得超过一年</w:t>
            </w:r>
            <w:r>
              <w:rPr>
                <w:rFonts w:hint="eastAsia"/>
                <w:lang w:eastAsia="zh-CN"/>
              </w:rPr>
              <w:t>，</w:t>
            </w:r>
            <w:r>
              <w:rPr>
                <w:rFonts w:hint="default" w:ascii="Times New Roman" w:hAnsi="Times New Roman" w:eastAsia="宋体" w:cs="Times New Roman"/>
                <w:sz w:val="24"/>
              </w:rPr>
              <w:t>危险废物应尽快送往委托单位处理</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危废贮存点</w:t>
            </w:r>
            <w:r>
              <w:rPr>
                <w:rFonts w:hint="default" w:ascii="Times New Roman" w:hAnsi="Times New Roman" w:eastAsia="宋体" w:cs="Times New Roman"/>
                <w:sz w:val="24"/>
              </w:rPr>
              <w:t>应做到以下几点：</w:t>
            </w:r>
          </w:p>
          <w:p w14:paraId="5D7CF9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eastAsia" w:ascii="Times New Roman" w:hAnsi="Times New Roman" w:eastAsia="宋体" w:cs="Times New Roman"/>
                <w:sz w:val="24"/>
                <w:lang w:val="en-US" w:eastAsia="zh-CN"/>
              </w:rPr>
              <w:t>A.</w:t>
            </w:r>
            <w:r>
              <w:rPr>
                <w:rFonts w:hint="default" w:ascii="Times New Roman" w:hAnsi="Times New Roman" w:eastAsia="宋体" w:cs="Times New Roman"/>
                <w:sz w:val="24"/>
              </w:rPr>
              <w:t>贮存点应具有固定的区域边界，并应采取与其他区域进行隔离的措施。</w:t>
            </w:r>
          </w:p>
          <w:p w14:paraId="09971F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eastAsia" w:ascii="Times New Roman" w:hAnsi="Times New Roman" w:eastAsia="宋体" w:cs="Times New Roman"/>
                <w:sz w:val="24"/>
                <w:lang w:val="en-US" w:eastAsia="zh-CN"/>
              </w:rPr>
              <w:t>B.</w:t>
            </w:r>
            <w:r>
              <w:rPr>
                <w:rFonts w:hint="default" w:ascii="Times New Roman" w:hAnsi="Times New Roman" w:eastAsia="宋体" w:cs="Times New Roman"/>
                <w:sz w:val="24"/>
              </w:rPr>
              <w:t>贮存点应采取防风、防雨、防晒和防止危险废物流失、扬散等措施。</w:t>
            </w:r>
          </w:p>
          <w:p w14:paraId="7A949CB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eastAsia" w:ascii="Times New Roman" w:hAnsi="Times New Roman" w:eastAsia="宋体" w:cs="Times New Roman"/>
                <w:sz w:val="24"/>
                <w:lang w:val="en-US" w:eastAsia="zh-CN"/>
              </w:rPr>
              <w:t>C.</w:t>
            </w:r>
            <w:r>
              <w:rPr>
                <w:rFonts w:hint="default" w:ascii="Times New Roman" w:hAnsi="Times New Roman" w:eastAsia="宋体" w:cs="Times New Roman"/>
                <w:sz w:val="24"/>
              </w:rPr>
              <w:t>贮存点贮存的危险废物应置于容器或包装物中，不应直接散堆。</w:t>
            </w:r>
          </w:p>
          <w:p w14:paraId="4C5ED04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eastAsia" w:ascii="Times New Roman" w:hAnsi="Times New Roman" w:eastAsia="宋体" w:cs="Times New Roman"/>
                <w:sz w:val="24"/>
                <w:lang w:val="en-US" w:eastAsia="zh-CN"/>
              </w:rPr>
              <w:t>D.</w:t>
            </w:r>
            <w:r>
              <w:rPr>
                <w:rFonts w:hint="default" w:ascii="Times New Roman" w:hAnsi="Times New Roman" w:eastAsia="宋体" w:cs="Times New Roman"/>
                <w:sz w:val="24"/>
              </w:rPr>
              <w:t>贮存点应根据危险废物的形态、物理化学性质、包装形式等，采取防渗、防漏等污染防治措施或采用具有相应功能的装置。</w:t>
            </w:r>
          </w:p>
          <w:p w14:paraId="03D145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eastAsia" w:ascii="Times New Roman" w:hAnsi="Times New Roman" w:eastAsia="宋体" w:cs="Times New Roman"/>
                <w:sz w:val="24"/>
                <w:lang w:val="en-US" w:eastAsia="zh-CN"/>
              </w:rPr>
              <w:t>E.</w:t>
            </w:r>
            <w:r>
              <w:rPr>
                <w:rFonts w:hint="default" w:ascii="Times New Roman" w:hAnsi="Times New Roman" w:eastAsia="宋体" w:cs="Times New Roman"/>
                <w:sz w:val="24"/>
              </w:rPr>
              <w:t>贮存点应及时清运贮存的危险废物，实时贮存量不应超过</w:t>
            </w:r>
            <w:r>
              <w:rPr>
                <w:rFonts w:hint="eastAsia" w:ascii="Times New Roman" w:hAnsi="Times New Roman" w:eastAsia="宋体" w:cs="Times New Roman"/>
                <w:sz w:val="24"/>
                <w:lang w:val="en-US" w:eastAsia="zh-CN"/>
              </w:rPr>
              <w:t>3</w:t>
            </w:r>
            <w:r>
              <w:rPr>
                <w:rFonts w:hint="default" w:ascii="Times New Roman" w:hAnsi="Times New Roman" w:eastAsia="宋体" w:cs="Times New Roman"/>
                <w:sz w:val="24"/>
              </w:rPr>
              <w:t>吨。</w:t>
            </w:r>
          </w:p>
          <w:p w14:paraId="20CE21A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建设项目危废贮存点基本情况见表4-</w:t>
            </w:r>
            <w:r>
              <w:rPr>
                <w:rFonts w:hint="eastAsia" w:ascii="Times New Roman" w:hAnsi="Times New Roman" w:eastAsia="宋体" w:cs="Times New Roman"/>
                <w:sz w:val="24"/>
                <w:lang w:val="en-US" w:eastAsia="zh-CN"/>
              </w:rPr>
              <w:t>16</w:t>
            </w:r>
            <w:r>
              <w:rPr>
                <w:rFonts w:hint="default" w:ascii="Times New Roman" w:hAnsi="Times New Roman" w:eastAsia="宋体" w:cs="Times New Roman"/>
                <w:sz w:val="24"/>
              </w:rPr>
              <w:t>。</w:t>
            </w:r>
          </w:p>
          <w:p w14:paraId="42EFA2D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黑体" w:cs="Times New Roman"/>
                <w:sz w:val="21"/>
                <w:szCs w:val="21"/>
              </w:rPr>
            </w:pPr>
            <w:r>
              <w:rPr>
                <w:rFonts w:hint="default" w:ascii="Times New Roman" w:hAnsi="Times New Roman" w:eastAsia="黑体" w:cs="Times New Roman"/>
                <w:sz w:val="21"/>
                <w:szCs w:val="21"/>
              </w:rPr>
              <w:t>表4-</w:t>
            </w:r>
            <w:r>
              <w:rPr>
                <w:rFonts w:hint="eastAsia" w:ascii="Times New Roman" w:hAnsi="Times New Roman" w:eastAsia="黑体" w:cs="Times New Roman"/>
                <w:sz w:val="21"/>
                <w:szCs w:val="21"/>
                <w:lang w:val="en-US" w:eastAsia="zh-CN"/>
              </w:rPr>
              <w:t>16</w:t>
            </w:r>
            <w:r>
              <w:rPr>
                <w:rFonts w:hint="default" w:ascii="Times New Roman" w:hAnsi="Times New Roman" w:eastAsia="黑体" w:cs="Times New Roman"/>
                <w:sz w:val="21"/>
                <w:szCs w:val="21"/>
              </w:rPr>
              <w:t xml:space="preserve"> 建设项目危险废物贮存场所（设施）基本情况表</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3"/>
              <w:gridCol w:w="969"/>
              <w:gridCol w:w="879"/>
              <w:gridCol w:w="1623"/>
              <w:gridCol w:w="819"/>
              <w:gridCol w:w="819"/>
              <w:gridCol w:w="821"/>
              <w:gridCol w:w="821"/>
              <w:gridCol w:w="821"/>
            </w:tblGrid>
            <w:tr w14:paraId="27B84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37BD2FD5">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序号</w:t>
                  </w:r>
                </w:p>
              </w:tc>
              <w:tc>
                <w:tcPr>
                  <w:tcW w:w="593" w:type="pct"/>
                  <w:vAlign w:val="center"/>
                </w:tcPr>
                <w:p w14:paraId="32F61417">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t>贮存场所名称</w:t>
                  </w:r>
                </w:p>
              </w:tc>
              <w:tc>
                <w:tcPr>
                  <w:tcW w:w="538" w:type="pct"/>
                  <w:vAlign w:val="center"/>
                </w:tcPr>
                <w:p w14:paraId="5406385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t>危险废物名称</w:t>
                  </w:r>
                </w:p>
              </w:tc>
              <w:tc>
                <w:tcPr>
                  <w:tcW w:w="993" w:type="pct"/>
                  <w:shd w:val="clear" w:color="auto" w:fill="auto"/>
                  <w:vAlign w:val="center"/>
                </w:tcPr>
                <w:p w14:paraId="32274711">
                  <w:pPr>
                    <w:keepNext w:val="0"/>
                    <w:keepLines w:val="0"/>
                    <w:pageBreakBefore w:val="0"/>
                    <w:widowControl w:val="0"/>
                    <w:kinsoku/>
                    <w:wordWrap/>
                    <w:overflowPunct/>
                    <w:topLinePunct/>
                    <w:autoSpaceDE/>
                    <w:autoSpaceDN/>
                    <w:bidi w:val="0"/>
                    <w:adjustRightInd w:val="0"/>
                    <w:snapToGrid w:val="0"/>
                    <w:ind w:left="0" w:leftChars="0"/>
                    <w:jc w:val="center"/>
                    <w:rPr>
                      <w:rFonts w:hint="default" w:asciiTheme="minorHAnsi" w:hAnsiTheme="minorHAnsi" w:eastAsiaTheme="minorEastAsia" w:cstheme="minorBidi"/>
                      <w:b w:val="0"/>
                      <w:bCs/>
                      <w:color w:val="000000" w:themeColor="text1"/>
                      <w:kern w:val="0"/>
                      <w:sz w:val="21"/>
                      <w:szCs w:val="21"/>
                      <w:lang w:val="en-US" w:eastAsia="zh-CN" w:bidi="ar-SA"/>
                      <w14:textFill>
                        <w14:solidFill>
                          <w14:schemeClr w14:val="tx1"/>
                        </w14:solidFill>
                      </w14:textFill>
                    </w:rPr>
                  </w:pPr>
                  <w:r>
                    <w:rPr>
                      <w:b w:val="0"/>
                      <w:bCs/>
                      <w:color w:val="000000" w:themeColor="text1"/>
                      <w:kern w:val="0"/>
                      <w:sz w:val="21"/>
                      <w:szCs w:val="21"/>
                      <w14:textFill>
                        <w14:solidFill>
                          <w14:schemeClr w14:val="tx1"/>
                        </w14:solidFill>
                      </w14:textFill>
                    </w:rPr>
                    <w:t>危险废物类别及代码</w:t>
                  </w:r>
                </w:p>
              </w:tc>
              <w:tc>
                <w:tcPr>
                  <w:tcW w:w="501" w:type="pct"/>
                  <w:shd w:val="clear" w:color="auto" w:fill="auto"/>
                  <w:vAlign w:val="center"/>
                </w:tcPr>
                <w:p w14:paraId="36E541F9">
                  <w:pPr>
                    <w:keepNext w:val="0"/>
                    <w:keepLines w:val="0"/>
                    <w:pageBreakBefore w:val="0"/>
                    <w:widowControl w:val="0"/>
                    <w:kinsoku/>
                    <w:wordWrap/>
                    <w:overflowPunct/>
                    <w:topLinePunct/>
                    <w:autoSpaceDE/>
                    <w:autoSpaceDN/>
                    <w:bidi w:val="0"/>
                    <w:adjustRightInd w:val="0"/>
                    <w:snapToGrid w:val="0"/>
                    <w:ind w:left="0" w:leftChars="0"/>
                    <w:jc w:val="center"/>
                    <w:rPr>
                      <w:rFonts w:hint="default" w:asciiTheme="minorHAnsi" w:hAnsiTheme="minorHAnsi" w:eastAsiaTheme="minorEastAsia" w:cstheme="minorBidi"/>
                      <w:b w:val="0"/>
                      <w:bCs/>
                      <w:color w:val="000000" w:themeColor="text1"/>
                      <w:kern w:val="0"/>
                      <w:sz w:val="21"/>
                      <w:szCs w:val="21"/>
                      <w:lang w:val="en-US" w:eastAsia="zh-CN" w:bidi="ar-SA"/>
                      <w14:textFill>
                        <w14:solidFill>
                          <w14:schemeClr w14:val="tx1"/>
                        </w14:solidFill>
                      </w14:textFill>
                    </w:rPr>
                  </w:pPr>
                  <w:r>
                    <w:rPr>
                      <w:b w:val="0"/>
                      <w:bCs/>
                      <w:color w:val="000000" w:themeColor="text1"/>
                      <w:kern w:val="0"/>
                      <w:sz w:val="21"/>
                      <w:szCs w:val="21"/>
                      <w14:textFill>
                        <w14:solidFill>
                          <w14:schemeClr w14:val="tx1"/>
                        </w14:solidFill>
                      </w14:textFill>
                    </w:rPr>
                    <w:t>位置</w:t>
                  </w:r>
                </w:p>
              </w:tc>
              <w:tc>
                <w:tcPr>
                  <w:tcW w:w="501" w:type="pct"/>
                  <w:shd w:val="clear" w:color="auto" w:fill="auto"/>
                  <w:vAlign w:val="center"/>
                </w:tcPr>
                <w:p w14:paraId="468D8069">
                  <w:pPr>
                    <w:keepNext w:val="0"/>
                    <w:keepLines w:val="0"/>
                    <w:pageBreakBefore w:val="0"/>
                    <w:widowControl w:val="0"/>
                    <w:kinsoku/>
                    <w:wordWrap/>
                    <w:overflowPunct/>
                    <w:topLinePunct/>
                    <w:autoSpaceDE/>
                    <w:autoSpaceDN/>
                    <w:bidi w:val="0"/>
                    <w:adjustRightInd w:val="0"/>
                    <w:snapToGrid w:val="0"/>
                    <w:ind w:left="0" w:leftChars="0"/>
                    <w:jc w:val="center"/>
                    <w:rPr>
                      <w:rFonts w:hint="default" w:asciiTheme="minorHAnsi" w:hAnsiTheme="minorHAnsi" w:eastAsiaTheme="minorEastAsia" w:cstheme="minorBidi"/>
                      <w:b w:val="0"/>
                      <w:bCs/>
                      <w:color w:val="000000" w:themeColor="text1"/>
                      <w:kern w:val="0"/>
                      <w:sz w:val="21"/>
                      <w:szCs w:val="21"/>
                      <w:lang w:val="en-US" w:eastAsia="zh-CN" w:bidi="ar-SA"/>
                      <w14:textFill>
                        <w14:solidFill>
                          <w14:schemeClr w14:val="tx1"/>
                        </w14:solidFill>
                      </w14:textFill>
                    </w:rPr>
                  </w:pPr>
                  <w:r>
                    <w:rPr>
                      <w:b w:val="0"/>
                      <w:bCs/>
                      <w:color w:val="000000" w:themeColor="text1"/>
                      <w:kern w:val="0"/>
                      <w:sz w:val="21"/>
                      <w:szCs w:val="21"/>
                      <w14:textFill>
                        <w14:solidFill>
                          <w14:schemeClr w14:val="tx1"/>
                        </w14:solidFill>
                      </w14:textFill>
                    </w:rPr>
                    <w:t>占地面积</w:t>
                  </w:r>
                </w:p>
              </w:tc>
              <w:tc>
                <w:tcPr>
                  <w:tcW w:w="502" w:type="pct"/>
                  <w:shd w:val="clear" w:color="auto" w:fill="auto"/>
                  <w:vAlign w:val="center"/>
                </w:tcPr>
                <w:p w14:paraId="4984EBD0">
                  <w:pPr>
                    <w:keepNext w:val="0"/>
                    <w:keepLines w:val="0"/>
                    <w:pageBreakBefore w:val="0"/>
                    <w:widowControl w:val="0"/>
                    <w:kinsoku/>
                    <w:wordWrap/>
                    <w:overflowPunct/>
                    <w:topLinePunct/>
                    <w:autoSpaceDE/>
                    <w:autoSpaceDN/>
                    <w:bidi w:val="0"/>
                    <w:adjustRightInd w:val="0"/>
                    <w:snapToGrid w:val="0"/>
                    <w:ind w:left="0" w:leftChars="0"/>
                    <w:jc w:val="center"/>
                    <w:rPr>
                      <w:rFonts w:hint="default" w:asciiTheme="minorHAnsi" w:hAnsiTheme="minorHAnsi" w:eastAsiaTheme="minorEastAsia" w:cstheme="minorBidi"/>
                      <w:b w:val="0"/>
                      <w:bCs/>
                      <w:color w:val="000000" w:themeColor="text1"/>
                      <w:kern w:val="0"/>
                      <w:sz w:val="21"/>
                      <w:szCs w:val="21"/>
                      <w:lang w:val="en-US" w:eastAsia="zh-CN" w:bidi="ar-SA"/>
                      <w14:textFill>
                        <w14:solidFill>
                          <w14:schemeClr w14:val="tx1"/>
                        </w14:solidFill>
                      </w14:textFill>
                    </w:rPr>
                  </w:pPr>
                  <w:r>
                    <w:rPr>
                      <w:b w:val="0"/>
                      <w:bCs/>
                      <w:color w:val="000000" w:themeColor="text1"/>
                      <w:kern w:val="0"/>
                      <w:sz w:val="21"/>
                      <w:szCs w:val="21"/>
                      <w14:textFill>
                        <w14:solidFill>
                          <w14:schemeClr w14:val="tx1"/>
                        </w14:solidFill>
                      </w14:textFill>
                    </w:rPr>
                    <w:t>贮存方式</w:t>
                  </w:r>
                </w:p>
              </w:tc>
              <w:tc>
                <w:tcPr>
                  <w:tcW w:w="502" w:type="pct"/>
                  <w:shd w:val="clear" w:color="auto" w:fill="auto"/>
                  <w:vAlign w:val="center"/>
                </w:tcPr>
                <w:p w14:paraId="38F086ED">
                  <w:pPr>
                    <w:keepNext w:val="0"/>
                    <w:keepLines w:val="0"/>
                    <w:pageBreakBefore w:val="0"/>
                    <w:widowControl w:val="0"/>
                    <w:kinsoku/>
                    <w:wordWrap/>
                    <w:overflowPunct/>
                    <w:topLinePunct/>
                    <w:autoSpaceDE/>
                    <w:autoSpaceDN/>
                    <w:bidi w:val="0"/>
                    <w:adjustRightInd w:val="0"/>
                    <w:snapToGrid w:val="0"/>
                    <w:ind w:left="0" w:leftChars="0"/>
                    <w:jc w:val="center"/>
                    <w:rPr>
                      <w:b w:val="0"/>
                      <w:bCs/>
                      <w:color w:val="000000" w:themeColor="text1"/>
                      <w:kern w:val="0"/>
                      <w:sz w:val="21"/>
                      <w:szCs w:val="21"/>
                      <w14:textFill>
                        <w14:solidFill>
                          <w14:schemeClr w14:val="tx1"/>
                        </w14:solidFill>
                      </w14:textFill>
                    </w:rPr>
                  </w:pPr>
                  <w:r>
                    <w:rPr>
                      <w:b w:val="0"/>
                      <w:bCs/>
                      <w:color w:val="000000" w:themeColor="text1"/>
                      <w:kern w:val="0"/>
                      <w:sz w:val="21"/>
                      <w:szCs w:val="21"/>
                      <w14:textFill>
                        <w14:solidFill>
                          <w14:schemeClr w14:val="tx1"/>
                        </w14:solidFill>
                      </w14:textFill>
                    </w:rPr>
                    <w:t>贮存</w:t>
                  </w:r>
                </w:p>
                <w:p w14:paraId="42BDE40A">
                  <w:pPr>
                    <w:keepNext w:val="0"/>
                    <w:keepLines w:val="0"/>
                    <w:pageBreakBefore w:val="0"/>
                    <w:widowControl w:val="0"/>
                    <w:kinsoku/>
                    <w:wordWrap/>
                    <w:overflowPunct/>
                    <w:topLinePunct/>
                    <w:autoSpaceDE/>
                    <w:autoSpaceDN/>
                    <w:bidi w:val="0"/>
                    <w:adjustRightInd w:val="0"/>
                    <w:snapToGrid w:val="0"/>
                    <w:ind w:left="0" w:leftChars="0"/>
                    <w:jc w:val="center"/>
                    <w:rPr>
                      <w:rFonts w:hint="default" w:asciiTheme="minorHAnsi" w:hAnsiTheme="minorHAnsi" w:eastAsiaTheme="minorEastAsia" w:cstheme="minorBidi"/>
                      <w:b w:val="0"/>
                      <w:bCs/>
                      <w:color w:val="000000" w:themeColor="text1"/>
                      <w:kern w:val="0"/>
                      <w:sz w:val="21"/>
                      <w:szCs w:val="21"/>
                      <w:lang w:val="en-US" w:eastAsia="zh-CN" w:bidi="ar-SA"/>
                      <w14:textFill>
                        <w14:solidFill>
                          <w14:schemeClr w14:val="tx1"/>
                        </w14:solidFill>
                      </w14:textFill>
                    </w:rPr>
                  </w:pPr>
                  <w:r>
                    <w:rPr>
                      <w:b w:val="0"/>
                      <w:bCs/>
                      <w:color w:val="000000" w:themeColor="text1"/>
                      <w:kern w:val="0"/>
                      <w:sz w:val="21"/>
                      <w:szCs w:val="21"/>
                      <w14:textFill>
                        <w14:solidFill>
                          <w14:schemeClr w14:val="tx1"/>
                        </w14:solidFill>
                      </w14:textFill>
                    </w:rPr>
                    <w:t>能力</w:t>
                  </w:r>
                </w:p>
              </w:tc>
              <w:tc>
                <w:tcPr>
                  <w:tcW w:w="502" w:type="pct"/>
                  <w:shd w:val="clear" w:color="auto" w:fill="auto"/>
                  <w:vAlign w:val="center"/>
                </w:tcPr>
                <w:p w14:paraId="232CB7C8">
                  <w:pPr>
                    <w:keepNext w:val="0"/>
                    <w:keepLines w:val="0"/>
                    <w:pageBreakBefore w:val="0"/>
                    <w:widowControl w:val="0"/>
                    <w:kinsoku/>
                    <w:wordWrap/>
                    <w:overflowPunct/>
                    <w:topLinePunct/>
                    <w:autoSpaceDE/>
                    <w:autoSpaceDN/>
                    <w:bidi w:val="0"/>
                    <w:adjustRightInd w:val="0"/>
                    <w:snapToGrid w:val="0"/>
                    <w:ind w:left="0" w:leftChars="0"/>
                    <w:jc w:val="center"/>
                    <w:rPr>
                      <w:b w:val="0"/>
                      <w:bCs/>
                      <w:color w:val="000000" w:themeColor="text1"/>
                      <w:kern w:val="0"/>
                      <w:sz w:val="21"/>
                      <w:szCs w:val="21"/>
                      <w14:textFill>
                        <w14:solidFill>
                          <w14:schemeClr w14:val="tx1"/>
                        </w14:solidFill>
                      </w14:textFill>
                    </w:rPr>
                  </w:pPr>
                  <w:r>
                    <w:rPr>
                      <w:b w:val="0"/>
                      <w:bCs/>
                      <w:color w:val="000000" w:themeColor="text1"/>
                      <w:kern w:val="0"/>
                      <w:sz w:val="21"/>
                      <w:szCs w:val="21"/>
                      <w14:textFill>
                        <w14:solidFill>
                          <w14:schemeClr w14:val="tx1"/>
                        </w14:solidFill>
                      </w14:textFill>
                    </w:rPr>
                    <w:t>贮存</w:t>
                  </w:r>
                </w:p>
                <w:p w14:paraId="506725C9">
                  <w:pPr>
                    <w:keepNext w:val="0"/>
                    <w:keepLines w:val="0"/>
                    <w:pageBreakBefore w:val="0"/>
                    <w:widowControl w:val="0"/>
                    <w:kinsoku/>
                    <w:wordWrap/>
                    <w:overflowPunct/>
                    <w:topLinePunct/>
                    <w:autoSpaceDE/>
                    <w:autoSpaceDN/>
                    <w:bidi w:val="0"/>
                    <w:adjustRightInd w:val="0"/>
                    <w:snapToGrid w:val="0"/>
                    <w:ind w:left="0" w:leftChars="0"/>
                    <w:jc w:val="center"/>
                    <w:rPr>
                      <w:rFonts w:hint="default" w:asciiTheme="minorHAnsi" w:hAnsiTheme="minorHAnsi" w:eastAsiaTheme="minorEastAsia" w:cstheme="minorBidi"/>
                      <w:b w:val="0"/>
                      <w:bCs/>
                      <w:color w:val="000000" w:themeColor="text1"/>
                      <w:kern w:val="0"/>
                      <w:sz w:val="21"/>
                      <w:szCs w:val="21"/>
                      <w:lang w:val="en-US" w:eastAsia="zh-CN" w:bidi="ar-SA"/>
                      <w14:textFill>
                        <w14:solidFill>
                          <w14:schemeClr w14:val="tx1"/>
                        </w14:solidFill>
                      </w14:textFill>
                    </w:rPr>
                  </w:pPr>
                  <w:r>
                    <w:rPr>
                      <w:b w:val="0"/>
                      <w:bCs/>
                      <w:color w:val="000000" w:themeColor="text1"/>
                      <w:kern w:val="0"/>
                      <w:sz w:val="21"/>
                      <w:szCs w:val="21"/>
                      <w14:textFill>
                        <w14:solidFill>
                          <w14:schemeClr w14:val="tx1"/>
                        </w14:solidFill>
                      </w14:textFill>
                    </w:rPr>
                    <w:t>周期</w:t>
                  </w:r>
                </w:p>
              </w:tc>
            </w:tr>
            <w:tr w14:paraId="1D1C9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59F74A3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w:t>
                  </w:r>
                </w:p>
              </w:tc>
              <w:tc>
                <w:tcPr>
                  <w:tcW w:w="593" w:type="pct"/>
                  <w:vMerge w:val="restart"/>
                  <w:vAlign w:val="center"/>
                </w:tcPr>
                <w:p w14:paraId="2C4201F6">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Cs w:val="21"/>
                    </w:rPr>
                    <w:t>危废贮存点</w:t>
                  </w:r>
                </w:p>
              </w:tc>
              <w:tc>
                <w:tcPr>
                  <w:tcW w:w="538" w:type="pct"/>
                  <w:shd w:val="clear" w:color="auto" w:fill="auto"/>
                  <w:vAlign w:val="center"/>
                </w:tcPr>
                <w:p w14:paraId="080ACE54">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eastAsia="zh-CN"/>
                    </w:rPr>
                    <w:t>废电路板</w:t>
                  </w:r>
                </w:p>
              </w:tc>
              <w:tc>
                <w:tcPr>
                  <w:tcW w:w="993" w:type="pct"/>
                  <w:shd w:val="clear" w:color="auto" w:fill="auto"/>
                  <w:vAlign w:val="center"/>
                </w:tcPr>
                <w:p w14:paraId="5455D280">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kern w:val="0"/>
                      <w:sz w:val="21"/>
                      <w:szCs w:val="21"/>
                      <w:lang w:val="en-US" w:eastAsia="zh-CN" w:bidi="ar-SA"/>
                    </w:rPr>
                    <w:t>HW49（900-045-49）</w:t>
                  </w:r>
                </w:p>
              </w:tc>
              <w:tc>
                <w:tcPr>
                  <w:tcW w:w="501" w:type="pct"/>
                  <w:vMerge w:val="restart"/>
                  <w:vAlign w:val="center"/>
                </w:tcPr>
                <w:p w14:paraId="66D51349">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t>库房</w:t>
                  </w:r>
                  <w:r>
                    <w:rPr>
                      <w:rFonts w:hint="eastAsia" w:ascii="Times New Roman" w:hAnsi="Times New Roman" w:eastAsia="宋体" w:cs="Times New Roman"/>
                      <w:sz w:val="21"/>
                      <w:szCs w:val="21"/>
                      <w:vertAlign w:val="baseline"/>
                      <w:lang w:val="en-US" w:eastAsia="zh-CN"/>
                    </w:rPr>
                    <w:t>东</w:t>
                  </w:r>
                  <w:r>
                    <w:rPr>
                      <w:rFonts w:hint="default" w:ascii="Times New Roman" w:hAnsi="Times New Roman" w:eastAsia="宋体" w:cs="Times New Roman"/>
                      <w:sz w:val="21"/>
                      <w:szCs w:val="21"/>
                      <w:vertAlign w:val="baseline"/>
                    </w:rPr>
                    <w:t>北侧</w:t>
                  </w:r>
                </w:p>
              </w:tc>
              <w:tc>
                <w:tcPr>
                  <w:tcW w:w="501" w:type="pct"/>
                  <w:vMerge w:val="restart"/>
                  <w:vAlign w:val="center"/>
                </w:tcPr>
                <w:p w14:paraId="3B55C60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15m</w:t>
                  </w:r>
                  <w:r>
                    <w:rPr>
                      <w:rFonts w:hint="eastAsia" w:ascii="Times New Roman" w:hAnsi="Times New Roman" w:eastAsia="宋体" w:cs="Times New Roman"/>
                      <w:sz w:val="21"/>
                      <w:szCs w:val="21"/>
                      <w:vertAlign w:val="superscript"/>
                      <w:lang w:val="en-US" w:eastAsia="zh-CN"/>
                    </w:rPr>
                    <w:t>2</w:t>
                  </w:r>
                </w:p>
              </w:tc>
              <w:tc>
                <w:tcPr>
                  <w:tcW w:w="502" w:type="pct"/>
                  <w:vAlign w:val="center"/>
                </w:tcPr>
                <w:p w14:paraId="1FFDD82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t>桶装</w:t>
                  </w:r>
                </w:p>
              </w:tc>
              <w:tc>
                <w:tcPr>
                  <w:tcW w:w="502" w:type="pct"/>
                  <w:vAlign w:val="center"/>
                </w:tcPr>
                <w:p w14:paraId="3F541DC8">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t>10kg</w:t>
                  </w:r>
                </w:p>
              </w:tc>
              <w:tc>
                <w:tcPr>
                  <w:tcW w:w="502" w:type="pct"/>
                  <w:vAlign w:val="center"/>
                </w:tcPr>
                <w:p w14:paraId="18D5690A">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1季</w:t>
                  </w:r>
                </w:p>
              </w:tc>
            </w:tr>
            <w:tr w14:paraId="5DAC6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7000C1D9">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2</w:t>
                  </w:r>
                </w:p>
              </w:tc>
              <w:tc>
                <w:tcPr>
                  <w:tcW w:w="593" w:type="pct"/>
                  <w:vMerge w:val="continue"/>
                  <w:vAlign w:val="center"/>
                </w:tcPr>
                <w:p w14:paraId="7EF6DD10">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p>
              </w:tc>
              <w:tc>
                <w:tcPr>
                  <w:tcW w:w="538" w:type="pct"/>
                  <w:shd w:val="clear" w:color="auto" w:fill="auto"/>
                  <w:vAlign w:val="center"/>
                </w:tcPr>
                <w:p w14:paraId="09C66546">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eastAsia="zh-CN"/>
                    </w:rPr>
                    <w:t>废辅料包装材料</w:t>
                  </w:r>
                </w:p>
              </w:tc>
              <w:tc>
                <w:tcPr>
                  <w:tcW w:w="993" w:type="pct"/>
                  <w:shd w:val="clear" w:color="auto" w:fill="auto"/>
                  <w:vAlign w:val="center"/>
                </w:tcPr>
                <w:p w14:paraId="2D0F633A">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kern w:val="0"/>
                      <w:sz w:val="21"/>
                      <w:szCs w:val="21"/>
                      <w:lang w:val="en-US" w:eastAsia="zh-CN" w:bidi="ar-SA"/>
                    </w:rPr>
                    <w:t>HW49（900-041-49）</w:t>
                  </w:r>
                </w:p>
              </w:tc>
              <w:tc>
                <w:tcPr>
                  <w:tcW w:w="501" w:type="pct"/>
                  <w:vMerge w:val="continue"/>
                  <w:vAlign w:val="center"/>
                </w:tcPr>
                <w:p w14:paraId="72444125">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p>
              </w:tc>
              <w:tc>
                <w:tcPr>
                  <w:tcW w:w="501" w:type="pct"/>
                  <w:vMerge w:val="continue"/>
                  <w:vAlign w:val="center"/>
                </w:tcPr>
                <w:p w14:paraId="7338195D">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p>
              </w:tc>
              <w:tc>
                <w:tcPr>
                  <w:tcW w:w="502" w:type="pct"/>
                  <w:vAlign w:val="center"/>
                </w:tcPr>
                <w:p w14:paraId="35D5F18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t>桶装</w:t>
                  </w:r>
                </w:p>
              </w:tc>
              <w:tc>
                <w:tcPr>
                  <w:tcW w:w="502" w:type="pct"/>
                  <w:vAlign w:val="center"/>
                </w:tcPr>
                <w:p w14:paraId="63C49AEC">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t>10kg</w:t>
                  </w:r>
                </w:p>
              </w:tc>
              <w:tc>
                <w:tcPr>
                  <w:tcW w:w="502" w:type="pct"/>
                  <w:vAlign w:val="center"/>
                </w:tcPr>
                <w:p w14:paraId="4C0D938C">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lang w:val="en-US"/>
                    </w:rPr>
                  </w:pPr>
                  <w:r>
                    <w:rPr>
                      <w:rFonts w:hint="eastAsia" w:ascii="Times New Roman" w:hAnsi="Times New Roman" w:eastAsia="宋体" w:cs="Times New Roman"/>
                      <w:sz w:val="21"/>
                      <w:szCs w:val="21"/>
                      <w:vertAlign w:val="baseline"/>
                      <w:lang w:val="en-US" w:eastAsia="zh-CN"/>
                    </w:rPr>
                    <w:t>1季</w:t>
                  </w:r>
                </w:p>
              </w:tc>
            </w:tr>
            <w:tr w14:paraId="4F4EB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107967EB">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3</w:t>
                  </w:r>
                </w:p>
              </w:tc>
              <w:tc>
                <w:tcPr>
                  <w:tcW w:w="593" w:type="pct"/>
                  <w:vMerge w:val="continue"/>
                  <w:vAlign w:val="center"/>
                </w:tcPr>
                <w:p w14:paraId="0D1FBF56">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p>
              </w:tc>
              <w:tc>
                <w:tcPr>
                  <w:tcW w:w="538" w:type="pct"/>
                  <w:shd w:val="clear" w:color="auto" w:fill="auto"/>
                  <w:vAlign w:val="center"/>
                </w:tcPr>
                <w:p w14:paraId="37837C33">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废</w:t>
                  </w:r>
                  <w:r>
                    <w:rPr>
                      <w:rFonts w:hint="eastAsia" w:eastAsia="宋体" w:cs="Times New Roman"/>
                      <w:b w:val="0"/>
                      <w:bCs/>
                      <w:sz w:val="21"/>
                      <w:szCs w:val="21"/>
                      <w:lang w:val="en-US" w:eastAsia="zh-CN"/>
                    </w:rPr>
                    <w:t>擦拭布</w:t>
                  </w:r>
                </w:p>
              </w:tc>
              <w:tc>
                <w:tcPr>
                  <w:tcW w:w="993" w:type="pct"/>
                  <w:shd w:val="clear" w:color="auto" w:fill="auto"/>
                  <w:vAlign w:val="center"/>
                </w:tcPr>
                <w:p w14:paraId="0D59A02E">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kern w:val="0"/>
                      <w:sz w:val="21"/>
                      <w:szCs w:val="21"/>
                      <w:lang w:val="en-US" w:eastAsia="zh-CN" w:bidi="ar-SA"/>
                    </w:rPr>
                    <w:t>HW49（900-041-49）</w:t>
                  </w:r>
                </w:p>
              </w:tc>
              <w:tc>
                <w:tcPr>
                  <w:tcW w:w="501" w:type="pct"/>
                  <w:vMerge w:val="continue"/>
                  <w:vAlign w:val="center"/>
                </w:tcPr>
                <w:p w14:paraId="121E4E16">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p>
              </w:tc>
              <w:tc>
                <w:tcPr>
                  <w:tcW w:w="501" w:type="pct"/>
                  <w:vMerge w:val="continue"/>
                  <w:vAlign w:val="center"/>
                </w:tcPr>
                <w:p w14:paraId="7CD3371C">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p>
              </w:tc>
              <w:tc>
                <w:tcPr>
                  <w:tcW w:w="502" w:type="pct"/>
                  <w:vAlign w:val="center"/>
                </w:tcPr>
                <w:p w14:paraId="4DDEDA31">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t>桶装</w:t>
                  </w:r>
                </w:p>
              </w:tc>
              <w:tc>
                <w:tcPr>
                  <w:tcW w:w="502" w:type="pct"/>
                  <w:vAlign w:val="center"/>
                </w:tcPr>
                <w:p w14:paraId="462F5528">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t>10kg</w:t>
                  </w:r>
                </w:p>
              </w:tc>
              <w:tc>
                <w:tcPr>
                  <w:tcW w:w="502" w:type="pct"/>
                  <w:vAlign w:val="center"/>
                </w:tcPr>
                <w:p w14:paraId="1BEC8A41">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lang w:val="en-US"/>
                    </w:rPr>
                  </w:pPr>
                  <w:r>
                    <w:rPr>
                      <w:rFonts w:hint="eastAsia" w:ascii="Times New Roman" w:hAnsi="Times New Roman" w:eastAsia="宋体" w:cs="Times New Roman"/>
                      <w:sz w:val="21"/>
                      <w:szCs w:val="21"/>
                      <w:vertAlign w:val="baseline"/>
                      <w:lang w:val="en-US" w:eastAsia="zh-CN"/>
                    </w:rPr>
                    <w:t>1季</w:t>
                  </w:r>
                </w:p>
              </w:tc>
            </w:tr>
            <w:tr w14:paraId="6B3AC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D08F2CD">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4</w:t>
                  </w:r>
                </w:p>
              </w:tc>
              <w:tc>
                <w:tcPr>
                  <w:tcW w:w="593" w:type="pct"/>
                  <w:vMerge w:val="continue"/>
                  <w:vAlign w:val="center"/>
                </w:tcPr>
                <w:p w14:paraId="4C186D06">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p>
              </w:tc>
              <w:tc>
                <w:tcPr>
                  <w:tcW w:w="538" w:type="pct"/>
                  <w:shd w:val="clear" w:color="auto" w:fill="auto"/>
                  <w:vAlign w:val="center"/>
                </w:tcPr>
                <w:p w14:paraId="47D49F59">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废活性炭</w:t>
                  </w:r>
                </w:p>
              </w:tc>
              <w:tc>
                <w:tcPr>
                  <w:tcW w:w="993" w:type="pct"/>
                  <w:shd w:val="clear" w:color="auto" w:fill="auto"/>
                  <w:vAlign w:val="center"/>
                </w:tcPr>
                <w:p w14:paraId="04BCB634">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kern w:val="0"/>
                      <w:sz w:val="21"/>
                      <w:szCs w:val="21"/>
                      <w:lang w:val="en-US" w:eastAsia="zh-CN" w:bidi="ar-SA"/>
                    </w:rPr>
                  </w:pPr>
                  <w:r>
                    <w:rPr>
                      <w:rFonts w:hint="eastAsia" w:ascii="Times New Roman" w:hAnsi="Times New Roman" w:eastAsia="宋体" w:cs="Times New Roman"/>
                      <w:b w:val="0"/>
                      <w:bCs/>
                      <w:kern w:val="0"/>
                      <w:sz w:val="21"/>
                      <w:szCs w:val="21"/>
                      <w:lang w:val="en-US" w:eastAsia="zh-CN" w:bidi="ar-SA"/>
                    </w:rPr>
                    <w:t>HW49（900-039-49）</w:t>
                  </w:r>
                </w:p>
              </w:tc>
              <w:tc>
                <w:tcPr>
                  <w:tcW w:w="501" w:type="pct"/>
                  <w:vMerge w:val="continue"/>
                  <w:vAlign w:val="center"/>
                </w:tcPr>
                <w:p w14:paraId="72D3A496">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p>
              </w:tc>
              <w:tc>
                <w:tcPr>
                  <w:tcW w:w="501" w:type="pct"/>
                  <w:vMerge w:val="continue"/>
                  <w:vAlign w:val="center"/>
                </w:tcPr>
                <w:p w14:paraId="09A021ED">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p>
              </w:tc>
              <w:tc>
                <w:tcPr>
                  <w:tcW w:w="0" w:type="auto"/>
                  <w:vAlign w:val="center"/>
                </w:tcPr>
                <w:p w14:paraId="5A3AAA88">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t>桶装</w:t>
                  </w:r>
                </w:p>
              </w:tc>
              <w:tc>
                <w:tcPr>
                  <w:tcW w:w="0" w:type="auto"/>
                  <w:vAlign w:val="center"/>
                </w:tcPr>
                <w:p w14:paraId="14BEFAFA">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r>
                    <w:rPr>
                      <w:rFonts w:hint="eastAsia" w:ascii="Times New Roman" w:hAnsi="Times New Roman" w:eastAsia="宋体" w:cs="Times New Roman"/>
                      <w:sz w:val="21"/>
                      <w:szCs w:val="21"/>
                      <w:vertAlign w:val="baseline"/>
                      <w:lang w:val="en-US" w:eastAsia="zh-CN"/>
                    </w:rPr>
                    <w:t>20</w:t>
                  </w:r>
                  <w:r>
                    <w:rPr>
                      <w:rFonts w:hint="default" w:ascii="Times New Roman" w:hAnsi="Times New Roman" w:eastAsia="宋体" w:cs="Times New Roman"/>
                      <w:sz w:val="21"/>
                      <w:szCs w:val="21"/>
                      <w:vertAlign w:val="baseline"/>
                    </w:rPr>
                    <w:t>0kg</w:t>
                  </w:r>
                </w:p>
              </w:tc>
              <w:tc>
                <w:tcPr>
                  <w:tcW w:w="0" w:type="auto"/>
                  <w:vAlign w:val="center"/>
                </w:tcPr>
                <w:p w14:paraId="30598124">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lang w:val="en-US"/>
                    </w:rPr>
                  </w:pPr>
                  <w:r>
                    <w:rPr>
                      <w:rFonts w:hint="eastAsia" w:ascii="Times New Roman" w:hAnsi="Times New Roman" w:eastAsia="宋体" w:cs="Times New Roman"/>
                      <w:sz w:val="21"/>
                      <w:szCs w:val="21"/>
                      <w:vertAlign w:val="baseline"/>
                      <w:lang w:val="en-US" w:eastAsia="zh-CN"/>
                    </w:rPr>
                    <w:t>1季</w:t>
                  </w:r>
                </w:p>
              </w:tc>
            </w:tr>
            <w:tr w14:paraId="3640A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8514167">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5</w:t>
                  </w:r>
                </w:p>
              </w:tc>
              <w:tc>
                <w:tcPr>
                  <w:tcW w:w="593" w:type="pct"/>
                  <w:vMerge w:val="continue"/>
                  <w:vAlign w:val="center"/>
                </w:tcPr>
                <w:p w14:paraId="51CB554B">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p>
              </w:tc>
              <w:tc>
                <w:tcPr>
                  <w:tcW w:w="538" w:type="pct"/>
                  <w:shd w:val="clear" w:color="auto" w:fill="auto"/>
                  <w:vAlign w:val="center"/>
                </w:tcPr>
                <w:p w14:paraId="7362A542">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废机油</w:t>
                  </w:r>
                </w:p>
              </w:tc>
              <w:tc>
                <w:tcPr>
                  <w:tcW w:w="993" w:type="pct"/>
                  <w:shd w:val="clear" w:color="auto" w:fill="auto"/>
                  <w:vAlign w:val="center"/>
                </w:tcPr>
                <w:p w14:paraId="261BA358">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eastAsia"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HW08（900-214-08）</w:t>
                  </w:r>
                </w:p>
              </w:tc>
              <w:tc>
                <w:tcPr>
                  <w:tcW w:w="501" w:type="pct"/>
                  <w:vMerge w:val="continue"/>
                  <w:shd w:val="clear" w:color="auto" w:fill="auto"/>
                  <w:vAlign w:val="center"/>
                </w:tcPr>
                <w:p w14:paraId="2FD6A76A">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kern w:val="0"/>
                      <w:sz w:val="21"/>
                      <w:szCs w:val="21"/>
                      <w:lang w:val="en-US" w:eastAsia="zh-CN" w:bidi="ar-SA"/>
                    </w:rPr>
                  </w:pPr>
                </w:p>
              </w:tc>
              <w:tc>
                <w:tcPr>
                  <w:tcW w:w="501" w:type="pct"/>
                  <w:vMerge w:val="continue"/>
                  <w:vAlign w:val="center"/>
                </w:tcPr>
                <w:p w14:paraId="70DD0C5E">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p>
              </w:tc>
              <w:tc>
                <w:tcPr>
                  <w:tcW w:w="502" w:type="pct"/>
                  <w:vAlign w:val="center"/>
                </w:tcPr>
                <w:p w14:paraId="2DC11CFE">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t>桶装</w:t>
                  </w:r>
                </w:p>
              </w:tc>
              <w:tc>
                <w:tcPr>
                  <w:tcW w:w="502" w:type="pct"/>
                  <w:vAlign w:val="center"/>
                </w:tcPr>
                <w:p w14:paraId="1BE26583">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10kg</w:t>
                  </w:r>
                </w:p>
              </w:tc>
              <w:tc>
                <w:tcPr>
                  <w:tcW w:w="502" w:type="pct"/>
                  <w:vAlign w:val="center"/>
                </w:tcPr>
                <w:p w14:paraId="224C3ED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1季</w:t>
                  </w:r>
                </w:p>
              </w:tc>
            </w:tr>
            <w:tr w14:paraId="5AF9E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AB7C77E">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6</w:t>
                  </w:r>
                </w:p>
              </w:tc>
              <w:tc>
                <w:tcPr>
                  <w:tcW w:w="593" w:type="pct"/>
                  <w:vMerge w:val="continue"/>
                  <w:vAlign w:val="center"/>
                </w:tcPr>
                <w:p w14:paraId="285AB8F5">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p>
              </w:tc>
              <w:tc>
                <w:tcPr>
                  <w:tcW w:w="538" w:type="pct"/>
                  <w:shd w:val="clear" w:color="auto" w:fill="auto"/>
                  <w:vAlign w:val="center"/>
                </w:tcPr>
                <w:p w14:paraId="75E82C39">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废机油桶</w:t>
                  </w:r>
                </w:p>
              </w:tc>
              <w:tc>
                <w:tcPr>
                  <w:tcW w:w="993" w:type="pct"/>
                  <w:shd w:val="clear" w:color="auto" w:fill="auto"/>
                  <w:vAlign w:val="center"/>
                </w:tcPr>
                <w:p w14:paraId="4E1DC536">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eastAsia"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HW08（900-249-08）</w:t>
                  </w:r>
                </w:p>
              </w:tc>
              <w:tc>
                <w:tcPr>
                  <w:tcW w:w="501" w:type="pct"/>
                  <w:vMerge w:val="continue"/>
                  <w:shd w:val="clear" w:color="auto" w:fill="auto"/>
                  <w:vAlign w:val="center"/>
                </w:tcPr>
                <w:p w14:paraId="4C0F7DF2">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kern w:val="0"/>
                      <w:sz w:val="21"/>
                      <w:szCs w:val="21"/>
                      <w:lang w:val="en-US" w:eastAsia="zh-CN" w:bidi="ar-SA"/>
                    </w:rPr>
                  </w:pPr>
                </w:p>
              </w:tc>
              <w:tc>
                <w:tcPr>
                  <w:tcW w:w="501" w:type="pct"/>
                  <w:vMerge w:val="continue"/>
                  <w:vAlign w:val="center"/>
                </w:tcPr>
                <w:p w14:paraId="4E24F71D">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p>
              </w:tc>
              <w:tc>
                <w:tcPr>
                  <w:tcW w:w="502" w:type="pct"/>
                  <w:vAlign w:val="center"/>
                </w:tcPr>
                <w:p w14:paraId="29D2A967">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t>桶装</w:t>
                  </w:r>
                </w:p>
              </w:tc>
              <w:tc>
                <w:tcPr>
                  <w:tcW w:w="502" w:type="pct"/>
                  <w:vAlign w:val="center"/>
                </w:tcPr>
                <w:p w14:paraId="1A07F7D4">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50</w:t>
                  </w:r>
                  <w:r>
                    <w:rPr>
                      <w:rFonts w:hint="default" w:ascii="Times New Roman" w:hAnsi="Times New Roman" w:eastAsia="宋体" w:cs="Times New Roman"/>
                      <w:sz w:val="21"/>
                      <w:szCs w:val="21"/>
                      <w:vertAlign w:val="baseline"/>
                    </w:rPr>
                    <w:t>kg</w:t>
                  </w:r>
                </w:p>
              </w:tc>
              <w:tc>
                <w:tcPr>
                  <w:tcW w:w="502" w:type="pct"/>
                  <w:vAlign w:val="center"/>
                </w:tcPr>
                <w:p w14:paraId="7503C1C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1季</w:t>
                  </w:r>
                </w:p>
              </w:tc>
            </w:tr>
            <w:tr w14:paraId="20368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5153C98">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7</w:t>
                  </w:r>
                </w:p>
              </w:tc>
              <w:tc>
                <w:tcPr>
                  <w:tcW w:w="593" w:type="pct"/>
                  <w:vMerge w:val="continue"/>
                  <w:vAlign w:val="center"/>
                </w:tcPr>
                <w:p w14:paraId="490B7A19">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p>
              </w:tc>
              <w:tc>
                <w:tcPr>
                  <w:tcW w:w="538" w:type="pct"/>
                  <w:shd w:val="clear" w:color="auto" w:fill="auto"/>
                  <w:vAlign w:val="center"/>
                </w:tcPr>
                <w:p w14:paraId="074CB717">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eastAsia="zh-CN"/>
                    </w:rPr>
                    <w:t>废含油抹布手套</w:t>
                  </w:r>
                </w:p>
              </w:tc>
              <w:tc>
                <w:tcPr>
                  <w:tcW w:w="993" w:type="pct"/>
                  <w:shd w:val="clear" w:color="auto" w:fill="auto"/>
                  <w:vAlign w:val="center"/>
                </w:tcPr>
                <w:p w14:paraId="4BA586A2">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eastAsia"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HW49（</w:t>
                  </w:r>
                  <w:r>
                    <w:rPr>
                      <w:rFonts w:hint="eastAsia" w:ascii="Times New Roman" w:hAnsi="Times New Roman" w:eastAsia="宋体" w:cs="Times New Roman"/>
                      <w:b w:val="0"/>
                      <w:bCs/>
                      <w:kern w:val="0"/>
                      <w:sz w:val="21"/>
                      <w:szCs w:val="21"/>
                      <w:lang w:val="en-US" w:eastAsia="zh-CN" w:bidi="ar-SA"/>
                    </w:rPr>
                    <w:t>900-041-49</w:t>
                  </w:r>
                  <w:r>
                    <w:rPr>
                      <w:rFonts w:hint="eastAsia" w:eastAsia="宋体" w:cs="Times New Roman"/>
                      <w:b w:val="0"/>
                      <w:bCs/>
                      <w:sz w:val="21"/>
                      <w:szCs w:val="21"/>
                      <w:lang w:val="en-US" w:eastAsia="zh-CN"/>
                    </w:rPr>
                    <w:t>）</w:t>
                  </w:r>
                </w:p>
              </w:tc>
              <w:tc>
                <w:tcPr>
                  <w:tcW w:w="501" w:type="pct"/>
                  <w:vMerge w:val="continue"/>
                  <w:shd w:val="clear" w:color="auto" w:fill="auto"/>
                  <w:vAlign w:val="center"/>
                </w:tcPr>
                <w:p w14:paraId="2E0117E8">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kern w:val="0"/>
                      <w:sz w:val="21"/>
                      <w:szCs w:val="21"/>
                      <w:lang w:val="en-US" w:eastAsia="zh-CN" w:bidi="ar-SA"/>
                    </w:rPr>
                  </w:pPr>
                </w:p>
              </w:tc>
              <w:tc>
                <w:tcPr>
                  <w:tcW w:w="501" w:type="pct"/>
                  <w:vMerge w:val="continue"/>
                  <w:vAlign w:val="center"/>
                </w:tcPr>
                <w:p w14:paraId="5FEE0A50">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vertAlign w:val="baseline"/>
                    </w:rPr>
                  </w:pPr>
                </w:p>
              </w:tc>
              <w:tc>
                <w:tcPr>
                  <w:tcW w:w="502" w:type="pct"/>
                  <w:vAlign w:val="center"/>
                </w:tcPr>
                <w:p w14:paraId="3590411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t>桶装</w:t>
                  </w:r>
                </w:p>
              </w:tc>
              <w:tc>
                <w:tcPr>
                  <w:tcW w:w="502" w:type="pct"/>
                  <w:vAlign w:val="center"/>
                </w:tcPr>
                <w:p w14:paraId="13EF5C5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10kg</w:t>
                  </w:r>
                </w:p>
              </w:tc>
              <w:tc>
                <w:tcPr>
                  <w:tcW w:w="502" w:type="pct"/>
                  <w:vAlign w:val="center"/>
                </w:tcPr>
                <w:p w14:paraId="7B0D8F0C">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1季</w:t>
                  </w:r>
                </w:p>
              </w:tc>
            </w:tr>
          </w:tbl>
          <w:p w14:paraId="10CF54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通过该系列措施后对危险废物有效安全贮存是可行的。</w:t>
            </w:r>
          </w:p>
          <w:p w14:paraId="53F76A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③委托利用或者处置的污染防治措施</w:t>
            </w:r>
          </w:p>
          <w:p w14:paraId="04FC5C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建设项目危险废物委托有资质单位安全处置，不自行处置，在项目建设试运行过程中须履行相应的环保“三同时”手续，及时签订危废协议并向环境主管部门备案，及时将生产过程中产生的危废进行无害化委托处理，通过该系列措施后对危险废物的处置是可行的。</w:t>
            </w:r>
          </w:p>
          <w:p w14:paraId="419D38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④危废</w:t>
            </w:r>
            <w:r>
              <w:rPr>
                <w:rFonts w:hint="eastAsia" w:ascii="Times New Roman" w:hAnsi="Times New Roman" w:eastAsia="宋体" w:cs="Times New Roman"/>
                <w:sz w:val="24"/>
                <w:lang w:val="en-US" w:eastAsia="zh-CN"/>
              </w:rPr>
              <w:t>贮存点</w:t>
            </w:r>
            <w:r>
              <w:rPr>
                <w:rFonts w:hint="default" w:ascii="Times New Roman" w:hAnsi="Times New Roman" w:eastAsia="宋体" w:cs="Times New Roman"/>
                <w:sz w:val="24"/>
              </w:rPr>
              <w:t>其他环境管理要求</w:t>
            </w:r>
          </w:p>
          <w:p w14:paraId="4F71599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A.危废</w:t>
            </w:r>
            <w:r>
              <w:rPr>
                <w:rFonts w:hint="eastAsia" w:ascii="Times New Roman" w:hAnsi="Times New Roman" w:eastAsia="宋体" w:cs="Times New Roman"/>
                <w:sz w:val="24"/>
                <w:lang w:val="en-US" w:eastAsia="zh-CN"/>
              </w:rPr>
              <w:t>贮存点</w:t>
            </w:r>
            <w:r>
              <w:rPr>
                <w:rFonts w:hint="default" w:ascii="Times New Roman" w:hAnsi="Times New Roman" w:eastAsia="宋体" w:cs="Times New Roman"/>
                <w:sz w:val="24"/>
              </w:rPr>
              <w:t>应配套设立监控设施，</w:t>
            </w:r>
            <w:r>
              <w:rPr>
                <w:rFonts w:hint="eastAsia" w:ascii="Times New Roman" w:hAnsi="Times New Roman" w:eastAsia="宋体" w:cs="Times New Roman"/>
                <w:sz w:val="24"/>
                <w:lang w:val="en-US" w:eastAsia="zh-CN"/>
              </w:rPr>
              <w:t>危废贮存点</w:t>
            </w:r>
            <w:r>
              <w:rPr>
                <w:rFonts w:hint="default" w:ascii="Times New Roman" w:hAnsi="Times New Roman" w:eastAsia="宋体" w:cs="Times New Roman"/>
                <w:sz w:val="24"/>
              </w:rPr>
              <w:t>周围应设置围墙或者防护栅栏，与周边区域严格分离开，并按GB15562.2的规定设置警示标志，现场需配置安全防护服装与工具、通讯设备、照明设施等；</w:t>
            </w:r>
          </w:p>
          <w:p w14:paraId="440326C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B.</w:t>
            </w:r>
            <w:r>
              <w:rPr>
                <w:rFonts w:hint="eastAsia" w:ascii="Times New Roman" w:hAnsi="Times New Roman" w:eastAsia="宋体" w:cs="Times New Roman"/>
                <w:sz w:val="24"/>
                <w:lang w:val="en-US" w:eastAsia="zh-CN"/>
              </w:rPr>
              <w:t>危废贮存点</w:t>
            </w:r>
            <w:r>
              <w:rPr>
                <w:rFonts w:hint="default" w:ascii="Times New Roman" w:hAnsi="Times New Roman" w:eastAsia="宋体" w:cs="Times New Roman"/>
                <w:sz w:val="24"/>
              </w:rPr>
              <w:t>需按要求采取防渗措施；</w:t>
            </w:r>
          </w:p>
          <w:p w14:paraId="77C3FE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C.危险</w:t>
            </w:r>
            <w:r>
              <w:rPr>
                <w:rFonts w:hint="eastAsia" w:ascii="Times New Roman" w:hAnsi="Times New Roman" w:eastAsia="宋体" w:cs="Times New Roman"/>
                <w:sz w:val="24"/>
                <w:lang w:val="en-US" w:eastAsia="zh-CN"/>
              </w:rPr>
              <w:t>废物</w:t>
            </w:r>
            <w:r>
              <w:rPr>
                <w:rFonts w:hint="default" w:ascii="Times New Roman" w:hAnsi="Times New Roman" w:eastAsia="宋体" w:cs="Times New Roman"/>
                <w:sz w:val="24"/>
              </w:rPr>
              <w:t>及时入暂存间存放，并及时通知协议处理单位进行回收处理；</w:t>
            </w:r>
          </w:p>
          <w:p w14:paraId="08C5F2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D.建设单位需严格落实危险废物转移台账管理，做到每一笔危险废物的去向都有台账记录，包括厂区内部的和行政管理部门的。</w:t>
            </w:r>
          </w:p>
          <w:p w14:paraId="1CFBF9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rPr>
              <w:t>综上，本项目的固废严格遵循</w:t>
            </w:r>
            <w:r>
              <w:rPr>
                <w:rFonts w:hint="eastAsia" w:ascii="Times New Roman" w:hAnsi="Times New Roman" w:eastAsia="宋体" w:cs="Times New Roman"/>
                <w:sz w:val="24"/>
                <w:lang w:eastAsia="zh-CN"/>
              </w:rPr>
              <w:t>“</w:t>
            </w:r>
            <w:r>
              <w:rPr>
                <w:rFonts w:hint="default" w:ascii="Times New Roman" w:hAnsi="Times New Roman" w:eastAsia="宋体" w:cs="Times New Roman"/>
                <w:sz w:val="24"/>
              </w:rPr>
              <w:t>资源化、减量化、无害化</w:t>
            </w:r>
            <w:r>
              <w:rPr>
                <w:rFonts w:hint="eastAsia" w:ascii="Times New Roman" w:hAnsi="Times New Roman" w:eastAsia="宋体" w:cs="Times New Roman"/>
                <w:sz w:val="24"/>
                <w:lang w:eastAsia="zh-CN"/>
              </w:rPr>
              <w:t>”</w:t>
            </w:r>
            <w:r>
              <w:rPr>
                <w:rFonts w:hint="default" w:ascii="Times New Roman" w:hAnsi="Times New Roman" w:eastAsia="宋体" w:cs="Times New Roman"/>
                <w:sz w:val="24"/>
              </w:rPr>
              <w:t>基本原则，通过上述措施妥善安置存放、合理利用处置，则不会对周围环境造成不利影响。</w:t>
            </w:r>
          </w:p>
          <w:p w14:paraId="1D177A5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rPr>
              <w:t>五、</w:t>
            </w:r>
            <w:r>
              <w:rPr>
                <w:rFonts w:hint="default" w:ascii="Times New Roman" w:hAnsi="Times New Roman" w:eastAsia="宋体" w:cs="Times New Roman"/>
                <w:b/>
                <w:bCs/>
                <w:sz w:val="28"/>
                <w:szCs w:val="28"/>
                <w:lang w:val="en-US" w:eastAsia="zh-CN"/>
              </w:rPr>
              <w:t>地下水</w:t>
            </w:r>
            <w:r>
              <w:rPr>
                <w:rFonts w:hint="eastAsia" w:ascii="Times New Roman" w:hAnsi="Times New Roman" w:eastAsia="宋体" w:cs="Times New Roman"/>
                <w:b/>
                <w:bCs/>
                <w:sz w:val="28"/>
                <w:szCs w:val="28"/>
                <w:lang w:val="en-US" w:eastAsia="zh-CN"/>
              </w:rPr>
              <w:t>、土壤</w:t>
            </w:r>
            <w:r>
              <w:rPr>
                <w:rFonts w:hint="default" w:ascii="Times New Roman" w:hAnsi="Times New Roman" w:eastAsia="宋体" w:cs="Times New Roman"/>
                <w:b/>
                <w:bCs/>
                <w:sz w:val="28"/>
                <w:szCs w:val="28"/>
              </w:rPr>
              <w:t>环境影响分析</w:t>
            </w:r>
          </w:p>
          <w:p w14:paraId="523D1D98">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本项目租赁安徽省池州市江南产业集中区皖能电子信息产业园5幢4层进行生产，项目</w:t>
            </w:r>
            <w:r>
              <w:rPr>
                <w:rFonts w:hint="eastAsia" w:ascii="Times New Roman" w:hAnsi="Times New Roman" w:eastAsia="宋体" w:cs="Times New Roman"/>
                <w:color w:val="000000"/>
                <w:sz w:val="24"/>
                <w:szCs w:val="24"/>
                <w:lang w:val="en-US" w:eastAsia="zh-CN"/>
              </w:rPr>
              <w:t>厂房</w:t>
            </w:r>
            <w:r>
              <w:rPr>
                <w:rFonts w:hint="default" w:ascii="Times New Roman" w:hAnsi="Times New Roman" w:eastAsia="宋体" w:cs="Times New Roman"/>
                <w:color w:val="000000"/>
                <w:sz w:val="24"/>
                <w:szCs w:val="24"/>
              </w:rPr>
              <w:t>在</w:t>
            </w:r>
            <w:r>
              <w:rPr>
                <w:rFonts w:hint="eastAsia" w:ascii="Times New Roman" w:hAnsi="Times New Roman" w:eastAsia="宋体" w:cs="Times New Roman"/>
                <w:color w:val="000000"/>
                <w:sz w:val="24"/>
                <w:szCs w:val="24"/>
                <w:lang w:val="en-US" w:eastAsia="zh-CN"/>
              </w:rPr>
              <w:t>4</w:t>
            </w:r>
            <w:r>
              <w:rPr>
                <w:rFonts w:hint="default" w:ascii="Times New Roman" w:hAnsi="Times New Roman" w:eastAsia="宋体" w:cs="Times New Roman"/>
                <w:color w:val="000000"/>
                <w:sz w:val="24"/>
                <w:szCs w:val="24"/>
              </w:rPr>
              <w:t>层，正常情况下无土壤及地下水环境污染途径，不会对土壤及地下水环境产生不利影响</w:t>
            </w:r>
            <w:r>
              <w:rPr>
                <w:rFonts w:hint="eastAsia" w:ascii="Times New Roman" w:hAnsi="Times New Roman" w:eastAsia="宋体" w:cs="Times New Roman"/>
                <w:color w:val="000000"/>
                <w:sz w:val="24"/>
                <w:szCs w:val="24"/>
                <w:lang w:eastAsia="zh-CN"/>
              </w:rPr>
              <w:t>，</w:t>
            </w:r>
            <w:r>
              <w:rPr>
                <w:rFonts w:hint="eastAsia" w:ascii="Times New Roman" w:hAnsi="Times New Roman" w:eastAsia="宋体" w:cs="Times New Roman"/>
                <w:color w:val="auto"/>
                <w:sz w:val="24"/>
                <w:highlight w:val="none"/>
                <w:lang w:val="en-US" w:eastAsia="zh-CN"/>
              </w:rPr>
              <w:t>本环评要求项目危废贮存点、辅料存放区做好防腐措施即可</w:t>
            </w:r>
            <w:r>
              <w:rPr>
                <w:rFonts w:hint="default" w:ascii="Times New Roman" w:hAnsi="Times New Roman" w:eastAsia="宋体" w:cs="Times New Roman"/>
                <w:color w:val="000000"/>
                <w:sz w:val="24"/>
                <w:szCs w:val="24"/>
              </w:rPr>
              <w:t>。</w:t>
            </w:r>
          </w:p>
          <w:p w14:paraId="46639DF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b/>
                <w:bCs/>
                <w:sz w:val="28"/>
                <w:szCs w:val="28"/>
              </w:rPr>
            </w:pPr>
            <w:r>
              <w:rPr>
                <w:rFonts w:hint="eastAsia" w:ascii="Times New Roman" w:hAnsi="Times New Roman" w:eastAsia="宋体" w:cs="Times New Roman"/>
                <w:b/>
                <w:bCs/>
                <w:sz w:val="28"/>
                <w:szCs w:val="28"/>
                <w:lang w:val="en-US" w:eastAsia="zh-CN"/>
              </w:rPr>
              <w:t>六、</w:t>
            </w:r>
            <w:r>
              <w:rPr>
                <w:rFonts w:hint="default" w:ascii="Times New Roman" w:hAnsi="Times New Roman" w:eastAsia="宋体" w:cs="Times New Roman"/>
                <w:b/>
                <w:bCs/>
                <w:sz w:val="28"/>
                <w:szCs w:val="28"/>
                <w:lang w:val="en-US" w:eastAsia="zh-CN"/>
              </w:rPr>
              <w:t>环境风险</w:t>
            </w:r>
            <w:r>
              <w:rPr>
                <w:rFonts w:hint="eastAsia" w:ascii="Times New Roman" w:hAnsi="Times New Roman" w:eastAsia="宋体" w:cs="Times New Roman"/>
                <w:b/>
                <w:bCs/>
                <w:sz w:val="28"/>
                <w:szCs w:val="28"/>
                <w:lang w:val="en-US" w:eastAsia="zh-CN"/>
              </w:rPr>
              <w:t>影响</w:t>
            </w:r>
            <w:r>
              <w:rPr>
                <w:rFonts w:hint="default" w:ascii="Times New Roman" w:hAnsi="Times New Roman" w:eastAsia="宋体" w:cs="Times New Roman"/>
                <w:b/>
                <w:bCs/>
                <w:sz w:val="28"/>
                <w:szCs w:val="28"/>
                <w:lang w:val="en-US" w:eastAsia="zh-CN"/>
              </w:rPr>
              <w:t>分析</w:t>
            </w:r>
          </w:p>
          <w:p w14:paraId="009161C8">
            <w:pPr>
              <w:spacing w:line="360" w:lineRule="auto"/>
              <w:ind w:firstLine="480" w:firstLineChars="200"/>
              <w:jc w:val="left"/>
              <w:rPr>
                <w:rFonts w:hint="default" w:ascii="Times New Roman" w:hAnsi="Times New Roman" w:cs="Times New Roman"/>
                <w:color w:val="000000"/>
                <w:sz w:val="24"/>
                <w:szCs w:val="24"/>
                <w:lang w:bidi="zh-CN"/>
              </w:rPr>
            </w:pPr>
            <w:r>
              <w:rPr>
                <w:rFonts w:hint="default" w:ascii="Times New Roman" w:hAnsi="Times New Roman" w:cs="Times New Roman"/>
                <w:color w:val="000000"/>
                <w:sz w:val="24"/>
                <w:szCs w:val="24"/>
                <w:lang w:val="en-US" w:bidi="zh-CN"/>
              </w:rPr>
              <w:t>1、</w:t>
            </w:r>
            <w:r>
              <w:rPr>
                <w:rFonts w:hint="default" w:ascii="Times New Roman" w:hAnsi="Times New Roman" w:cs="Times New Roman"/>
                <w:color w:val="000000"/>
                <w:sz w:val="24"/>
                <w:szCs w:val="24"/>
                <w:lang w:bidi="zh-CN"/>
              </w:rPr>
              <w:t>风险</w:t>
            </w:r>
            <w:r>
              <w:rPr>
                <w:rFonts w:hint="eastAsia" w:ascii="Times New Roman" w:hAnsi="Times New Roman" w:cs="Times New Roman"/>
                <w:color w:val="000000"/>
                <w:sz w:val="24"/>
                <w:szCs w:val="24"/>
                <w:lang w:val="en-US" w:bidi="zh-CN"/>
              </w:rPr>
              <w:t>源</w:t>
            </w:r>
            <w:r>
              <w:rPr>
                <w:rFonts w:hint="default" w:ascii="Times New Roman" w:hAnsi="Times New Roman" w:cs="Times New Roman"/>
                <w:color w:val="000000"/>
                <w:sz w:val="24"/>
                <w:szCs w:val="24"/>
                <w:lang w:bidi="zh-CN"/>
              </w:rPr>
              <w:t>调查</w:t>
            </w:r>
          </w:p>
          <w:p w14:paraId="7B491994">
            <w:pPr>
              <w:spacing w:line="360" w:lineRule="auto"/>
              <w:ind w:firstLine="480" w:firstLineChars="200"/>
              <w:jc w:val="left"/>
              <w:rPr>
                <w:rFonts w:hint="default" w:ascii="Times New Roman" w:hAnsi="Times New Roman" w:eastAsia="黑体" w:cs="Times New Roman"/>
                <w:b w:val="0"/>
                <w:bCs/>
                <w:color w:val="000000"/>
              </w:rPr>
            </w:pPr>
            <w:r>
              <w:rPr>
                <w:rFonts w:hint="default" w:ascii="Times New Roman" w:hAnsi="Times New Roman" w:cs="Times New Roman"/>
                <w:color w:val="000000"/>
                <w:sz w:val="24"/>
                <w:szCs w:val="24"/>
                <w:lang w:bidi="zh-CN"/>
              </w:rPr>
              <w:t>项目涉及的风险物质为生产过程中涉及到的危险物质为</w:t>
            </w:r>
            <w:r>
              <w:rPr>
                <w:rFonts w:hint="eastAsia" w:ascii="Times New Roman" w:hAnsi="Times New Roman" w:cs="Times New Roman"/>
                <w:color w:val="000000"/>
                <w:sz w:val="24"/>
                <w:szCs w:val="24"/>
                <w:lang w:val="en-US" w:bidi="zh-CN"/>
              </w:rPr>
              <w:t>无铅锡膏、助焊剂、无水乙醇、废电路板、</w:t>
            </w:r>
            <w:r>
              <w:rPr>
                <w:rFonts w:hint="eastAsia" w:ascii="Times New Roman" w:hAnsi="Times New Roman" w:eastAsia="宋体" w:cs="Times New Roman"/>
                <w:sz w:val="24"/>
                <w:lang w:eastAsia="zh-CN"/>
              </w:rPr>
              <w:t>废</w:t>
            </w:r>
            <w:r>
              <w:rPr>
                <w:rFonts w:hint="eastAsia" w:ascii="Times New Roman" w:hAnsi="Times New Roman" w:eastAsia="宋体" w:cs="Times New Roman"/>
                <w:sz w:val="24"/>
                <w:lang w:val="en-US" w:eastAsia="zh-CN"/>
              </w:rPr>
              <w:t>辅料包装材料</w:t>
            </w:r>
            <w:r>
              <w:rPr>
                <w:rFonts w:hint="eastAsia" w:ascii="Times New Roman" w:hAnsi="Times New Roman" w:cs="Times New Roman"/>
                <w:color w:val="000000"/>
                <w:sz w:val="24"/>
                <w:szCs w:val="24"/>
                <w:lang w:val="en-US" w:bidi="zh-CN"/>
              </w:rPr>
              <w:t>、废擦拭布、废活性炭、废机油、废机油桶、废含油抹布手套</w:t>
            </w:r>
            <w:r>
              <w:rPr>
                <w:rFonts w:hint="default" w:ascii="Times New Roman" w:hAnsi="Times New Roman" w:cs="Times New Roman"/>
                <w:color w:val="000000"/>
                <w:sz w:val="24"/>
                <w:szCs w:val="24"/>
                <w:lang w:bidi="zh-CN"/>
              </w:rPr>
              <w:t>。主要分布于</w:t>
            </w:r>
            <w:r>
              <w:rPr>
                <w:rFonts w:hint="eastAsia" w:ascii="Times New Roman" w:hAnsi="Times New Roman" w:cs="Times New Roman"/>
                <w:color w:val="000000"/>
                <w:sz w:val="24"/>
                <w:szCs w:val="24"/>
                <w:lang w:val="en-US" w:bidi="zh-CN"/>
              </w:rPr>
              <w:t>辅料存放区</w:t>
            </w:r>
            <w:r>
              <w:rPr>
                <w:rFonts w:hint="default" w:ascii="Times New Roman" w:hAnsi="Times New Roman" w:cs="Times New Roman"/>
                <w:color w:val="000000"/>
                <w:sz w:val="24"/>
                <w:szCs w:val="24"/>
                <w:lang w:bidi="zh-CN"/>
              </w:rPr>
              <w:t>、</w:t>
            </w:r>
            <w:r>
              <w:rPr>
                <w:rFonts w:hint="eastAsia" w:ascii="Times New Roman" w:hAnsi="Times New Roman" w:eastAsia="宋体" w:cs="Times New Roman"/>
                <w:sz w:val="24"/>
                <w:lang w:val="en-US" w:eastAsia="zh-CN"/>
              </w:rPr>
              <w:t>危废贮存点</w:t>
            </w:r>
            <w:r>
              <w:rPr>
                <w:rFonts w:hint="default" w:ascii="Times New Roman" w:hAnsi="Times New Roman" w:cs="Times New Roman"/>
                <w:color w:val="000000"/>
                <w:sz w:val="24"/>
                <w:szCs w:val="24"/>
                <w:lang w:bidi="zh-CN"/>
              </w:rPr>
              <w:t>。本项目风险物质类别、分布情况见下表</w:t>
            </w:r>
            <w:r>
              <w:rPr>
                <w:rFonts w:hint="eastAsia" w:ascii="Times New Roman" w:hAnsi="Times New Roman" w:cs="Times New Roman"/>
                <w:color w:val="000000"/>
                <w:sz w:val="24"/>
                <w:szCs w:val="24"/>
                <w:lang w:bidi="zh-CN"/>
              </w:rPr>
              <w:t>。</w:t>
            </w:r>
          </w:p>
          <w:p w14:paraId="1491583A">
            <w:pPr>
              <w:spacing w:line="360" w:lineRule="auto"/>
              <w:jc w:val="center"/>
              <w:rPr>
                <w:rFonts w:hint="default" w:ascii="Times New Roman" w:hAnsi="Times New Roman" w:eastAsia="黑体" w:cs="Times New Roman"/>
                <w:b w:val="0"/>
                <w:bCs/>
                <w:color w:val="000000"/>
              </w:rPr>
            </w:pPr>
            <w:r>
              <w:rPr>
                <w:rFonts w:hint="default" w:ascii="Times New Roman" w:hAnsi="Times New Roman" w:eastAsia="黑体" w:cs="Times New Roman"/>
                <w:b w:val="0"/>
                <w:bCs/>
                <w:color w:val="000000"/>
              </w:rPr>
              <w:t>表4-</w:t>
            </w:r>
            <w:r>
              <w:rPr>
                <w:rFonts w:hint="eastAsia" w:ascii="Times New Roman" w:hAnsi="Times New Roman" w:eastAsia="黑体" w:cs="Times New Roman"/>
                <w:b w:val="0"/>
                <w:bCs/>
                <w:color w:val="000000"/>
                <w:lang w:val="en-US" w:eastAsia="zh-CN"/>
              </w:rPr>
              <w:t>17</w:t>
            </w:r>
            <w:r>
              <w:rPr>
                <w:rFonts w:hint="default" w:ascii="Times New Roman" w:hAnsi="Times New Roman" w:eastAsia="黑体" w:cs="Times New Roman"/>
                <w:b w:val="0"/>
                <w:bCs/>
                <w:color w:val="000000"/>
              </w:rPr>
              <w:t xml:space="preserve"> </w:t>
            </w:r>
            <w:r>
              <w:rPr>
                <w:rFonts w:hint="default" w:ascii="Times New Roman" w:hAnsi="Times New Roman" w:eastAsia="黑体" w:cs="Times New Roman"/>
                <w:bCs/>
                <w:color w:val="000000"/>
              </w:rPr>
              <w:t>环境风险物质分布情况</w:t>
            </w:r>
            <w:r>
              <w:rPr>
                <w:rFonts w:hint="eastAsia" w:ascii="Times New Roman" w:hAnsi="Times New Roman" w:eastAsia="黑体" w:cs="Times New Roman"/>
                <w:bCs/>
                <w:color w:val="000000"/>
                <w:lang w:val="en-US" w:eastAsia="zh-CN"/>
              </w:rPr>
              <w:t>一览</w:t>
            </w:r>
            <w:r>
              <w:rPr>
                <w:rFonts w:hint="default" w:ascii="Times New Roman" w:hAnsi="Times New Roman" w:eastAsia="黑体" w:cs="Times New Roman"/>
                <w:bCs/>
                <w:color w:val="000000"/>
              </w:rPr>
              <w:t>表</w:t>
            </w:r>
          </w:p>
          <w:tbl>
            <w:tblPr>
              <w:tblStyle w:val="5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90"/>
              <w:gridCol w:w="2338"/>
              <w:gridCol w:w="2687"/>
              <w:gridCol w:w="2039"/>
            </w:tblGrid>
            <w:tr w14:paraId="1D021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68" w:type="pct"/>
                  <w:noWrap w:val="0"/>
                  <w:vAlign w:val="center"/>
                </w:tcPr>
                <w:p w14:paraId="2B5CFAF6">
                  <w:pPr>
                    <w:keepLines w:val="0"/>
                    <w:pageBreakBefore w:val="0"/>
                    <w:widowControl w:val="0"/>
                    <w:kinsoku/>
                    <w:wordWrap/>
                    <w:overflowPunct/>
                    <w:topLinePunct w:val="0"/>
                    <w:autoSpaceDE w:val="0"/>
                    <w:autoSpaceDN w:val="0"/>
                    <w:bidi w:val="0"/>
                    <w:snapToGrid/>
                    <w:spacing w:line="360" w:lineRule="exact"/>
                    <w:jc w:val="center"/>
                    <w:textAlignment w:val="auto"/>
                    <w:rPr>
                      <w:rFonts w:hint="eastAsia" w:ascii="Times New Roman" w:hAnsi="Times New Roman" w:cs="Times New Roman" w:eastAsiaTheme="minorEastAsia"/>
                      <w:color w:val="000000"/>
                      <w:lang w:eastAsia="zh-CN"/>
                    </w:rPr>
                  </w:pPr>
                  <w:r>
                    <w:rPr>
                      <w:rFonts w:hint="eastAsia" w:ascii="Times New Roman" w:hAnsi="Times New Roman" w:cs="Times New Roman"/>
                      <w:color w:val="000000"/>
                      <w:spacing w:val="-6"/>
                      <w:lang w:val="en-US" w:eastAsia="zh-CN"/>
                    </w:rPr>
                    <w:t>序号</w:t>
                  </w:r>
                </w:p>
              </w:tc>
              <w:tc>
                <w:tcPr>
                  <w:tcW w:w="1433" w:type="pct"/>
                  <w:noWrap w:val="0"/>
                  <w:vAlign w:val="center"/>
                </w:tcPr>
                <w:p w14:paraId="4358C0D7">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lang w:val="en-US" w:eastAsia="zh-CN"/>
                    </w:rPr>
                  </w:pPr>
                  <w:r>
                    <w:rPr>
                      <w:rFonts w:hint="eastAsia" w:ascii="Times New Roman" w:hAnsi="Times New Roman" w:cs="Times New Roman"/>
                      <w:color w:val="000000"/>
                      <w:lang w:val="en-US" w:eastAsia="zh-CN"/>
                    </w:rPr>
                    <w:t>名称</w:t>
                  </w:r>
                </w:p>
              </w:tc>
              <w:tc>
                <w:tcPr>
                  <w:tcW w:w="1647" w:type="pct"/>
                  <w:shd w:val="clear" w:color="auto" w:fill="auto"/>
                  <w:noWrap w:val="0"/>
                  <w:vAlign w:val="center"/>
                </w:tcPr>
                <w:p w14:paraId="7717D0FE">
                  <w:pPr>
                    <w:keepLines w:val="0"/>
                    <w:pageBreakBefore w:val="0"/>
                    <w:widowControl w:val="0"/>
                    <w:kinsoku/>
                    <w:wordWrap/>
                    <w:overflowPunct/>
                    <w:topLinePunct w:val="0"/>
                    <w:autoSpaceDE w:val="0"/>
                    <w:autoSpaceDN w:val="0"/>
                    <w:bidi w:val="0"/>
                    <w:snapToGrid/>
                    <w:spacing w:line="360" w:lineRule="exact"/>
                    <w:jc w:val="center"/>
                    <w:textAlignment w:val="auto"/>
                    <w:rPr>
                      <w:rFonts w:hint="eastAsia" w:ascii="Times New Roman" w:hAnsi="Times New Roman" w:cs="Times New Roman" w:eastAsiaTheme="minorEastAsia"/>
                      <w:color w:val="000000"/>
                      <w:kern w:val="2"/>
                      <w:sz w:val="21"/>
                      <w:szCs w:val="24"/>
                      <w:lang w:val="en-US" w:eastAsia="zh-CN" w:bidi="ar-SA"/>
                    </w:rPr>
                  </w:pPr>
                  <w:r>
                    <w:rPr>
                      <w:rFonts w:hint="default" w:ascii="Times New Roman" w:hAnsi="Times New Roman" w:cs="Times New Roman"/>
                      <w:color w:val="000000"/>
                      <w:spacing w:val="-2"/>
                    </w:rPr>
                    <w:t>最大存在总量（t）</w:t>
                  </w:r>
                </w:p>
              </w:tc>
              <w:tc>
                <w:tcPr>
                  <w:tcW w:w="1250" w:type="pct"/>
                  <w:noWrap w:val="0"/>
                  <w:vAlign w:val="center"/>
                </w:tcPr>
                <w:p w14:paraId="6685B4C2">
                  <w:pPr>
                    <w:keepLines w:val="0"/>
                    <w:pageBreakBefore w:val="0"/>
                    <w:widowControl w:val="0"/>
                    <w:kinsoku/>
                    <w:wordWrap/>
                    <w:overflowPunct/>
                    <w:topLinePunct w:val="0"/>
                    <w:autoSpaceDE w:val="0"/>
                    <w:autoSpaceDN w:val="0"/>
                    <w:bidi w:val="0"/>
                    <w:snapToGrid/>
                    <w:spacing w:line="360" w:lineRule="exact"/>
                    <w:jc w:val="center"/>
                    <w:textAlignment w:va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储存位置</w:t>
                  </w:r>
                </w:p>
              </w:tc>
            </w:tr>
            <w:tr w14:paraId="62535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68" w:type="pct"/>
                  <w:noWrap w:val="0"/>
                  <w:vAlign w:val="center"/>
                </w:tcPr>
                <w:p w14:paraId="7C1373AA">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5"/>
                      <w:lang w:val="en-US" w:eastAsia="zh-CN"/>
                    </w:rPr>
                  </w:pPr>
                  <w:r>
                    <w:rPr>
                      <w:rFonts w:hint="eastAsia" w:ascii="Times New Roman" w:hAnsi="Times New Roman" w:cs="Times New Roman"/>
                      <w:color w:val="000000"/>
                      <w:spacing w:val="-5"/>
                      <w:lang w:val="en-US" w:eastAsia="zh-CN"/>
                    </w:rPr>
                    <w:t>1</w:t>
                  </w:r>
                </w:p>
              </w:tc>
              <w:tc>
                <w:tcPr>
                  <w:tcW w:w="1433" w:type="pct"/>
                  <w:shd w:val="clear" w:color="auto" w:fill="auto"/>
                  <w:noWrap w:val="0"/>
                  <w:vAlign w:val="center"/>
                </w:tcPr>
                <w:p w14:paraId="4BC395B4">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5"/>
                      <w:kern w:val="2"/>
                      <w:sz w:val="21"/>
                      <w:szCs w:val="24"/>
                      <w:lang w:val="en-US" w:eastAsia="zh-CN" w:bidi="ar-SA"/>
                    </w:rPr>
                  </w:pPr>
                  <w:r>
                    <w:rPr>
                      <w:rFonts w:hint="eastAsia" w:ascii="Times New Roman" w:hAnsi="Times New Roman" w:cs="Times New Roman"/>
                      <w:color w:val="000000"/>
                      <w:spacing w:val="-5"/>
                      <w:lang w:val="en-US" w:eastAsia="zh-CN"/>
                    </w:rPr>
                    <w:t>无铅锡膏</w:t>
                  </w:r>
                </w:p>
              </w:tc>
              <w:tc>
                <w:tcPr>
                  <w:tcW w:w="1647" w:type="pct"/>
                  <w:shd w:val="clear" w:color="auto" w:fill="auto"/>
                  <w:noWrap w:val="0"/>
                  <w:vAlign w:val="center"/>
                </w:tcPr>
                <w:p w14:paraId="01901220">
                  <w:pPr>
                    <w:keepLines w:val="0"/>
                    <w:pageBreakBefore w:val="0"/>
                    <w:widowControl w:val="0"/>
                    <w:kinsoku/>
                    <w:wordWrap/>
                    <w:overflowPunct/>
                    <w:topLinePunct w:val="0"/>
                    <w:autoSpaceDE w:val="0"/>
                    <w:autoSpaceDN w:val="0"/>
                    <w:bidi w:val="0"/>
                    <w:snapToGrid/>
                    <w:spacing w:line="360" w:lineRule="exact"/>
                    <w:jc w:val="center"/>
                    <w:textAlignment w:val="auto"/>
                    <w:rPr>
                      <w:rFonts w:hint="eastAsia" w:ascii="Times New Roman" w:hAnsi="Times New Roman" w:cs="Times New Roman" w:eastAsiaTheme="minorEastAsia"/>
                      <w:color w:val="000000"/>
                      <w:kern w:val="2"/>
                      <w:sz w:val="21"/>
                      <w:szCs w:val="24"/>
                      <w:lang w:val="en-US" w:eastAsia="zh-CN" w:bidi="ar-SA"/>
                    </w:rPr>
                  </w:pPr>
                  <w:r>
                    <w:rPr>
                      <w:rFonts w:hint="eastAsia" w:ascii="Times New Roman" w:hAnsi="Times New Roman" w:cs="Times New Roman"/>
                      <w:color w:val="000000"/>
                      <w:lang w:val="en-US" w:eastAsia="zh-CN"/>
                    </w:rPr>
                    <w:t>0.05</w:t>
                  </w:r>
                </w:p>
              </w:tc>
              <w:tc>
                <w:tcPr>
                  <w:tcW w:w="1250" w:type="pct"/>
                  <w:noWrap w:val="0"/>
                  <w:vAlign w:val="center"/>
                </w:tcPr>
                <w:p w14:paraId="17BAE51D">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lang w:val="en-US" w:eastAsia="zh-CN"/>
                    </w:rPr>
                    <w:t>辅料存放区</w:t>
                  </w:r>
                </w:p>
              </w:tc>
            </w:tr>
            <w:tr w14:paraId="1E003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68" w:type="pct"/>
                  <w:noWrap w:val="0"/>
                  <w:vAlign w:val="center"/>
                </w:tcPr>
                <w:p w14:paraId="3B6775ED">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5"/>
                      <w:lang w:val="en-US" w:eastAsia="zh-CN"/>
                    </w:rPr>
                  </w:pPr>
                  <w:r>
                    <w:rPr>
                      <w:rFonts w:hint="eastAsia" w:ascii="Times New Roman" w:hAnsi="Times New Roman" w:cs="Times New Roman"/>
                      <w:color w:val="000000"/>
                      <w:spacing w:val="-5"/>
                      <w:lang w:val="en-US" w:eastAsia="zh-CN"/>
                    </w:rPr>
                    <w:t>2</w:t>
                  </w:r>
                </w:p>
              </w:tc>
              <w:tc>
                <w:tcPr>
                  <w:tcW w:w="1433" w:type="pct"/>
                  <w:shd w:val="clear" w:color="auto" w:fill="auto"/>
                  <w:noWrap w:val="0"/>
                  <w:vAlign w:val="center"/>
                </w:tcPr>
                <w:p w14:paraId="6BD6DE53">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5"/>
                      <w:kern w:val="2"/>
                      <w:sz w:val="21"/>
                      <w:szCs w:val="24"/>
                      <w:lang w:val="en-US" w:eastAsia="zh-CN" w:bidi="ar-SA"/>
                    </w:rPr>
                  </w:pPr>
                  <w:r>
                    <w:rPr>
                      <w:rFonts w:hint="eastAsia" w:ascii="Times New Roman" w:hAnsi="Times New Roman" w:cs="Times New Roman"/>
                      <w:color w:val="000000"/>
                      <w:spacing w:val="-5"/>
                      <w:lang w:val="en-US" w:eastAsia="zh-CN"/>
                    </w:rPr>
                    <w:t>助焊剂</w:t>
                  </w:r>
                </w:p>
              </w:tc>
              <w:tc>
                <w:tcPr>
                  <w:tcW w:w="1647" w:type="pct"/>
                  <w:shd w:val="clear" w:color="auto" w:fill="auto"/>
                  <w:noWrap w:val="0"/>
                  <w:vAlign w:val="center"/>
                </w:tcPr>
                <w:p w14:paraId="2E6E57F5">
                  <w:pPr>
                    <w:keepLines w:val="0"/>
                    <w:pageBreakBefore w:val="0"/>
                    <w:widowControl w:val="0"/>
                    <w:kinsoku/>
                    <w:wordWrap/>
                    <w:overflowPunct/>
                    <w:topLinePunct w:val="0"/>
                    <w:autoSpaceDE w:val="0"/>
                    <w:autoSpaceDN w:val="0"/>
                    <w:bidi w:val="0"/>
                    <w:snapToGrid/>
                    <w:spacing w:line="360" w:lineRule="exact"/>
                    <w:jc w:val="center"/>
                    <w:textAlignment w:val="auto"/>
                    <w:rPr>
                      <w:rFonts w:hint="eastAsia" w:ascii="Times New Roman" w:hAnsi="Times New Roman" w:cs="Times New Roman" w:eastAsiaTheme="minorEastAsia"/>
                      <w:color w:val="000000"/>
                      <w:kern w:val="2"/>
                      <w:sz w:val="21"/>
                      <w:szCs w:val="24"/>
                      <w:lang w:val="en-US" w:eastAsia="zh-CN" w:bidi="ar-SA"/>
                    </w:rPr>
                  </w:pPr>
                  <w:r>
                    <w:rPr>
                      <w:rFonts w:hint="eastAsia" w:ascii="Times New Roman" w:hAnsi="Times New Roman" w:cs="Times New Roman"/>
                      <w:color w:val="000000"/>
                      <w:lang w:val="en-US" w:eastAsia="zh-CN"/>
                    </w:rPr>
                    <w:t>0.005</w:t>
                  </w:r>
                </w:p>
              </w:tc>
              <w:tc>
                <w:tcPr>
                  <w:tcW w:w="1250" w:type="pct"/>
                  <w:noWrap w:val="0"/>
                  <w:vAlign w:val="center"/>
                </w:tcPr>
                <w:p w14:paraId="27127AF1">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lang w:val="en-US" w:eastAsia="zh-CN"/>
                    </w:rPr>
                    <w:t>辅料存放区</w:t>
                  </w:r>
                </w:p>
              </w:tc>
            </w:tr>
            <w:tr w14:paraId="6C658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68" w:type="pct"/>
                  <w:noWrap w:val="0"/>
                  <w:vAlign w:val="center"/>
                </w:tcPr>
                <w:p w14:paraId="542ACF9F">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5"/>
                      <w:lang w:val="en-US" w:eastAsia="zh-CN"/>
                    </w:rPr>
                  </w:pPr>
                  <w:r>
                    <w:rPr>
                      <w:rFonts w:hint="eastAsia" w:ascii="Times New Roman" w:hAnsi="Times New Roman" w:cs="Times New Roman"/>
                      <w:color w:val="000000"/>
                      <w:spacing w:val="-5"/>
                      <w:lang w:val="en-US" w:eastAsia="zh-CN"/>
                    </w:rPr>
                    <w:t>3</w:t>
                  </w:r>
                </w:p>
              </w:tc>
              <w:tc>
                <w:tcPr>
                  <w:tcW w:w="1433" w:type="pct"/>
                  <w:shd w:val="clear" w:color="auto" w:fill="auto"/>
                  <w:noWrap w:val="0"/>
                  <w:vAlign w:val="center"/>
                </w:tcPr>
                <w:p w14:paraId="7873E817">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5"/>
                      <w:kern w:val="2"/>
                      <w:sz w:val="21"/>
                      <w:szCs w:val="24"/>
                      <w:lang w:val="en-US" w:eastAsia="zh-CN" w:bidi="ar-SA"/>
                    </w:rPr>
                  </w:pPr>
                  <w:r>
                    <w:rPr>
                      <w:rFonts w:hint="eastAsia" w:ascii="Times New Roman" w:hAnsi="Times New Roman" w:cs="Times New Roman"/>
                      <w:color w:val="000000"/>
                      <w:spacing w:val="-5"/>
                      <w:lang w:val="en-US" w:eastAsia="zh-CN"/>
                    </w:rPr>
                    <w:t>无水乙醇</w:t>
                  </w:r>
                </w:p>
              </w:tc>
              <w:tc>
                <w:tcPr>
                  <w:tcW w:w="1647" w:type="pct"/>
                  <w:shd w:val="clear" w:color="auto" w:fill="auto"/>
                  <w:noWrap w:val="0"/>
                  <w:vAlign w:val="center"/>
                </w:tcPr>
                <w:p w14:paraId="494D96D8">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kern w:val="2"/>
                      <w:sz w:val="21"/>
                      <w:szCs w:val="24"/>
                      <w:lang w:val="en-US" w:eastAsia="zh-CN" w:bidi="ar-SA"/>
                    </w:rPr>
                  </w:pPr>
                  <w:r>
                    <w:rPr>
                      <w:rFonts w:hint="eastAsia" w:ascii="Times New Roman" w:hAnsi="Times New Roman" w:cs="Times New Roman"/>
                      <w:color w:val="000000"/>
                      <w:lang w:val="en-US" w:eastAsia="zh-CN"/>
                    </w:rPr>
                    <w:t>0.001</w:t>
                  </w:r>
                </w:p>
              </w:tc>
              <w:tc>
                <w:tcPr>
                  <w:tcW w:w="1250" w:type="pct"/>
                  <w:noWrap w:val="0"/>
                  <w:vAlign w:val="center"/>
                </w:tcPr>
                <w:p w14:paraId="703D15DB">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lang w:val="en-US" w:eastAsia="zh-CN"/>
                    </w:rPr>
                    <w:t>辅料存放区</w:t>
                  </w:r>
                </w:p>
              </w:tc>
            </w:tr>
            <w:tr w14:paraId="60899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68" w:type="pct"/>
                  <w:shd w:val="clear" w:color="auto" w:fill="auto"/>
                  <w:noWrap w:val="0"/>
                  <w:vAlign w:val="center"/>
                </w:tcPr>
                <w:p w14:paraId="663329B6">
                  <w:pPr>
                    <w:keepLines w:val="0"/>
                    <w:pageBreakBefore w:val="0"/>
                    <w:widowControl w:val="0"/>
                    <w:kinsoku/>
                    <w:wordWrap/>
                    <w:overflowPunct/>
                    <w:topLinePunct w:val="0"/>
                    <w:autoSpaceDE w:val="0"/>
                    <w:autoSpaceDN w:val="0"/>
                    <w:bidi w:val="0"/>
                    <w:snapToGrid/>
                    <w:spacing w:line="360" w:lineRule="exact"/>
                    <w:jc w:val="center"/>
                    <w:textAlignment w:val="auto"/>
                    <w:rPr>
                      <w:rFonts w:hint="eastAsia" w:ascii="Times New Roman" w:hAnsi="Times New Roman" w:cs="Times New Roman" w:eastAsiaTheme="minorEastAsia"/>
                      <w:color w:val="000000"/>
                      <w:spacing w:val="-5"/>
                      <w:kern w:val="2"/>
                      <w:sz w:val="21"/>
                      <w:szCs w:val="24"/>
                      <w:lang w:val="en-US" w:eastAsia="zh-CN" w:bidi="ar-SA"/>
                    </w:rPr>
                  </w:pPr>
                  <w:r>
                    <w:rPr>
                      <w:rFonts w:hint="eastAsia" w:ascii="Times New Roman" w:hAnsi="Times New Roman" w:cs="Times New Roman"/>
                      <w:color w:val="000000"/>
                      <w:spacing w:val="-5"/>
                      <w:lang w:val="en-US" w:eastAsia="zh-CN"/>
                    </w:rPr>
                    <w:t>4</w:t>
                  </w:r>
                </w:p>
              </w:tc>
              <w:tc>
                <w:tcPr>
                  <w:tcW w:w="1433" w:type="pct"/>
                  <w:shd w:val="clear" w:color="auto" w:fill="auto"/>
                  <w:noWrap w:val="0"/>
                  <w:vAlign w:val="center"/>
                </w:tcPr>
                <w:p w14:paraId="7BFD2A20">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color w:val="000000"/>
                      <w:spacing w:val="-5"/>
                      <w:lang w:val="en-US" w:eastAsia="zh-CN"/>
                    </w:rPr>
                  </w:pPr>
                  <w:r>
                    <w:rPr>
                      <w:rFonts w:hint="eastAsia" w:ascii="Times New Roman" w:hAnsi="Times New Roman" w:cs="Times New Roman"/>
                      <w:color w:val="000000"/>
                      <w:spacing w:val="-5"/>
                      <w:lang w:val="en-US" w:eastAsia="zh-CN"/>
                    </w:rPr>
                    <w:t>废电路板</w:t>
                  </w:r>
                </w:p>
              </w:tc>
              <w:tc>
                <w:tcPr>
                  <w:tcW w:w="1647" w:type="pct"/>
                  <w:shd w:val="clear" w:color="auto" w:fill="auto"/>
                  <w:noWrap w:val="0"/>
                  <w:vAlign w:val="center"/>
                </w:tcPr>
                <w:p w14:paraId="1E6E50A1">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color w:val="000000"/>
                      <w:lang w:val="en-US" w:eastAsia="zh-CN"/>
                    </w:rPr>
                  </w:pPr>
                  <w:r>
                    <w:rPr>
                      <w:rFonts w:hint="eastAsia" w:ascii="Times New Roman" w:hAnsi="Times New Roman" w:cs="Times New Roman"/>
                      <w:color w:val="000000"/>
                      <w:lang w:val="en-US" w:eastAsia="zh-CN"/>
                    </w:rPr>
                    <w:t>0.0025</w:t>
                  </w:r>
                </w:p>
              </w:tc>
              <w:tc>
                <w:tcPr>
                  <w:tcW w:w="1250" w:type="pct"/>
                  <w:noWrap w:val="0"/>
                  <w:vAlign w:val="center"/>
                </w:tcPr>
                <w:p w14:paraId="6BDA25A8">
                  <w:pPr>
                    <w:keepLines w:val="0"/>
                    <w:pageBreakBefore w:val="0"/>
                    <w:widowControl w:val="0"/>
                    <w:kinsoku/>
                    <w:wordWrap/>
                    <w:overflowPunct/>
                    <w:topLinePunct w:val="0"/>
                    <w:autoSpaceDE w:val="0"/>
                    <w:autoSpaceDN w:val="0"/>
                    <w:bidi w:val="0"/>
                    <w:snapToGrid/>
                    <w:spacing w:line="360" w:lineRule="exact"/>
                    <w:jc w:val="center"/>
                    <w:textAlignment w:val="auto"/>
                    <w:rPr>
                      <w:rFonts w:hint="eastAsia" w:ascii="Times New Roman" w:hAnsi="Times New Roman" w:cs="Times New Roman"/>
                      <w:color w:val="000000"/>
                      <w:spacing w:val="-1"/>
                      <w:lang w:val="en-US" w:eastAsia="zh-CN"/>
                    </w:rPr>
                  </w:pPr>
                  <w:r>
                    <w:rPr>
                      <w:rFonts w:hint="eastAsia" w:ascii="Times New Roman" w:hAnsi="Times New Roman" w:cs="Times New Roman"/>
                      <w:color w:val="000000"/>
                      <w:spacing w:val="-1"/>
                    </w:rPr>
                    <w:t>危废贮存点</w:t>
                  </w:r>
                </w:p>
              </w:tc>
            </w:tr>
            <w:tr w14:paraId="08F21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68" w:type="pct"/>
                  <w:shd w:val="clear" w:color="auto" w:fill="auto"/>
                  <w:noWrap w:val="0"/>
                  <w:vAlign w:val="center"/>
                </w:tcPr>
                <w:p w14:paraId="6E6FD593">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5"/>
                      <w:kern w:val="2"/>
                      <w:sz w:val="21"/>
                      <w:szCs w:val="24"/>
                      <w:lang w:val="en-US" w:eastAsia="zh-CN" w:bidi="ar-SA"/>
                    </w:rPr>
                  </w:pPr>
                  <w:r>
                    <w:rPr>
                      <w:rFonts w:hint="eastAsia" w:ascii="Times New Roman" w:hAnsi="Times New Roman" w:cs="Times New Roman"/>
                      <w:color w:val="000000"/>
                      <w:spacing w:val="-5"/>
                      <w:lang w:val="en-US" w:eastAsia="zh-CN"/>
                    </w:rPr>
                    <w:t>5</w:t>
                  </w:r>
                </w:p>
              </w:tc>
              <w:tc>
                <w:tcPr>
                  <w:tcW w:w="1433" w:type="pct"/>
                  <w:shd w:val="clear" w:color="auto" w:fill="auto"/>
                  <w:noWrap w:val="0"/>
                  <w:vAlign w:val="center"/>
                </w:tcPr>
                <w:p w14:paraId="5D9A451B">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5"/>
                      <w:kern w:val="2"/>
                      <w:sz w:val="21"/>
                      <w:szCs w:val="24"/>
                      <w:lang w:val="en-US" w:eastAsia="zh-CN" w:bidi="ar-SA"/>
                    </w:rPr>
                  </w:pPr>
                  <w:r>
                    <w:rPr>
                      <w:rFonts w:hint="eastAsia" w:ascii="Times New Roman" w:hAnsi="Times New Roman" w:cs="Times New Roman"/>
                      <w:color w:val="000000"/>
                      <w:spacing w:val="-5"/>
                      <w:lang w:val="en-US" w:eastAsia="zh-CN"/>
                    </w:rPr>
                    <w:t>废辅料包装材料</w:t>
                  </w:r>
                </w:p>
              </w:tc>
              <w:tc>
                <w:tcPr>
                  <w:tcW w:w="1647" w:type="pct"/>
                  <w:shd w:val="clear" w:color="auto" w:fill="auto"/>
                  <w:noWrap w:val="0"/>
                  <w:vAlign w:val="center"/>
                </w:tcPr>
                <w:p w14:paraId="139D60C0">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kern w:val="2"/>
                      <w:sz w:val="21"/>
                      <w:szCs w:val="24"/>
                      <w:lang w:val="en-US" w:eastAsia="zh-CN" w:bidi="ar-SA"/>
                    </w:rPr>
                  </w:pPr>
                  <w:r>
                    <w:rPr>
                      <w:rFonts w:hint="eastAsia" w:ascii="Times New Roman" w:hAnsi="Times New Roman" w:cs="Times New Roman"/>
                      <w:color w:val="000000"/>
                      <w:kern w:val="2"/>
                      <w:sz w:val="21"/>
                      <w:szCs w:val="24"/>
                      <w:lang w:val="en-US" w:eastAsia="zh-CN" w:bidi="ar-SA"/>
                    </w:rPr>
                    <w:t>0.00575</w:t>
                  </w:r>
                </w:p>
              </w:tc>
              <w:tc>
                <w:tcPr>
                  <w:tcW w:w="1250" w:type="pct"/>
                  <w:noWrap w:val="0"/>
                  <w:vAlign w:val="center"/>
                </w:tcPr>
                <w:p w14:paraId="37FBA465">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rPr>
                    <w:t>危废贮存点</w:t>
                  </w:r>
                </w:p>
              </w:tc>
            </w:tr>
            <w:tr w14:paraId="0CE49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68" w:type="pct"/>
                  <w:shd w:val="clear" w:color="auto" w:fill="auto"/>
                  <w:noWrap w:val="0"/>
                  <w:vAlign w:val="center"/>
                </w:tcPr>
                <w:p w14:paraId="5236D8F7">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5"/>
                      <w:kern w:val="2"/>
                      <w:sz w:val="21"/>
                      <w:szCs w:val="24"/>
                      <w:lang w:val="en-US" w:eastAsia="zh-CN" w:bidi="ar-SA"/>
                    </w:rPr>
                  </w:pPr>
                  <w:r>
                    <w:rPr>
                      <w:rFonts w:hint="eastAsia" w:ascii="Times New Roman" w:hAnsi="Times New Roman" w:cs="Times New Roman"/>
                      <w:color w:val="000000"/>
                      <w:spacing w:val="-5"/>
                      <w:lang w:val="en-US" w:eastAsia="zh-CN"/>
                    </w:rPr>
                    <w:t>6</w:t>
                  </w:r>
                </w:p>
              </w:tc>
              <w:tc>
                <w:tcPr>
                  <w:tcW w:w="1433" w:type="pct"/>
                  <w:shd w:val="clear" w:color="auto" w:fill="auto"/>
                  <w:noWrap w:val="0"/>
                  <w:vAlign w:val="center"/>
                </w:tcPr>
                <w:p w14:paraId="1F7FFDA0">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5"/>
                      <w:kern w:val="2"/>
                      <w:sz w:val="21"/>
                      <w:szCs w:val="24"/>
                      <w:lang w:val="en-US" w:eastAsia="zh-CN" w:bidi="ar-SA"/>
                    </w:rPr>
                  </w:pPr>
                  <w:r>
                    <w:rPr>
                      <w:rFonts w:hint="eastAsia" w:ascii="Times New Roman" w:hAnsi="Times New Roman" w:cs="Times New Roman"/>
                      <w:color w:val="000000"/>
                      <w:spacing w:val="-5"/>
                      <w:lang w:val="en-US" w:eastAsia="zh-CN"/>
                    </w:rPr>
                    <w:t>废擦拭布</w:t>
                  </w:r>
                </w:p>
              </w:tc>
              <w:tc>
                <w:tcPr>
                  <w:tcW w:w="1647" w:type="pct"/>
                  <w:shd w:val="clear" w:color="auto" w:fill="auto"/>
                  <w:noWrap w:val="0"/>
                  <w:vAlign w:val="center"/>
                </w:tcPr>
                <w:p w14:paraId="534DE7BF">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kern w:val="2"/>
                      <w:sz w:val="21"/>
                      <w:szCs w:val="24"/>
                      <w:lang w:val="en-US" w:eastAsia="zh-CN" w:bidi="ar-SA"/>
                    </w:rPr>
                  </w:pPr>
                  <w:r>
                    <w:rPr>
                      <w:rFonts w:hint="eastAsia" w:ascii="Times New Roman" w:hAnsi="Times New Roman" w:cs="Times New Roman"/>
                      <w:color w:val="000000"/>
                      <w:kern w:val="2"/>
                      <w:sz w:val="21"/>
                      <w:szCs w:val="24"/>
                      <w:lang w:val="en-US" w:eastAsia="zh-CN" w:bidi="ar-SA"/>
                    </w:rPr>
                    <w:t>0.025</w:t>
                  </w:r>
                </w:p>
              </w:tc>
              <w:tc>
                <w:tcPr>
                  <w:tcW w:w="1250" w:type="pct"/>
                  <w:noWrap w:val="0"/>
                  <w:vAlign w:val="center"/>
                </w:tcPr>
                <w:p w14:paraId="11C733D1">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rPr>
                    <w:t>危废贮存点</w:t>
                  </w:r>
                </w:p>
              </w:tc>
            </w:tr>
            <w:tr w14:paraId="7E918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68" w:type="pct"/>
                  <w:shd w:val="clear" w:color="auto" w:fill="auto"/>
                  <w:noWrap w:val="0"/>
                  <w:vAlign w:val="center"/>
                </w:tcPr>
                <w:p w14:paraId="6F65B1AD">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5"/>
                      <w:kern w:val="2"/>
                      <w:sz w:val="21"/>
                      <w:szCs w:val="24"/>
                      <w:lang w:val="en-US" w:eastAsia="zh-CN" w:bidi="ar-SA"/>
                    </w:rPr>
                  </w:pPr>
                  <w:r>
                    <w:rPr>
                      <w:rFonts w:hint="eastAsia" w:ascii="Times New Roman" w:hAnsi="Times New Roman" w:cs="Times New Roman"/>
                      <w:color w:val="000000"/>
                      <w:spacing w:val="-5"/>
                      <w:lang w:val="en-US" w:eastAsia="zh-CN"/>
                    </w:rPr>
                    <w:t>7</w:t>
                  </w:r>
                </w:p>
              </w:tc>
              <w:tc>
                <w:tcPr>
                  <w:tcW w:w="1433" w:type="pct"/>
                  <w:shd w:val="clear" w:color="auto" w:fill="auto"/>
                  <w:noWrap w:val="0"/>
                  <w:vAlign w:val="center"/>
                </w:tcPr>
                <w:p w14:paraId="07EA67B4">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5"/>
                      <w:kern w:val="2"/>
                      <w:sz w:val="21"/>
                      <w:szCs w:val="24"/>
                      <w:lang w:val="en-US" w:eastAsia="zh-CN" w:bidi="ar-SA"/>
                    </w:rPr>
                  </w:pPr>
                  <w:r>
                    <w:rPr>
                      <w:rFonts w:hint="eastAsia" w:ascii="Times New Roman" w:hAnsi="Times New Roman" w:cs="Times New Roman"/>
                      <w:color w:val="000000"/>
                      <w:spacing w:val="-5"/>
                      <w:lang w:val="en-US" w:eastAsia="zh-CN"/>
                    </w:rPr>
                    <w:t>废活性炭</w:t>
                  </w:r>
                </w:p>
              </w:tc>
              <w:tc>
                <w:tcPr>
                  <w:tcW w:w="1647" w:type="pct"/>
                  <w:noWrap w:val="0"/>
                  <w:vAlign w:val="center"/>
                </w:tcPr>
                <w:p w14:paraId="3BC20850">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lang w:val="en-US" w:eastAsia="zh-CN"/>
                    </w:rPr>
                    <w:t>0.075</w:t>
                  </w:r>
                </w:p>
              </w:tc>
              <w:tc>
                <w:tcPr>
                  <w:tcW w:w="1250" w:type="pct"/>
                  <w:noWrap w:val="0"/>
                  <w:vAlign w:val="center"/>
                </w:tcPr>
                <w:p w14:paraId="7958A299">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rPr>
                    <w:t>危废贮存点</w:t>
                  </w:r>
                </w:p>
              </w:tc>
            </w:tr>
            <w:tr w14:paraId="12D3A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68" w:type="pct"/>
                  <w:shd w:val="clear" w:color="auto" w:fill="auto"/>
                  <w:noWrap w:val="0"/>
                  <w:vAlign w:val="center"/>
                </w:tcPr>
                <w:p w14:paraId="3D0A0054">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5"/>
                      <w:kern w:val="2"/>
                      <w:sz w:val="21"/>
                      <w:szCs w:val="24"/>
                      <w:lang w:val="en-US" w:eastAsia="zh-CN" w:bidi="ar-SA"/>
                    </w:rPr>
                  </w:pPr>
                  <w:r>
                    <w:rPr>
                      <w:rFonts w:hint="eastAsia" w:ascii="Times New Roman" w:hAnsi="Times New Roman" w:cs="Times New Roman"/>
                      <w:color w:val="000000"/>
                      <w:spacing w:val="-5"/>
                      <w:lang w:val="en-US" w:eastAsia="zh-CN"/>
                    </w:rPr>
                    <w:t>8</w:t>
                  </w:r>
                </w:p>
              </w:tc>
              <w:tc>
                <w:tcPr>
                  <w:tcW w:w="1433" w:type="pct"/>
                  <w:shd w:val="clear" w:color="auto" w:fill="auto"/>
                  <w:noWrap w:val="0"/>
                  <w:vAlign w:val="center"/>
                </w:tcPr>
                <w:p w14:paraId="6EC8BD2D">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废机油</w:t>
                  </w:r>
                </w:p>
              </w:tc>
              <w:tc>
                <w:tcPr>
                  <w:tcW w:w="1647" w:type="pct"/>
                  <w:noWrap w:val="0"/>
                  <w:vAlign w:val="center"/>
                </w:tcPr>
                <w:p w14:paraId="52B36B8F">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color w:val="000000"/>
                      <w:lang w:val="en-US" w:eastAsia="zh-CN"/>
                    </w:rPr>
                  </w:pPr>
                  <w:r>
                    <w:rPr>
                      <w:rFonts w:hint="eastAsia" w:ascii="Times New Roman" w:hAnsi="Times New Roman" w:cs="Times New Roman"/>
                      <w:color w:val="000000"/>
                      <w:lang w:val="en-US" w:eastAsia="zh-CN"/>
                    </w:rPr>
                    <w:t>0.0125</w:t>
                  </w:r>
                </w:p>
              </w:tc>
              <w:tc>
                <w:tcPr>
                  <w:tcW w:w="1250" w:type="pct"/>
                  <w:noWrap w:val="0"/>
                  <w:vAlign w:val="center"/>
                </w:tcPr>
                <w:p w14:paraId="07C7A346">
                  <w:pPr>
                    <w:keepLines w:val="0"/>
                    <w:pageBreakBefore w:val="0"/>
                    <w:widowControl w:val="0"/>
                    <w:kinsoku/>
                    <w:wordWrap/>
                    <w:overflowPunct/>
                    <w:topLinePunct w:val="0"/>
                    <w:autoSpaceDE w:val="0"/>
                    <w:autoSpaceDN w:val="0"/>
                    <w:bidi w:val="0"/>
                    <w:snapToGrid/>
                    <w:spacing w:line="360" w:lineRule="exact"/>
                    <w:jc w:val="center"/>
                    <w:textAlignment w:val="auto"/>
                    <w:rPr>
                      <w:rFonts w:hint="eastAsia" w:ascii="Times New Roman" w:hAnsi="Times New Roman" w:cs="Times New Roman"/>
                      <w:color w:val="000000"/>
                      <w:spacing w:val="-1"/>
                      <w:lang w:val="en-US" w:eastAsia="zh-CN"/>
                    </w:rPr>
                  </w:pPr>
                  <w:r>
                    <w:rPr>
                      <w:rFonts w:hint="eastAsia" w:ascii="Times New Roman" w:hAnsi="Times New Roman" w:cs="Times New Roman"/>
                      <w:color w:val="000000"/>
                      <w:spacing w:val="-1"/>
                    </w:rPr>
                    <w:t>危废贮存点</w:t>
                  </w:r>
                </w:p>
              </w:tc>
            </w:tr>
            <w:tr w14:paraId="11A8B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68" w:type="pct"/>
                  <w:shd w:val="clear" w:color="auto" w:fill="auto"/>
                  <w:noWrap w:val="0"/>
                  <w:vAlign w:val="center"/>
                </w:tcPr>
                <w:p w14:paraId="3774C55A">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spacing w:val="-5"/>
                      <w:kern w:val="2"/>
                      <w:sz w:val="21"/>
                      <w:szCs w:val="24"/>
                      <w:lang w:val="en-US" w:eastAsia="zh-CN" w:bidi="ar-SA"/>
                    </w:rPr>
                  </w:pPr>
                  <w:r>
                    <w:rPr>
                      <w:rFonts w:hint="eastAsia" w:ascii="Times New Roman" w:hAnsi="Times New Roman" w:cs="Times New Roman"/>
                      <w:color w:val="000000"/>
                      <w:spacing w:val="-5"/>
                      <w:lang w:val="en-US" w:eastAsia="zh-CN"/>
                    </w:rPr>
                    <w:t>9</w:t>
                  </w:r>
                </w:p>
              </w:tc>
              <w:tc>
                <w:tcPr>
                  <w:tcW w:w="1433" w:type="pct"/>
                  <w:shd w:val="clear" w:color="auto" w:fill="auto"/>
                  <w:noWrap w:val="0"/>
                  <w:vAlign w:val="center"/>
                </w:tcPr>
                <w:p w14:paraId="1BB7207F">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废机油桶</w:t>
                  </w:r>
                </w:p>
              </w:tc>
              <w:tc>
                <w:tcPr>
                  <w:tcW w:w="1647" w:type="pct"/>
                  <w:noWrap w:val="0"/>
                  <w:vAlign w:val="center"/>
                </w:tcPr>
                <w:p w14:paraId="34696B5F">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color w:val="000000"/>
                      <w:lang w:val="en-US" w:eastAsia="zh-CN"/>
                    </w:rPr>
                  </w:pPr>
                  <w:r>
                    <w:rPr>
                      <w:rFonts w:hint="eastAsia" w:ascii="Times New Roman" w:hAnsi="Times New Roman" w:cs="Times New Roman"/>
                      <w:color w:val="000000"/>
                      <w:lang w:val="en-US" w:eastAsia="zh-CN"/>
                    </w:rPr>
                    <w:t>0.0025</w:t>
                  </w:r>
                </w:p>
              </w:tc>
              <w:tc>
                <w:tcPr>
                  <w:tcW w:w="1250" w:type="pct"/>
                  <w:noWrap w:val="0"/>
                  <w:vAlign w:val="center"/>
                </w:tcPr>
                <w:p w14:paraId="11FEA57E">
                  <w:pPr>
                    <w:keepLines w:val="0"/>
                    <w:pageBreakBefore w:val="0"/>
                    <w:widowControl w:val="0"/>
                    <w:kinsoku/>
                    <w:wordWrap/>
                    <w:overflowPunct/>
                    <w:topLinePunct w:val="0"/>
                    <w:autoSpaceDE w:val="0"/>
                    <w:autoSpaceDN w:val="0"/>
                    <w:bidi w:val="0"/>
                    <w:snapToGrid/>
                    <w:spacing w:line="360" w:lineRule="exact"/>
                    <w:jc w:val="center"/>
                    <w:textAlignment w:val="auto"/>
                    <w:rPr>
                      <w:rFonts w:hint="eastAsia" w:ascii="Times New Roman" w:hAnsi="Times New Roman" w:cs="Times New Roman"/>
                      <w:color w:val="000000"/>
                      <w:spacing w:val="-1"/>
                      <w:lang w:val="en-US" w:eastAsia="zh-CN"/>
                    </w:rPr>
                  </w:pPr>
                  <w:r>
                    <w:rPr>
                      <w:rFonts w:hint="eastAsia" w:ascii="Times New Roman" w:hAnsi="Times New Roman" w:cs="Times New Roman"/>
                      <w:color w:val="000000"/>
                      <w:spacing w:val="-1"/>
                    </w:rPr>
                    <w:t>危废贮存点</w:t>
                  </w:r>
                </w:p>
              </w:tc>
            </w:tr>
            <w:tr w14:paraId="068B6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68" w:type="pct"/>
                  <w:noWrap w:val="0"/>
                  <w:vAlign w:val="center"/>
                </w:tcPr>
                <w:p w14:paraId="1A39F45B">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color w:val="000000"/>
                      <w:spacing w:val="-5"/>
                      <w:lang w:val="en-US" w:eastAsia="zh-CN"/>
                    </w:rPr>
                  </w:pPr>
                  <w:r>
                    <w:rPr>
                      <w:rFonts w:hint="eastAsia" w:ascii="Times New Roman" w:hAnsi="Times New Roman" w:cs="Times New Roman"/>
                      <w:color w:val="000000"/>
                      <w:spacing w:val="-5"/>
                      <w:lang w:val="en-US" w:eastAsia="zh-CN"/>
                    </w:rPr>
                    <w:t>10</w:t>
                  </w:r>
                </w:p>
              </w:tc>
              <w:tc>
                <w:tcPr>
                  <w:tcW w:w="1433" w:type="pct"/>
                  <w:shd w:val="clear" w:color="auto" w:fill="auto"/>
                  <w:noWrap w:val="0"/>
                  <w:vAlign w:val="center"/>
                </w:tcPr>
                <w:p w14:paraId="56E334E1">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eastAsia="zh-CN"/>
                    </w:rPr>
                    <w:t>废含油抹布手套</w:t>
                  </w:r>
                </w:p>
              </w:tc>
              <w:tc>
                <w:tcPr>
                  <w:tcW w:w="1647" w:type="pct"/>
                  <w:noWrap w:val="0"/>
                  <w:vAlign w:val="center"/>
                </w:tcPr>
                <w:p w14:paraId="0113D3D8">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color w:val="000000"/>
                      <w:lang w:val="en-US" w:eastAsia="zh-CN"/>
                    </w:rPr>
                  </w:pPr>
                  <w:r>
                    <w:rPr>
                      <w:rFonts w:hint="eastAsia" w:ascii="Times New Roman" w:hAnsi="Times New Roman" w:cs="Times New Roman"/>
                      <w:color w:val="000000"/>
                      <w:lang w:val="en-US" w:eastAsia="zh-CN"/>
                    </w:rPr>
                    <w:t>0.0025</w:t>
                  </w:r>
                </w:p>
              </w:tc>
              <w:tc>
                <w:tcPr>
                  <w:tcW w:w="1250" w:type="pct"/>
                  <w:noWrap w:val="0"/>
                  <w:vAlign w:val="center"/>
                </w:tcPr>
                <w:p w14:paraId="1A64891B">
                  <w:pPr>
                    <w:keepLines w:val="0"/>
                    <w:pageBreakBefore w:val="0"/>
                    <w:widowControl w:val="0"/>
                    <w:kinsoku/>
                    <w:wordWrap/>
                    <w:overflowPunct/>
                    <w:topLinePunct w:val="0"/>
                    <w:autoSpaceDE w:val="0"/>
                    <w:autoSpaceDN w:val="0"/>
                    <w:bidi w:val="0"/>
                    <w:snapToGrid/>
                    <w:spacing w:line="360" w:lineRule="exact"/>
                    <w:jc w:val="center"/>
                    <w:textAlignment w:val="auto"/>
                    <w:rPr>
                      <w:rFonts w:hint="eastAsia" w:ascii="Times New Roman" w:hAnsi="Times New Roman" w:cs="Times New Roman"/>
                      <w:color w:val="000000"/>
                      <w:spacing w:val="-1"/>
                      <w:lang w:val="en-US" w:eastAsia="zh-CN"/>
                    </w:rPr>
                  </w:pPr>
                  <w:r>
                    <w:rPr>
                      <w:rFonts w:hint="eastAsia" w:ascii="Times New Roman" w:hAnsi="Times New Roman" w:cs="Times New Roman"/>
                      <w:color w:val="000000"/>
                      <w:spacing w:val="-1"/>
                    </w:rPr>
                    <w:t>危废贮存点</w:t>
                  </w:r>
                </w:p>
              </w:tc>
            </w:tr>
          </w:tbl>
          <w:p w14:paraId="3FD4AEAA">
            <w:pPr>
              <w:spacing w:line="360" w:lineRule="auto"/>
              <w:ind w:firstLine="480" w:firstLineChars="200"/>
              <w:jc w:val="left"/>
              <w:rPr>
                <w:rFonts w:hint="default" w:ascii="Times New Roman" w:hAnsi="Times New Roman" w:eastAsia="黑体" w:cs="Times New Roman"/>
                <w:b w:val="0"/>
                <w:bCs/>
                <w:color w:val="000000"/>
              </w:rPr>
            </w:pPr>
            <w:r>
              <w:rPr>
                <w:rFonts w:hint="default" w:ascii="Times New Roman" w:hAnsi="Times New Roman" w:eastAsia="宋体" w:cs="Times New Roman"/>
                <w:sz w:val="24"/>
                <w:lang w:val="en-US" w:eastAsia="zh-CN"/>
              </w:rPr>
              <w:t>根据《建设项目环境风险评价技术导则》（HJ169-2018）附录C计算所涉及的每种风险物质在厂界内的最大存在总量与其在附录B中对应临界量的比值Q，结果如下</w:t>
            </w:r>
            <w:r>
              <w:rPr>
                <w:rFonts w:hint="eastAsia" w:ascii="Times New Roman" w:hAnsi="Times New Roman" w:eastAsia="宋体" w:cs="Times New Roman"/>
                <w:sz w:val="24"/>
                <w:lang w:val="en-US" w:eastAsia="zh-CN"/>
              </w:rPr>
              <w:t>：</w:t>
            </w:r>
          </w:p>
          <w:p w14:paraId="18B042DF">
            <w:pPr>
              <w:spacing w:line="360" w:lineRule="auto"/>
              <w:jc w:val="center"/>
              <w:rPr>
                <w:rFonts w:hint="default" w:ascii="Times New Roman" w:hAnsi="Times New Roman" w:eastAsia="黑体" w:cs="Times New Roman"/>
                <w:b w:val="0"/>
                <w:bCs/>
                <w:color w:val="000000"/>
              </w:rPr>
            </w:pPr>
            <w:r>
              <w:rPr>
                <w:rFonts w:hint="default" w:ascii="Times New Roman" w:hAnsi="Times New Roman" w:eastAsia="黑体" w:cs="Times New Roman"/>
                <w:b w:val="0"/>
                <w:bCs/>
                <w:color w:val="000000"/>
              </w:rPr>
              <w:t>表4-</w:t>
            </w:r>
            <w:r>
              <w:rPr>
                <w:rFonts w:hint="eastAsia" w:ascii="Times New Roman" w:hAnsi="Times New Roman" w:eastAsia="黑体" w:cs="Times New Roman"/>
                <w:b w:val="0"/>
                <w:bCs/>
                <w:color w:val="000000"/>
                <w:lang w:val="en-US" w:eastAsia="zh-CN"/>
              </w:rPr>
              <w:t>18</w:t>
            </w:r>
            <w:r>
              <w:rPr>
                <w:rFonts w:hint="default" w:ascii="Times New Roman" w:hAnsi="Times New Roman" w:eastAsia="黑体" w:cs="Times New Roman"/>
                <w:b w:val="0"/>
                <w:bCs/>
                <w:color w:val="000000"/>
              </w:rPr>
              <w:t xml:space="preserve"> 环境风险物质与临界量的比值结果</w:t>
            </w:r>
          </w:p>
          <w:tbl>
            <w:tblPr>
              <w:tblStyle w:val="5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032"/>
              <w:gridCol w:w="2039"/>
              <w:gridCol w:w="2043"/>
              <w:gridCol w:w="2040"/>
            </w:tblGrid>
            <w:tr w14:paraId="7861D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246" w:type="pct"/>
                  <w:noWrap w:val="0"/>
                  <w:vAlign w:val="center"/>
                </w:tcPr>
                <w:p w14:paraId="3B0B270C">
                  <w:pPr>
                    <w:autoSpaceDE w:val="0"/>
                    <w:autoSpaceDN w:val="0"/>
                    <w:jc w:val="center"/>
                    <w:rPr>
                      <w:rFonts w:hint="default" w:ascii="Times New Roman" w:hAnsi="Times New Roman" w:cs="Times New Roman"/>
                      <w:color w:val="000000"/>
                    </w:rPr>
                  </w:pPr>
                  <w:r>
                    <w:rPr>
                      <w:rFonts w:hint="default" w:ascii="Times New Roman" w:hAnsi="Times New Roman" w:cs="Times New Roman"/>
                      <w:color w:val="000000"/>
                      <w:spacing w:val="-6"/>
                    </w:rPr>
                    <w:t>名称</w:t>
                  </w:r>
                </w:p>
              </w:tc>
              <w:tc>
                <w:tcPr>
                  <w:tcW w:w="1250" w:type="pct"/>
                  <w:noWrap w:val="0"/>
                  <w:vAlign w:val="center"/>
                </w:tcPr>
                <w:p w14:paraId="2D47C84A">
                  <w:pPr>
                    <w:autoSpaceDE w:val="0"/>
                    <w:autoSpaceDN w:val="0"/>
                    <w:jc w:val="center"/>
                    <w:rPr>
                      <w:rFonts w:hint="eastAsia" w:ascii="Times New Roman" w:hAnsi="Times New Roman" w:cs="Times New Roman" w:eastAsiaTheme="minorEastAsia"/>
                      <w:color w:val="000000"/>
                      <w:lang w:val="en-US" w:eastAsia="zh-CN"/>
                    </w:rPr>
                  </w:pPr>
                  <w:r>
                    <w:rPr>
                      <w:rFonts w:hint="default" w:ascii="Times New Roman" w:hAnsi="Times New Roman" w:cs="Times New Roman"/>
                      <w:color w:val="000000"/>
                      <w:spacing w:val="-2"/>
                    </w:rPr>
                    <w:t>最大存在总量（t）</w:t>
                  </w:r>
                </w:p>
              </w:tc>
              <w:tc>
                <w:tcPr>
                  <w:tcW w:w="1252" w:type="pct"/>
                  <w:noWrap w:val="0"/>
                  <w:vAlign w:val="center"/>
                </w:tcPr>
                <w:p w14:paraId="5D69A224">
                  <w:pPr>
                    <w:autoSpaceDE w:val="0"/>
                    <w:autoSpaceDN w:val="0"/>
                    <w:jc w:val="center"/>
                    <w:rPr>
                      <w:rFonts w:hint="eastAsia" w:ascii="Times New Roman" w:hAnsi="Times New Roman" w:cs="Times New Roman" w:eastAsiaTheme="minorEastAsia"/>
                      <w:color w:val="000000"/>
                      <w:lang w:val="en-US" w:eastAsia="zh-CN"/>
                    </w:rPr>
                  </w:pPr>
                  <w:r>
                    <w:rPr>
                      <w:rFonts w:hint="default" w:ascii="Times New Roman" w:hAnsi="Times New Roman" w:cs="Times New Roman"/>
                      <w:color w:val="000000"/>
                      <w:spacing w:val="-3"/>
                    </w:rPr>
                    <w:t>临界量</w:t>
                  </w:r>
                  <w:r>
                    <w:rPr>
                      <w:rFonts w:hint="eastAsia" w:ascii="Times New Roman" w:hAnsi="Times New Roman" w:cs="Times New Roman"/>
                      <w:color w:val="000000"/>
                      <w:spacing w:val="-3"/>
                      <w:lang w:val="en-US" w:eastAsia="zh-CN"/>
                    </w:rPr>
                    <w:t>t</w:t>
                  </w:r>
                </w:p>
              </w:tc>
              <w:tc>
                <w:tcPr>
                  <w:tcW w:w="1250" w:type="pct"/>
                  <w:noWrap w:val="0"/>
                  <w:vAlign w:val="center"/>
                </w:tcPr>
                <w:p w14:paraId="4274B829">
                  <w:pPr>
                    <w:autoSpaceDE w:val="0"/>
                    <w:autoSpaceDN w:val="0"/>
                    <w:jc w:val="center"/>
                    <w:rPr>
                      <w:rFonts w:hint="default" w:ascii="Times New Roman" w:hAnsi="Times New Roman" w:eastAsia="Times New Roman" w:cs="Times New Roman"/>
                      <w:color w:val="000000"/>
                    </w:rPr>
                  </w:pPr>
                  <w:r>
                    <w:rPr>
                      <w:rFonts w:hint="default" w:ascii="Times New Roman" w:hAnsi="Times New Roman" w:eastAsia="Times New Roman" w:cs="Times New Roman"/>
                      <w:color w:val="000000"/>
                      <w:spacing w:val="-2"/>
                    </w:rPr>
                    <w:t>qi/Qi</w:t>
                  </w:r>
                </w:p>
              </w:tc>
            </w:tr>
            <w:tr w14:paraId="6AEBC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246" w:type="pct"/>
                  <w:noWrap w:val="0"/>
                  <w:vAlign w:val="center"/>
                </w:tcPr>
                <w:p w14:paraId="63C89EE3">
                  <w:pPr>
                    <w:autoSpaceDE w:val="0"/>
                    <w:autoSpaceDN w:val="0"/>
                    <w:jc w:val="center"/>
                    <w:rPr>
                      <w:rFonts w:hint="default" w:ascii="Times New Roman" w:hAnsi="Times New Roman" w:cs="Times New Roman" w:eastAsiaTheme="minorEastAsia"/>
                      <w:color w:val="000000"/>
                      <w:spacing w:val="-5"/>
                      <w:lang w:val="en-US" w:eastAsia="zh-CN"/>
                    </w:rPr>
                  </w:pPr>
                  <w:r>
                    <w:rPr>
                      <w:rFonts w:hint="eastAsia" w:ascii="Times New Roman" w:hAnsi="Times New Roman" w:cs="Times New Roman"/>
                      <w:color w:val="000000"/>
                      <w:spacing w:val="-5"/>
                      <w:lang w:val="en-US" w:eastAsia="zh-CN"/>
                    </w:rPr>
                    <w:t>无铅锡膏</w:t>
                  </w:r>
                </w:p>
              </w:tc>
              <w:tc>
                <w:tcPr>
                  <w:tcW w:w="2039" w:type="dxa"/>
                  <w:noWrap w:val="0"/>
                  <w:vAlign w:val="center"/>
                </w:tcPr>
                <w:p w14:paraId="197CBBB5">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lang w:val="en-US" w:eastAsia="zh-CN"/>
                    </w:rPr>
                  </w:pPr>
                  <w:r>
                    <w:rPr>
                      <w:rFonts w:hint="eastAsia" w:ascii="Times New Roman" w:hAnsi="Times New Roman" w:cs="Times New Roman"/>
                      <w:color w:val="000000"/>
                      <w:lang w:val="en-US" w:eastAsia="zh-CN"/>
                    </w:rPr>
                    <w:t>0.05</w:t>
                  </w:r>
                </w:p>
              </w:tc>
              <w:tc>
                <w:tcPr>
                  <w:tcW w:w="1252" w:type="pct"/>
                  <w:noWrap w:val="0"/>
                  <w:vAlign w:val="center"/>
                </w:tcPr>
                <w:p w14:paraId="04804066">
                  <w:pPr>
                    <w:autoSpaceDE w:val="0"/>
                    <w:autoSpaceDN w:val="0"/>
                    <w:jc w:val="center"/>
                    <w:rPr>
                      <w:rFonts w:hint="eastAsia"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lang w:val="en-US" w:eastAsia="zh-CN"/>
                    </w:rPr>
                    <w:t>5</w:t>
                  </w:r>
                </w:p>
              </w:tc>
              <w:tc>
                <w:tcPr>
                  <w:tcW w:w="1250" w:type="pct"/>
                  <w:noWrap w:val="0"/>
                  <w:vAlign w:val="center"/>
                </w:tcPr>
                <w:p w14:paraId="7B3A45F4">
                  <w:pPr>
                    <w:autoSpaceDE w:val="0"/>
                    <w:autoSpaceDN w:val="0"/>
                    <w:jc w:val="center"/>
                    <w:rPr>
                      <w:rFonts w:hint="default"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lang w:val="en-US" w:eastAsia="zh-CN"/>
                    </w:rPr>
                    <w:t>0.01</w:t>
                  </w:r>
                </w:p>
              </w:tc>
            </w:tr>
            <w:tr w14:paraId="472A2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246" w:type="pct"/>
                  <w:noWrap w:val="0"/>
                  <w:vAlign w:val="center"/>
                </w:tcPr>
                <w:p w14:paraId="66482F97">
                  <w:pPr>
                    <w:autoSpaceDE w:val="0"/>
                    <w:autoSpaceDN w:val="0"/>
                    <w:jc w:val="center"/>
                    <w:rPr>
                      <w:rFonts w:hint="eastAsia" w:ascii="Times New Roman" w:hAnsi="Times New Roman" w:cs="Times New Roman" w:eastAsiaTheme="minorEastAsia"/>
                      <w:color w:val="000000"/>
                      <w:spacing w:val="-5"/>
                      <w:lang w:val="en-US" w:eastAsia="zh-CN"/>
                    </w:rPr>
                  </w:pPr>
                  <w:r>
                    <w:rPr>
                      <w:rFonts w:hint="eastAsia" w:ascii="Times New Roman" w:hAnsi="Times New Roman" w:cs="Times New Roman"/>
                      <w:color w:val="000000"/>
                      <w:spacing w:val="-5"/>
                      <w:lang w:val="en-US" w:eastAsia="zh-CN"/>
                    </w:rPr>
                    <w:t>助焊剂</w:t>
                  </w:r>
                </w:p>
              </w:tc>
              <w:tc>
                <w:tcPr>
                  <w:tcW w:w="2039" w:type="dxa"/>
                  <w:noWrap w:val="0"/>
                  <w:vAlign w:val="center"/>
                </w:tcPr>
                <w:p w14:paraId="6327B989">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lang w:val="en-US" w:eastAsia="zh-CN"/>
                    </w:rPr>
                  </w:pPr>
                  <w:r>
                    <w:rPr>
                      <w:rFonts w:hint="eastAsia" w:ascii="Times New Roman" w:hAnsi="Times New Roman" w:cs="Times New Roman"/>
                      <w:color w:val="000000"/>
                      <w:lang w:val="en-US" w:eastAsia="zh-CN"/>
                    </w:rPr>
                    <w:t>0.005</w:t>
                  </w:r>
                </w:p>
              </w:tc>
              <w:tc>
                <w:tcPr>
                  <w:tcW w:w="1252" w:type="pct"/>
                  <w:noWrap w:val="0"/>
                  <w:vAlign w:val="center"/>
                </w:tcPr>
                <w:p w14:paraId="6CC9280A">
                  <w:pPr>
                    <w:autoSpaceDE w:val="0"/>
                    <w:autoSpaceDN w:val="0"/>
                    <w:jc w:val="center"/>
                    <w:rPr>
                      <w:rFonts w:hint="eastAsia"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lang w:val="en-US" w:eastAsia="zh-CN"/>
                    </w:rPr>
                    <w:t>5</w:t>
                  </w:r>
                </w:p>
              </w:tc>
              <w:tc>
                <w:tcPr>
                  <w:tcW w:w="1250" w:type="pct"/>
                  <w:noWrap w:val="0"/>
                  <w:vAlign w:val="center"/>
                </w:tcPr>
                <w:p w14:paraId="21122D59">
                  <w:pPr>
                    <w:autoSpaceDE w:val="0"/>
                    <w:autoSpaceDN w:val="0"/>
                    <w:jc w:val="center"/>
                    <w:rPr>
                      <w:rFonts w:hint="default"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lang w:val="en-US" w:eastAsia="zh-CN"/>
                    </w:rPr>
                    <w:t>0.001</w:t>
                  </w:r>
                </w:p>
              </w:tc>
            </w:tr>
            <w:tr w14:paraId="318FC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246" w:type="pct"/>
                  <w:noWrap w:val="0"/>
                  <w:vAlign w:val="center"/>
                </w:tcPr>
                <w:p w14:paraId="472BF940">
                  <w:pPr>
                    <w:autoSpaceDE w:val="0"/>
                    <w:autoSpaceDN w:val="0"/>
                    <w:jc w:val="center"/>
                    <w:rPr>
                      <w:rFonts w:hint="eastAsia" w:ascii="Times New Roman" w:hAnsi="Times New Roman" w:cs="Times New Roman" w:eastAsiaTheme="minorEastAsia"/>
                      <w:color w:val="000000"/>
                      <w:spacing w:val="-5"/>
                      <w:lang w:val="en-US" w:eastAsia="zh-CN"/>
                    </w:rPr>
                  </w:pPr>
                  <w:r>
                    <w:rPr>
                      <w:rFonts w:hint="eastAsia" w:ascii="Times New Roman" w:hAnsi="Times New Roman" w:cs="Times New Roman"/>
                      <w:color w:val="000000"/>
                      <w:spacing w:val="-5"/>
                      <w:lang w:val="en-US" w:eastAsia="zh-CN"/>
                    </w:rPr>
                    <w:t>乙醇</w:t>
                  </w:r>
                </w:p>
              </w:tc>
              <w:tc>
                <w:tcPr>
                  <w:tcW w:w="2039" w:type="dxa"/>
                  <w:noWrap w:val="0"/>
                  <w:vAlign w:val="center"/>
                </w:tcPr>
                <w:p w14:paraId="5B26D070">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lang w:val="en-US" w:eastAsia="zh-CN"/>
                    </w:rPr>
                  </w:pPr>
                  <w:r>
                    <w:rPr>
                      <w:rFonts w:hint="eastAsia" w:ascii="Times New Roman" w:hAnsi="Times New Roman" w:cs="Times New Roman"/>
                      <w:color w:val="000000"/>
                      <w:lang w:val="en-US" w:eastAsia="zh-CN"/>
                    </w:rPr>
                    <w:t>0.001</w:t>
                  </w:r>
                </w:p>
              </w:tc>
              <w:tc>
                <w:tcPr>
                  <w:tcW w:w="1252" w:type="pct"/>
                  <w:noWrap w:val="0"/>
                  <w:vAlign w:val="center"/>
                </w:tcPr>
                <w:p w14:paraId="0E491E56">
                  <w:pPr>
                    <w:autoSpaceDE w:val="0"/>
                    <w:autoSpaceDN w:val="0"/>
                    <w:jc w:val="center"/>
                    <w:rPr>
                      <w:rFonts w:hint="default"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lang w:val="en-US" w:eastAsia="zh-CN"/>
                    </w:rPr>
                    <w:t>500</w:t>
                  </w:r>
                </w:p>
              </w:tc>
              <w:tc>
                <w:tcPr>
                  <w:tcW w:w="1250" w:type="pct"/>
                  <w:noWrap w:val="0"/>
                  <w:vAlign w:val="center"/>
                </w:tcPr>
                <w:p w14:paraId="501CA351">
                  <w:pPr>
                    <w:autoSpaceDE w:val="0"/>
                    <w:autoSpaceDN w:val="0"/>
                    <w:jc w:val="center"/>
                    <w:rPr>
                      <w:rFonts w:hint="default"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lang w:val="en-US" w:eastAsia="zh-CN"/>
                    </w:rPr>
                    <w:t>0.000002</w:t>
                  </w:r>
                </w:p>
              </w:tc>
            </w:tr>
            <w:tr w14:paraId="4F198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246" w:type="pct"/>
                  <w:noWrap w:val="0"/>
                  <w:vAlign w:val="center"/>
                </w:tcPr>
                <w:p w14:paraId="04A2CC1D">
                  <w:pPr>
                    <w:autoSpaceDE w:val="0"/>
                    <w:autoSpaceDN w:val="0"/>
                    <w:jc w:val="center"/>
                    <w:rPr>
                      <w:rFonts w:hint="default" w:ascii="Times New Roman" w:hAnsi="Times New Roman" w:cs="Times New Roman"/>
                      <w:color w:val="000000"/>
                      <w:spacing w:val="-5"/>
                      <w:lang w:val="en-US" w:eastAsia="zh-CN"/>
                    </w:rPr>
                  </w:pPr>
                  <w:r>
                    <w:rPr>
                      <w:rFonts w:hint="eastAsia" w:ascii="Times New Roman" w:hAnsi="Times New Roman" w:cs="Times New Roman"/>
                      <w:color w:val="000000"/>
                      <w:spacing w:val="-5"/>
                      <w:lang w:val="en-US" w:eastAsia="zh-CN"/>
                    </w:rPr>
                    <w:t>废电路板</w:t>
                  </w:r>
                </w:p>
              </w:tc>
              <w:tc>
                <w:tcPr>
                  <w:tcW w:w="2039" w:type="dxa"/>
                  <w:noWrap w:val="0"/>
                  <w:vAlign w:val="center"/>
                </w:tcPr>
                <w:p w14:paraId="3F14F72C">
                  <w:pPr>
                    <w:keepLines w:val="0"/>
                    <w:pageBreakBefore w:val="0"/>
                    <w:widowControl w:val="0"/>
                    <w:kinsoku/>
                    <w:wordWrap/>
                    <w:overflowPunct/>
                    <w:topLinePunct w:val="0"/>
                    <w:autoSpaceDE w:val="0"/>
                    <w:autoSpaceDN w:val="0"/>
                    <w:bidi w:val="0"/>
                    <w:snapToGrid/>
                    <w:spacing w:line="360" w:lineRule="exact"/>
                    <w:jc w:val="center"/>
                    <w:textAlignment w:val="auto"/>
                    <w:rPr>
                      <w:rFonts w:hint="eastAsia" w:ascii="Times New Roman" w:hAnsi="Times New Roman" w:cs="Times New Roman"/>
                      <w:color w:val="000000"/>
                      <w:lang w:val="en-US" w:eastAsia="zh-CN"/>
                    </w:rPr>
                  </w:pPr>
                  <w:r>
                    <w:rPr>
                      <w:rFonts w:hint="eastAsia" w:ascii="Times New Roman" w:hAnsi="Times New Roman" w:cs="Times New Roman"/>
                      <w:color w:val="000000"/>
                      <w:lang w:val="en-US" w:eastAsia="zh-CN"/>
                    </w:rPr>
                    <w:t>0.0025</w:t>
                  </w:r>
                </w:p>
              </w:tc>
              <w:tc>
                <w:tcPr>
                  <w:tcW w:w="1252" w:type="pct"/>
                  <w:noWrap w:val="0"/>
                  <w:vAlign w:val="center"/>
                </w:tcPr>
                <w:p w14:paraId="77D50099">
                  <w:pPr>
                    <w:autoSpaceDE w:val="0"/>
                    <w:autoSpaceDN w:val="0"/>
                    <w:jc w:val="center"/>
                    <w:rPr>
                      <w:rFonts w:hint="default" w:ascii="Times New Roman" w:hAnsi="Times New Roman" w:cs="Times New Roman"/>
                      <w:color w:val="000000"/>
                      <w:spacing w:val="-1"/>
                      <w:lang w:val="en-US" w:eastAsia="zh-CN"/>
                    </w:rPr>
                  </w:pPr>
                  <w:r>
                    <w:rPr>
                      <w:rFonts w:hint="eastAsia" w:ascii="Times New Roman" w:hAnsi="Times New Roman" w:cs="Times New Roman"/>
                      <w:color w:val="000000"/>
                      <w:spacing w:val="-1"/>
                      <w:lang w:val="en-US" w:eastAsia="zh-CN"/>
                    </w:rPr>
                    <w:t>50</w:t>
                  </w:r>
                </w:p>
              </w:tc>
              <w:tc>
                <w:tcPr>
                  <w:tcW w:w="1250" w:type="pct"/>
                  <w:noWrap w:val="0"/>
                  <w:vAlign w:val="center"/>
                </w:tcPr>
                <w:p w14:paraId="730FE488">
                  <w:pPr>
                    <w:autoSpaceDE w:val="0"/>
                    <w:autoSpaceDN w:val="0"/>
                    <w:jc w:val="center"/>
                    <w:rPr>
                      <w:rFonts w:hint="default" w:ascii="Times New Roman" w:hAnsi="Times New Roman" w:cs="Times New Roman"/>
                      <w:color w:val="000000"/>
                      <w:spacing w:val="-1"/>
                      <w:lang w:val="en-US" w:eastAsia="zh-CN"/>
                    </w:rPr>
                  </w:pPr>
                  <w:r>
                    <w:rPr>
                      <w:rFonts w:hint="eastAsia" w:ascii="Times New Roman" w:hAnsi="Times New Roman" w:cs="Times New Roman"/>
                      <w:color w:val="000000"/>
                      <w:spacing w:val="-1"/>
                      <w:lang w:val="en-US" w:eastAsia="zh-CN"/>
                    </w:rPr>
                    <w:t>0.00005</w:t>
                  </w:r>
                </w:p>
              </w:tc>
            </w:tr>
            <w:tr w14:paraId="1C3BF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246" w:type="pct"/>
                  <w:noWrap w:val="0"/>
                  <w:vAlign w:val="center"/>
                </w:tcPr>
                <w:p w14:paraId="1594333E">
                  <w:pPr>
                    <w:autoSpaceDE w:val="0"/>
                    <w:autoSpaceDN w:val="0"/>
                    <w:jc w:val="center"/>
                    <w:rPr>
                      <w:rFonts w:hint="default" w:ascii="Times New Roman" w:hAnsi="Times New Roman" w:cs="Times New Roman"/>
                      <w:color w:val="000000"/>
                      <w:spacing w:val="-5"/>
                      <w:lang w:val="en-US" w:eastAsia="zh-CN"/>
                    </w:rPr>
                  </w:pPr>
                  <w:r>
                    <w:rPr>
                      <w:rFonts w:hint="eastAsia" w:ascii="Times New Roman" w:hAnsi="Times New Roman" w:cs="Times New Roman"/>
                      <w:color w:val="000000"/>
                      <w:spacing w:val="-5"/>
                      <w:lang w:val="en-US" w:eastAsia="zh-CN"/>
                    </w:rPr>
                    <w:t>废辅料包装材料</w:t>
                  </w:r>
                </w:p>
              </w:tc>
              <w:tc>
                <w:tcPr>
                  <w:tcW w:w="2039" w:type="dxa"/>
                  <w:noWrap w:val="0"/>
                  <w:vAlign w:val="center"/>
                </w:tcPr>
                <w:p w14:paraId="650282F3">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lang w:val="en-US" w:eastAsia="zh-CN"/>
                    </w:rPr>
                  </w:pPr>
                  <w:r>
                    <w:rPr>
                      <w:rFonts w:hint="eastAsia" w:ascii="Times New Roman" w:hAnsi="Times New Roman" w:cs="Times New Roman"/>
                      <w:color w:val="000000"/>
                      <w:kern w:val="2"/>
                      <w:sz w:val="21"/>
                      <w:szCs w:val="24"/>
                      <w:lang w:val="en-US" w:eastAsia="zh-CN" w:bidi="ar-SA"/>
                    </w:rPr>
                    <w:t>0.00575</w:t>
                  </w:r>
                </w:p>
              </w:tc>
              <w:tc>
                <w:tcPr>
                  <w:tcW w:w="1252" w:type="pct"/>
                  <w:noWrap w:val="0"/>
                  <w:vAlign w:val="center"/>
                </w:tcPr>
                <w:p w14:paraId="17817BB8">
                  <w:pPr>
                    <w:autoSpaceDE w:val="0"/>
                    <w:autoSpaceDN w:val="0"/>
                    <w:jc w:val="center"/>
                    <w:rPr>
                      <w:rFonts w:hint="default"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lang w:val="en-US" w:eastAsia="zh-CN"/>
                    </w:rPr>
                    <w:t>50</w:t>
                  </w:r>
                </w:p>
              </w:tc>
              <w:tc>
                <w:tcPr>
                  <w:tcW w:w="1250" w:type="pct"/>
                  <w:noWrap w:val="0"/>
                  <w:vAlign w:val="center"/>
                </w:tcPr>
                <w:p w14:paraId="20E816FA">
                  <w:pPr>
                    <w:autoSpaceDE w:val="0"/>
                    <w:autoSpaceDN w:val="0"/>
                    <w:jc w:val="center"/>
                    <w:rPr>
                      <w:rFonts w:hint="default"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lang w:val="en-US" w:eastAsia="zh-CN"/>
                    </w:rPr>
                    <w:t>0.000115</w:t>
                  </w:r>
                </w:p>
              </w:tc>
            </w:tr>
            <w:tr w14:paraId="2C75F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246" w:type="pct"/>
                  <w:noWrap w:val="0"/>
                  <w:vAlign w:val="center"/>
                </w:tcPr>
                <w:p w14:paraId="08AD38A9">
                  <w:pPr>
                    <w:autoSpaceDE w:val="0"/>
                    <w:autoSpaceDN w:val="0"/>
                    <w:jc w:val="center"/>
                    <w:rPr>
                      <w:rFonts w:hint="default" w:ascii="Times New Roman" w:hAnsi="Times New Roman" w:cs="Times New Roman"/>
                      <w:color w:val="000000"/>
                      <w:spacing w:val="-5"/>
                      <w:lang w:val="en-US" w:eastAsia="zh-CN"/>
                    </w:rPr>
                  </w:pPr>
                  <w:r>
                    <w:rPr>
                      <w:rFonts w:hint="eastAsia" w:ascii="Times New Roman" w:hAnsi="Times New Roman" w:cs="Times New Roman"/>
                      <w:color w:val="000000"/>
                      <w:spacing w:val="-5"/>
                      <w:lang w:val="en-US" w:eastAsia="zh-CN"/>
                    </w:rPr>
                    <w:t>废擦拭布</w:t>
                  </w:r>
                </w:p>
              </w:tc>
              <w:tc>
                <w:tcPr>
                  <w:tcW w:w="2039" w:type="dxa"/>
                  <w:noWrap w:val="0"/>
                  <w:vAlign w:val="center"/>
                </w:tcPr>
                <w:p w14:paraId="271C546D">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lang w:val="en-US" w:eastAsia="zh-CN"/>
                    </w:rPr>
                  </w:pPr>
                  <w:r>
                    <w:rPr>
                      <w:rFonts w:hint="eastAsia" w:ascii="Times New Roman" w:hAnsi="Times New Roman" w:cs="Times New Roman"/>
                      <w:color w:val="000000"/>
                      <w:kern w:val="2"/>
                      <w:sz w:val="21"/>
                      <w:szCs w:val="24"/>
                      <w:lang w:val="en-US" w:eastAsia="zh-CN" w:bidi="ar-SA"/>
                    </w:rPr>
                    <w:t>0.025</w:t>
                  </w:r>
                </w:p>
              </w:tc>
              <w:tc>
                <w:tcPr>
                  <w:tcW w:w="1252" w:type="pct"/>
                  <w:noWrap w:val="0"/>
                  <w:vAlign w:val="center"/>
                </w:tcPr>
                <w:p w14:paraId="202949C3">
                  <w:pPr>
                    <w:autoSpaceDE w:val="0"/>
                    <w:autoSpaceDN w:val="0"/>
                    <w:jc w:val="center"/>
                    <w:rPr>
                      <w:rFonts w:hint="default"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lang w:val="en-US" w:eastAsia="zh-CN"/>
                    </w:rPr>
                    <w:t>50</w:t>
                  </w:r>
                </w:p>
              </w:tc>
              <w:tc>
                <w:tcPr>
                  <w:tcW w:w="1250" w:type="pct"/>
                  <w:noWrap w:val="0"/>
                  <w:vAlign w:val="center"/>
                </w:tcPr>
                <w:p w14:paraId="413AE44C">
                  <w:pPr>
                    <w:autoSpaceDE w:val="0"/>
                    <w:autoSpaceDN w:val="0"/>
                    <w:jc w:val="center"/>
                    <w:rPr>
                      <w:rFonts w:hint="default"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lang w:val="en-US" w:eastAsia="zh-CN"/>
                    </w:rPr>
                    <w:t>0.0005</w:t>
                  </w:r>
                </w:p>
              </w:tc>
            </w:tr>
            <w:tr w14:paraId="69EE5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246" w:type="pct"/>
                  <w:noWrap w:val="0"/>
                  <w:vAlign w:val="center"/>
                </w:tcPr>
                <w:p w14:paraId="11A1105A">
                  <w:pPr>
                    <w:autoSpaceDE w:val="0"/>
                    <w:autoSpaceDN w:val="0"/>
                    <w:jc w:val="center"/>
                    <w:rPr>
                      <w:rFonts w:hint="default" w:ascii="Times New Roman" w:hAnsi="Times New Roman" w:cs="Times New Roman"/>
                      <w:color w:val="000000"/>
                      <w:spacing w:val="-5"/>
                      <w:lang w:val="en-US" w:eastAsia="zh-CN"/>
                    </w:rPr>
                  </w:pPr>
                  <w:r>
                    <w:rPr>
                      <w:rFonts w:hint="eastAsia" w:ascii="Times New Roman" w:hAnsi="Times New Roman" w:cs="Times New Roman"/>
                      <w:color w:val="000000"/>
                      <w:spacing w:val="-5"/>
                      <w:lang w:val="en-US" w:eastAsia="zh-CN"/>
                    </w:rPr>
                    <w:t>废活性炭</w:t>
                  </w:r>
                </w:p>
              </w:tc>
              <w:tc>
                <w:tcPr>
                  <w:tcW w:w="2039" w:type="dxa"/>
                  <w:noWrap w:val="0"/>
                  <w:vAlign w:val="center"/>
                </w:tcPr>
                <w:p w14:paraId="500A06E1">
                  <w:pPr>
                    <w:keepLines w:val="0"/>
                    <w:pageBreakBefore w:val="0"/>
                    <w:widowControl w:val="0"/>
                    <w:kinsoku/>
                    <w:wordWrap/>
                    <w:overflowPunct/>
                    <w:topLinePunct w:val="0"/>
                    <w:autoSpaceDE w:val="0"/>
                    <w:autoSpaceDN w:val="0"/>
                    <w:bidi w:val="0"/>
                    <w:snapToGrid/>
                    <w:spacing w:line="360" w:lineRule="exact"/>
                    <w:jc w:val="center"/>
                    <w:textAlignment w:val="auto"/>
                    <w:rPr>
                      <w:rFonts w:hint="default" w:ascii="Times New Roman" w:hAnsi="Times New Roman" w:cs="Times New Roman" w:eastAsiaTheme="minorEastAsia"/>
                      <w:color w:val="000000"/>
                      <w:lang w:val="en-US" w:eastAsia="zh-CN"/>
                    </w:rPr>
                  </w:pPr>
                  <w:r>
                    <w:rPr>
                      <w:rFonts w:hint="eastAsia" w:ascii="Times New Roman" w:hAnsi="Times New Roman" w:cs="Times New Roman"/>
                      <w:color w:val="000000"/>
                      <w:spacing w:val="-1"/>
                      <w:lang w:val="en-US" w:eastAsia="zh-CN"/>
                    </w:rPr>
                    <w:t>0.075</w:t>
                  </w:r>
                </w:p>
              </w:tc>
              <w:tc>
                <w:tcPr>
                  <w:tcW w:w="1252" w:type="pct"/>
                  <w:noWrap w:val="0"/>
                  <w:vAlign w:val="center"/>
                </w:tcPr>
                <w:p w14:paraId="5D7F87B6">
                  <w:pPr>
                    <w:autoSpaceDE w:val="0"/>
                    <w:autoSpaceDN w:val="0"/>
                    <w:jc w:val="center"/>
                    <w:rPr>
                      <w:rFonts w:hint="default"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lang w:val="en-US" w:eastAsia="zh-CN"/>
                    </w:rPr>
                    <w:t>50</w:t>
                  </w:r>
                </w:p>
              </w:tc>
              <w:tc>
                <w:tcPr>
                  <w:tcW w:w="1250" w:type="pct"/>
                  <w:noWrap w:val="0"/>
                  <w:vAlign w:val="center"/>
                </w:tcPr>
                <w:p w14:paraId="0D964D44">
                  <w:pPr>
                    <w:autoSpaceDE w:val="0"/>
                    <w:autoSpaceDN w:val="0"/>
                    <w:jc w:val="center"/>
                    <w:rPr>
                      <w:rFonts w:hint="default"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lang w:val="en-US" w:eastAsia="zh-CN"/>
                    </w:rPr>
                    <w:t>0.0015</w:t>
                  </w:r>
                </w:p>
              </w:tc>
            </w:tr>
            <w:tr w14:paraId="268FC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246" w:type="pct"/>
                  <w:shd w:val="clear" w:color="auto" w:fill="auto"/>
                  <w:noWrap w:val="0"/>
                  <w:vAlign w:val="center"/>
                </w:tcPr>
                <w:p w14:paraId="69E0ABA3">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废机油</w:t>
                  </w:r>
                </w:p>
              </w:tc>
              <w:tc>
                <w:tcPr>
                  <w:tcW w:w="2039" w:type="dxa"/>
                  <w:shd w:val="clear" w:color="auto" w:fill="auto"/>
                  <w:noWrap w:val="0"/>
                  <w:vAlign w:val="center"/>
                </w:tcPr>
                <w:p w14:paraId="56F192C4">
                  <w:pPr>
                    <w:keepLines w:val="0"/>
                    <w:pageBreakBefore w:val="0"/>
                    <w:widowControl w:val="0"/>
                    <w:kinsoku/>
                    <w:wordWrap/>
                    <w:overflowPunct/>
                    <w:topLinePunct w:val="0"/>
                    <w:autoSpaceDE w:val="0"/>
                    <w:autoSpaceDN w:val="0"/>
                    <w:bidi w:val="0"/>
                    <w:snapToGrid/>
                    <w:spacing w:line="360" w:lineRule="exact"/>
                    <w:jc w:val="center"/>
                    <w:textAlignment w:val="auto"/>
                    <w:rPr>
                      <w:rFonts w:hint="eastAsia" w:ascii="Times New Roman" w:hAnsi="Times New Roman" w:cs="Times New Roman" w:eastAsiaTheme="minorEastAsia"/>
                      <w:color w:val="000000"/>
                      <w:kern w:val="2"/>
                      <w:sz w:val="21"/>
                      <w:szCs w:val="24"/>
                      <w:lang w:val="en-US" w:eastAsia="zh-CN" w:bidi="ar-SA"/>
                    </w:rPr>
                  </w:pPr>
                  <w:r>
                    <w:rPr>
                      <w:rFonts w:hint="eastAsia" w:ascii="Times New Roman" w:hAnsi="Times New Roman" w:cs="Times New Roman"/>
                      <w:color w:val="000000"/>
                      <w:lang w:val="en-US" w:eastAsia="zh-CN"/>
                    </w:rPr>
                    <w:t>0.0125</w:t>
                  </w:r>
                </w:p>
              </w:tc>
              <w:tc>
                <w:tcPr>
                  <w:tcW w:w="1252" w:type="pct"/>
                  <w:noWrap w:val="0"/>
                  <w:vAlign w:val="center"/>
                </w:tcPr>
                <w:p w14:paraId="551F9EC8">
                  <w:pPr>
                    <w:autoSpaceDE w:val="0"/>
                    <w:autoSpaceDN w:val="0"/>
                    <w:jc w:val="center"/>
                    <w:rPr>
                      <w:rFonts w:hint="default" w:ascii="Times New Roman" w:hAnsi="Times New Roman" w:cs="Times New Roman"/>
                      <w:color w:val="000000"/>
                      <w:spacing w:val="-1"/>
                      <w:lang w:val="en-US" w:eastAsia="zh-CN"/>
                    </w:rPr>
                  </w:pPr>
                  <w:r>
                    <w:rPr>
                      <w:rFonts w:hint="eastAsia" w:ascii="Times New Roman" w:hAnsi="Times New Roman" w:cs="Times New Roman"/>
                      <w:color w:val="000000"/>
                      <w:spacing w:val="-1"/>
                      <w:lang w:val="en-US" w:eastAsia="zh-CN"/>
                    </w:rPr>
                    <w:t>2500</w:t>
                  </w:r>
                </w:p>
              </w:tc>
              <w:tc>
                <w:tcPr>
                  <w:tcW w:w="1250" w:type="pct"/>
                  <w:noWrap w:val="0"/>
                  <w:vAlign w:val="center"/>
                </w:tcPr>
                <w:p w14:paraId="2B22665D">
                  <w:pPr>
                    <w:autoSpaceDE w:val="0"/>
                    <w:autoSpaceDN w:val="0"/>
                    <w:jc w:val="center"/>
                    <w:rPr>
                      <w:rFonts w:hint="default" w:ascii="Times New Roman" w:hAnsi="Times New Roman" w:cs="Times New Roman"/>
                      <w:color w:val="000000"/>
                      <w:spacing w:val="-1"/>
                      <w:lang w:val="en-US" w:eastAsia="zh-CN"/>
                    </w:rPr>
                  </w:pPr>
                  <w:r>
                    <w:rPr>
                      <w:rFonts w:hint="eastAsia" w:ascii="Times New Roman" w:hAnsi="Times New Roman" w:cs="Times New Roman"/>
                      <w:color w:val="000000"/>
                      <w:spacing w:val="-1"/>
                      <w:lang w:val="en-US" w:eastAsia="zh-CN"/>
                    </w:rPr>
                    <w:t>0.000005</w:t>
                  </w:r>
                </w:p>
              </w:tc>
            </w:tr>
            <w:tr w14:paraId="6C512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246" w:type="pct"/>
                  <w:shd w:val="clear" w:color="auto" w:fill="auto"/>
                  <w:noWrap w:val="0"/>
                  <w:vAlign w:val="center"/>
                </w:tcPr>
                <w:p w14:paraId="41D4B3C1">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废机油桶</w:t>
                  </w:r>
                </w:p>
              </w:tc>
              <w:tc>
                <w:tcPr>
                  <w:tcW w:w="2039" w:type="dxa"/>
                  <w:shd w:val="clear" w:color="auto" w:fill="auto"/>
                  <w:noWrap w:val="0"/>
                  <w:vAlign w:val="center"/>
                </w:tcPr>
                <w:p w14:paraId="5684CA5A">
                  <w:pPr>
                    <w:keepLines w:val="0"/>
                    <w:pageBreakBefore w:val="0"/>
                    <w:widowControl w:val="0"/>
                    <w:kinsoku/>
                    <w:wordWrap/>
                    <w:overflowPunct/>
                    <w:topLinePunct w:val="0"/>
                    <w:autoSpaceDE w:val="0"/>
                    <w:autoSpaceDN w:val="0"/>
                    <w:bidi w:val="0"/>
                    <w:snapToGrid/>
                    <w:spacing w:line="360" w:lineRule="exact"/>
                    <w:jc w:val="center"/>
                    <w:textAlignment w:val="auto"/>
                    <w:rPr>
                      <w:rFonts w:hint="eastAsia" w:ascii="Times New Roman" w:hAnsi="Times New Roman" w:cs="Times New Roman" w:eastAsiaTheme="minorEastAsia"/>
                      <w:color w:val="000000"/>
                      <w:kern w:val="2"/>
                      <w:sz w:val="21"/>
                      <w:szCs w:val="24"/>
                      <w:lang w:val="en-US" w:eastAsia="zh-CN" w:bidi="ar-SA"/>
                    </w:rPr>
                  </w:pPr>
                  <w:r>
                    <w:rPr>
                      <w:rFonts w:hint="eastAsia" w:ascii="Times New Roman" w:hAnsi="Times New Roman" w:cs="Times New Roman"/>
                      <w:color w:val="000000"/>
                      <w:lang w:val="en-US" w:eastAsia="zh-CN"/>
                    </w:rPr>
                    <w:t>0.0025</w:t>
                  </w:r>
                </w:p>
              </w:tc>
              <w:tc>
                <w:tcPr>
                  <w:tcW w:w="1252" w:type="pct"/>
                  <w:noWrap w:val="0"/>
                  <w:vAlign w:val="center"/>
                </w:tcPr>
                <w:p w14:paraId="6B5D6B2E">
                  <w:pPr>
                    <w:autoSpaceDE w:val="0"/>
                    <w:autoSpaceDN w:val="0"/>
                    <w:jc w:val="center"/>
                    <w:rPr>
                      <w:rFonts w:hint="default" w:ascii="Times New Roman" w:hAnsi="Times New Roman" w:cs="Times New Roman"/>
                      <w:color w:val="000000"/>
                      <w:spacing w:val="-1"/>
                      <w:lang w:val="en-US" w:eastAsia="zh-CN"/>
                    </w:rPr>
                  </w:pPr>
                  <w:r>
                    <w:rPr>
                      <w:rFonts w:hint="eastAsia" w:ascii="Times New Roman" w:hAnsi="Times New Roman" w:cs="Times New Roman"/>
                      <w:color w:val="000000"/>
                      <w:spacing w:val="-1"/>
                      <w:lang w:val="en-US" w:eastAsia="zh-CN"/>
                    </w:rPr>
                    <w:t>50</w:t>
                  </w:r>
                </w:p>
              </w:tc>
              <w:tc>
                <w:tcPr>
                  <w:tcW w:w="1250" w:type="pct"/>
                  <w:noWrap w:val="0"/>
                  <w:vAlign w:val="center"/>
                </w:tcPr>
                <w:p w14:paraId="5B85D82D">
                  <w:pPr>
                    <w:autoSpaceDE w:val="0"/>
                    <w:autoSpaceDN w:val="0"/>
                    <w:jc w:val="center"/>
                    <w:rPr>
                      <w:rFonts w:hint="default" w:ascii="Times New Roman" w:hAnsi="Times New Roman" w:cs="Times New Roman"/>
                      <w:color w:val="000000"/>
                      <w:spacing w:val="-1"/>
                      <w:lang w:val="en-US" w:eastAsia="zh-CN"/>
                    </w:rPr>
                  </w:pPr>
                  <w:r>
                    <w:rPr>
                      <w:rFonts w:hint="eastAsia" w:ascii="Times New Roman" w:hAnsi="Times New Roman" w:cs="Times New Roman"/>
                      <w:color w:val="000000"/>
                      <w:spacing w:val="-1"/>
                      <w:lang w:val="en-US" w:eastAsia="zh-CN"/>
                    </w:rPr>
                    <w:t>0.00005</w:t>
                  </w:r>
                </w:p>
              </w:tc>
            </w:tr>
            <w:tr w14:paraId="10CAB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246" w:type="pct"/>
                  <w:shd w:val="clear" w:color="auto" w:fill="auto"/>
                  <w:noWrap w:val="0"/>
                  <w:vAlign w:val="center"/>
                </w:tcPr>
                <w:p w14:paraId="29EE8CA2">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eastAsia="zh-CN"/>
                    </w:rPr>
                    <w:t>废含油抹布手套</w:t>
                  </w:r>
                </w:p>
              </w:tc>
              <w:tc>
                <w:tcPr>
                  <w:tcW w:w="2039" w:type="dxa"/>
                  <w:shd w:val="clear" w:color="auto" w:fill="auto"/>
                  <w:noWrap w:val="0"/>
                  <w:vAlign w:val="center"/>
                </w:tcPr>
                <w:p w14:paraId="4A15A61A">
                  <w:pPr>
                    <w:keepLines w:val="0"/>
                    <w:pageBreakBefore w:val="0"/>
                    <w:widowControl w:val="0"/>
                    <w:kinsoku/>
                    <w:wordWrap/>
                    <w:overflowPunct/>
                    <w:topLinePunct w:val="0"/>
                    <w:autoSpaceDE w:val="0"/>
                    <w:autoSpaceDN w:val="0"/>
                    <w:bidi w:val="0"/>
                    <w:snapToGrid/>
                    <w:spacing w:line="360" w:lineRule="exact"/>
                    <w:jc w:val="center"/>
                    <w:textAlignment w:val="auto"/>
                    <w:rPr>
                      <w:rFonts w:hint="eastAsia" w:ascii="Times New Roman" w:hAnsi="Times New Roman" w:cs="Times New Roman" w:eastAsiaTheme="minorEastAsia"/>
                      <w:color w:val="000000"/>
                      <w:kern w:val="2"/>
                      <w:sz w:val="21"/>
                      <w:szCs w:val="24"/>
                      <w:lang w:val="en-US" w:eastAsia="zh-CN" w:bidi="ar-SA"/>
                    </w:rPr>
                  </w:pPr>
                  <w:r>
                    <w:rPr>
                      <w:rFonts w:hint="eastAsia" w:ascii="Times New Roman" w:hAnsi="Times New Roman" w:cs="Times New Roman"/>
                      <w:color w:val="000000"/>
                      <w:lang w:val="en-US" w:eastAsia="zh-CN"/>
                    </w:rPr>
                    <w:t>0.0025</w:t>
                  </w:r>
                </w:p>
              </w:tc>
              <w:tc>
                <w:tcPr>
                  <w:tcW w:w="1252" w:type="pct"/>
                  <w:noWrap w:val="0"/>
                  <w:vAlign w:val="center"/>
                </w:tcPr>
                <w:p w14:paraId="743DD6F8">
                  <w:pPr>
                    <w:autoSpaceDE w:val="0"/>
                    <w:autoSpaceDN w:val="0"/>
                    <w:jc w:val="center"/>
                    <w:rPr>
                      <w:rFonts w:hint="default" w:ascii="Times New Roman" w:hAnsi="Times New Roman" w:cs="Times New Roman"/>
                      <w:color w:val="000000"/>
                      <w:spacing w:val="-1"/>
                      <w:lang w:val="en-US" w:eastAsia="zh-CN"/>
                    </w:rPr>
                  </w:pPr>
                  <w:r>
                    <w:rPr>
                      <w:rFonts w:hint="eastAsia" w:ascii="Times New Roman" w:hAnsi="Times New Roman" w:cs="Times New Roman"/>
                      <w:color w:val="000000"/>
                      <w:spacing w:val="-1"/>
                      <w:lang w:val="en-US" w:eastAsia="zh-CN"/>
                    </w:rPr>
                    <w:t>50</w:t>
                  </w:r>
                </w:p>
              </w:tc>
              <w:tc>
                <w:tcPr>
                  <w:tcW w:w="1250" w:type="pct"/>
                  <w:noWrap w:val="0"/>
                  <w:vAlign w:val="center"/>
                </w:tcPr>
                <w:p w14:paraId="508DBB50">
                  <w:pPr>
                    <w:autoSpaceDE w:val="0"/>
                    <w:autoSpaceDN w:val="0"/>
                    <w:jc w:val="center"/>
                    <w:rPr>
                      <w:rFonts w:hint="default" w:ascii="Times New Roman" w:hAnsi="Times New Roman" w:cs="Times New Roman"/>
                      <w:color w:val="000000"/>
                      <w:spacing w:val="-1"/>
                      <w:lang w:val="en-US" w:eastAsia="zh-CN"/>
                    </w:rPr>
                  </w:pPr>
                  <w:r>
                    <w:rPr>
                      <w:rFonts w:hint="eastAsia" w:ascii="Times New Roman" w:hAnsi="Times New Roman" w:cs="Times New Roman"/>
                      <w:color w:val="000000"/>
                      <w:spacing w:val="-1"/>
                      <w:lang w:val="en-US" w:eastAsia="zh-CN"/>
                    </w:rPr>
                    <w:t>0.00005</w:t>
                  </w:r>
                </w:p>
              </w:tc>
            </w:tr>
            <w:tr w14:paraId="2A84D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3749" w:type="pct"/>
                  <w:gridSpan w:val="3"/>
                  <w:noWrap w:val="0"/>
                  <w:vAlign w:val="center"/>
                </w:tcPr>
                <w:p w14:paraId="51E4E8DF">
                  <w:pPr>
                    <w:autoSpaceDE w:val="0"/>
                    <w:autoSpaceDN w:val="0"/>
                    <w:jc w:val="center"/>
                    <w:rPr>
                      <w:rFonts w:hint="default" w:ascii="Times New Roman" w:hAnsi="Times New Roman" w:cs="Times New Roman"/>
                      <w:color w:val="000000"/>
                      <w:spacing w:val="-1"/>
                    </w:rPr>
                  </w:pPr>
                  <w:r>
                    <w:rPr>
                      <w:rFonts w:hint="default" w:ascii="Times New Roman" w:hAnsi="Times New Roman" w:cs="Times New Roman"/>
                      <w:color w:val="000000"/>
                      <w:spacing w:val="-1"/>
                    </w:rPr>
                    <w:t>合计</w:t>
                  </w:r>
                </w:p>
              </w:tc>
              <w:tc>
                <w:tcPr>
                  <w:tcW w:w="1250" w:type="pct"/>
                  <w:noWrap w:val="0"/>
                  <w:vAlign w:val="center"/>
                </w:tcPr>
                <w:p w14:paraId="0719E921">
                  <w:pPr>
                    <w:autoSpaceDE w:val="0"/>
                    <w:autoSpaceDN w:val="0"/>
                    <w:jc w:val="center"/>
                    <w:rPr>
                      <w:rFonts w:hint="default" w:ascii="Times New Roman" w:hAnsi="Times New Roman" w:cs="Times New Roman" w:eastAsiaTheme="minorEastAsia"/>
                      <w:color w:val="000000"/>
                      <w:spacing w:val="-1"/>
                      <w:lang w:val="en-US" w:eastAsia="zh-CN"/>
                    </w:rPr>
                  </w:pPr>
                  <w:r>
                    <w:rPr>
                      <w:rFonts w:hint="eastAsia" w:ascii="Times New Roman" w:hAnsi="Times New Roman" w:cs="Times New Roman"/>
                      <w:color w:val="000000"/>
                      <w:spacing w:val="-1"/>
                      <w:lang w:val="en-US" w:eastAsia="zh-CN"/>
                    </w:rPr>
                    <w:t>0.013272</w:t>
                  </w:r>
                </w:p>
              </w:tc>
            </w:tr>
            <w:tr w14:paraId="1B230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000" w:type="pct"/>
                  <w:gridSpan w:val="4"/>
                  <w:noWrap w:val="0"/>
                  <w:vAlign w:val="center"/>
                </w:tcPr>
                <w:p w14:paraId="559DE73A">
                  <w:pPr>
                    <w:autoSpaceDE w:val="0"/>
                    <w:autoSpaceDN w:val="0"/>
                    <w:jc w:val="both"/>
                    <w:rPr>
                      <w:rFonts w:hint="default" w:ascii="Times New Roman" w:hAnsi="Times New Roman" w:cs="Times New Roman"/>
                      <w:color w:val="000000"/>
                      <w:spacing w:val="-1"/>
                    </w:rPr>
                  </w:pPr>
                  <w:r>
                    <w:rPr>
                      <w:rFonts w:hint="default" w:ascii="Times New Roman" w:hAnsi="Times New Roman" w:cs="Times New Roman"/>
                      <w:color w:val="000000"/>
                      <w:spacing w:val="-1"/>
                      <w:sz w:val="18"/>
                      <w:szCs w:val="18"/>
                    </w:rPr>
                    <w:t>注：</w:t>
                  </w:r>
                  <w:r>
                    <w:rPr>
                      <w:rFonts w:hint="eastAsia" w:ascii="Times New Roman" w:hAnsi="Times New Roman" w:cs="Times New Roman"/>
                      <w:color w:val="000000"/>
                      <w:spacing w:val="-1"/>
                      <w:sz w:val="18"/>
                      <w:szCs w:val="18"/>
                      <w:lang w:val="en-US" w:eastAsia="zh-CN"/>
                    </w:rPr>
                    <w:t>本项目</w:t>
                  </w:r>
                  <w:r>
                    <w:rPr>
                      <w:rFonts w:hint="default" w:ascii="Times New Roman" w:hAnsi="Times New Roman" w:cs="Times New Roman"/>
                      <w:color w:val="000000"/>
                      <w:spacing w:val="-1"/>
                      <w:sz w:val="18"/>
                      <w:szCs w:val="18"/>
                    </w:rPr>
                    <w:t>产生的危险废物参照《建设项目环境风险评价技术导则》（HJ169-2018）健康危险急性毒性物质（类别 2，类别3）计，临界量取50t。无铅锡膏、助焊剂参照《建设项目环境风险评价技术导则》（HJ169-2018）健康危险急性毒性物质（类别1）计，临界量取5t。</w:t>
                  </w:r>
                </w:p>
              </w:tc>
            </w:tr>
          </w:tbl>
          <w:p w14:paraId="37A5DCBA">
            <w:pPr>
              <w:spacing w:line="360" w:lineRule="auto"/>
              <w:ind w:firstLine="480" w:firstLineChars="200"/>
              <w:jc w:val="left"/>
              <w:rPr>
                <w:rFonts w:hint="default" w:ascii="Times New Roman" w:hAnsi="Times New Roman" w:cs="Times New Roman"/>
                <w:color w:val="000000"/>
                <w:sz w:val="24"/>
                <w:szCs w:val="24"/>
                <w:lang w:val="zh-CN" w:bidi="zh-CN"/>
              </w:rPr>
            </w:pPr>
            <w:r>
              <w:rPr>
                <w:rFonts w:hint="default" w:ascii="Times New Roman" w:hAnsi="Times New Roman" w:cs="Times New Roman"/>
                <w:color w:val="000000"/>
                <w:sz w:val="24"/>
                <w:szCs w:val="24"/>
                <w:lang w:val="zh-CN" w:bidi="zh-CN"/>
              </w:rPr>
              <w:t>根据公式计算，本项目Q=</w:t>
            </w:r>
            <w:r>
              <w:rPr>
                <w:rFonts w:hint="default" w:ascii="Times New Roman" w:hAnsi="Times New Roman" w:cs="Times New Roman"/>
                <w:color w:val="000000"/>
                <w:sz w:val="24"/>
                <w:szCs w:val="24"/>
                <w:lang w:bidi="zh-CN"/>
              </w:rPr>
              <w:t>0.0</w:t>
            </w:r>
            <w:r>
              <w:rPr>
                <w:rFonts w:hint="eastAsia" w:ascii="Times New Roman" w:hAnsi="Times New Roman" w:cs="Times New Roman"/>
                <w:color w:val="000000"/>
                <w:sz w:val="24"/>
                <w:szCs w:val="24"/>
                <w:lang w:val="en-US" w:bidi="zh-CN"/>
              </w:rPr>
              <w:t>13272</w:t>
            </w:r>
            <w:r>
              <w:rPr>
                <w:rFonts w:hint="default" w:ascii="Times New Roman" w:hAnsi="Times New Roman" w:cs="Times New Roman"/>
                <w:color w:val="000000"/>
                <w:sz w:val="24"/>
                <w:szCs w:val="24"/>
                <w:lang w:val="zh-CN" w:bidi="zh-CN"/>
              </w:rPr>
              <w:t>＜1，</w:t>
            </w:r>
            <w:r>
              <w:rPr>
                <w:rFonts w:hint="default" w:ascii="Times New Roman" w:hAnsi="Times New Roman" w:eastAsia="宋体" w:cs="Times New Roman"/>
                <w:sz w:val="24"/>
                <w:lang w:eastAsia="zh-CN"/>
              </w:rPr>
              <w:t>因此本项目的环境风险潜势等级为Ⅰ，不需要进行环境风险专项评价</w:t>
            </w:r>
            <w:r>
              <w:rPr>
                <w:rFonts w:hint="default" w:ascii="Times New Roman" w:hAnsi="Times New Roman" w:cs="Times New Roman"/>
                <w:color w:val="000000"/>
                <w:sz w:val="24"/>
                <w:szCs w:val="24"/>
                <w:lang w:val="zh-CN" w:bidi="zh-CN"/>
              </w:rPr>
              <w:t>。</w:t>
            </w:r>
          </w:p>
          <w:p w14:paraId="10695FEE">
            <w:pPr>
              <w:spacing w:line="360" w:lineRule="auto"/>
              <w:ind w:firstLine="480" w:firstLineChars="200"/>
              <w:rPr>
                <w:rFonts w:hint="default" w:ascii="Times New Roman" w:hAnsi="Times New Roman" w:cs="Times New Roman"/>
                <w:color w:val="000000"/>
                <w:sz w:val="24"/>
                <w:szCs w:val="24"/>
                <w:lang w:bidi="zh-CN"/>
              </w:rPr>
            </w:pPr>
            <w:r>
              <w:rPr>
                <w:rFonts w:hint="eastAsia" w:ascii="Times New Roman" w:hAnsi="Times New Roman" w:cs="Times New Roman"/>
                <w:color w:val="000000"/>
                <w:sz w:val="24"/>
                <w:szCs w:val="24"/>
                <w:lang w:val="en-US" w:bidi="zh-CN"/>
              </w:rPr>
              <w:t>2、</w:t>
            </w:r>
            <w:r>
              <w:rPr>
                <w:rFonts w:hint="default" w:ascii="Times New Roman" w:hAnsi="Times New Roman" w:cs="Times New Roman"/>
                <w:color w:val="000000"/>
                <w:sz w:val="24"/>
                <w:szCs w:val="24"/>
                <w:lang w:bidi="zh-CN"/>
              </w:rPr>
              <w:t>环境风险影响途径分析</w:t>
            </w:r>
          </w:p>
          <w:p w14:paraId="3924BF3A">
            <w:pPr>
              <w:spacing w:line="360" w:lineRule="auto"/>
              <w:ind w:firstLine="480" w:firstLineChars="200"/>
              <w:rPr>
                <w:rFonts w:hint="default" w:ascii="Times New Roman" w:hAnsi="Times New Roman" w:cs="Times New Roman"/>
                <w:color w:val="000000"/>
                <w:sz w:val="24"/>
                <w:szCs w:val="24"/>
                <w:lang w:bidi="zh-CN"/>
              </w:rPr>
            </w:pPr>
            <w:r>
              <w:rPr>
                <w:rFonts w:hint="default" w:ascii="Times New Roman" w:hAnsi="Times New Roman" w:cs="Times New Roman"/>
                <w:color w:val="000000"/>
                <w:sz w:val="24"/>
                <w:szCs w:val="24"/>
                <w:lang w:bidi="zh-CN"/>
              </w:rPr>
              <w:t>按照《建设项目环境风险评价技术导则》</w:t>
            </w:r>
            <w:r>
              <w:rPr>
                <w:rFonts w:hint="eastAsia" w:ascii="Times New Roman" w:hAnsi="Times New Roman" w:cs="Times New Roman"/>
                <w:color w:val="000000"/>
                <w:sz w:val="24"/>
                <w:szCs w:val="24"/>
                <w:lang w:bidi="zh-CN"/>
              </w:rPr>
              <w:t>（</w:t>
            </w:r>
            <w:r>
              <w:rPr>
                <w:rFonts w:hint="default" w:ascii="Times New Roman" w:hAnsi="Times New Roman" w:cs="Times New Roman"/>
                <w:color w:val="000000"/>
                <w:sz w:val="24"/>
                <w:szCs w:val="24"/>
                <w:lang w:bidi="zh-CN"/>
              </w:rPr>
              <w:t>HJ169-2018</w:t>
            </w:r>
            <w:r>
              <w:rPr>
                <w:rFonts w:hint="eastAsia" w:ascii="Times New Roman" w:hAnsi="Times New Roman" w:cs="Times New Roman"/>
                <w:color w:val="000000"/>
                <w:sz w:val="24"/>
                <w:szCs w:val="24"/>
                <w:lang w:bidi="zh-CN"/>
              </w:rPr>
              <w:t>）</w:t>
            </w:r>
            <w:r>
              <w:rPr>
                <w:rFonts w:hint="default" w:ascii="Times New Roman" w:hAnsi="Times New Roman" w:cs="Times New Roman"/>
                <w:color w:val="000000"/>
                <w:sz w:val="24"/>
                <w:szCs w:val="24"/>
                <w:lang w:bidi="zh-CN"/>
              </w:rPr>
              <w:t>，建设项目主要风险物质为无铅锡膏、助焊剂、无水乙醇、</w:t>
            </w:r>
            <w:r>
              <w:rPr>
                <w:rFonts w:hint="eastAsia" w:ascii="Times New Roman" w:hAnsi="Times New Roman" w:eastAsia="宋体" w:cs="Times New Roman"/>
                <w:sz w:val="24"/>
                <w:lang w:eastAsia="zh-CN"/>
              </w:rPr>
              <w:t>废</w:t>
            </w:r>
            <w:r>
              <w:rPr>
                <w:rFonts w:hint="eastAsia" w:ascii="Times New Roman" w:hAnsi="Times New Roman" w:eastAsia="宋体" w:cs="Times New Roman"/>
                <w:sz w:val="24"/>
                <w:lang w:val="en-US" w:eastAsia="zh-CN"/>
              </w:rPr>
              <w:t>辅料包装材料</w:t>
            </w:r>
            <w:r>
              <w:rPr>
                <w:rFonts w:hint="default" w:ascii="Times New Roman" w:hAnsi="Times New Roman" w:cs="Times New Roman"/>
                <w:color w:val="000000"/>
                <w:sz w:val="24"/>
                <w:szCs w:val="24"/>
                <w:lang w:bidi="zh-CN"/>
              </w:rPr>
              <w:t>、废</w:t>
            </w:r>
            <w:r>
              <w:rPr>
                <w:rFonts w:hint="eastAsia" w:ascii="Times New Roman" w:hAnsi="Times New Roman" w:cs="Times New Roman"/>
                <w:color w:val="000000"/>
                <w:sz w:val="24"/>
                <w:szCs w:val="24"/>
                <w:lang w:bidi="zh-CN"/>
              </w:rPr>
              <w:t>擦拭布</w:t>
            </w:r>
            <w:r>
              <w:rPr>
                <w:rFonts w:hint="default" w:ascii="Times New Roman" w:hAnsi="Times New Roman" w:cs="Times New Roman"/>
                <w:color w:val="000000"/>
                <w:sz w:val="24"/>
                <w:szCs w:val="24"/>
                <w:lang w:bidi="zh-CN"/>
              </w:rPr>
              <w:t>、废活性炭</w:t>
            </w:r>
            <w:r>
              <w:rPr>
                <w:rFonts w:hint="eastAsia" w:ascii="Times New Roman" w:hAnsi="Times New Roman" w:cs="Times New Roman"/>
                <w:color w:val="000000"/>
                <w:sz w:val="24"/>
                <w:szCs w:val="24"/>
                <w:lang w:bidi="zh-CN"/>
              </w:rPr>
              <w:t>、</w:t>
            </w:r>
            <w:r>
              <w:rPr>
                <w:rFonts w:hint="default" w:ascii="Times New Roman" w:hAnsi="Times New Roman" w:cs="Times New Roman"/>
                <w:color w:val="000000"/>
                <w:sz w:val="24"/>
                <w:szCs w:val="24"/>
                <w:lang w:bidi="zh-CN"/>
              </w:rPr>
              <w:t>废机油</w:t>
            </w:r>
            <w:r>
              <w:rPr>
                <w:rFonts w:hint="eastAsia" w:ascii="Times New Roman" w:hAnsi="Times New Roman" w:cs="Times New Roman"/>
                <w:color w:val="000000"/>
                <w:sz w:val="24"/>
                <w:szCs w:val="24"/>
                <w:lang w:bidi="zh-CN"/>
              </w:rPr>
              <w:t>、</w:t>
            </w:r>
            <w:r>
              <w:rPr>
                <w:rFonts w:hint="default" w:ascii="Times New Roman" w:hAnsi="Times New Roman" w:cs="Times New Roman"/>
                <w:color w:val="000000"/>
                <w:sz w:val="24"/>
                <w:szCs w:val="24"/>
                <w:lang w:bidi="zh-CN"/>
              </w:rPr>
              <w:t>废机油桶</w:t>
            </w:r>
            <w:r>
              <w:rPr>
                <w:rFonts w:hint="eastAsia" w:ascii="Times New Roman" w:hAnsi="Times New Roman" w:cs="Times New Roman"/>
                <w:color w:val="000000"/>
                <w:sz w:val="24"/>
                <w:szCs w:val="24"/>
                <w:lang w:bidi="zh-CN"/>
              </w:rPr>
              <w:t>、</w:t>
            </w:r>
            <w:r>
              <w:rPr>
                <w:rFonts w:hint="default" w:ascii="Times New Roman" w:hAnsi="Times New Roman" w:cs="Times New Roman"/>
                <w:color w:val="000000"/>
                <w:sz w:val="24"/>
                <w:szCs w:val="24"/>
                <w:lang w:bidi="zh-CN"/>
              </w:rPr>
              <w:t>废含油抹布手套等，涉及风险物质发生泄漏时，也能会导致有毒有害物质渗透入土壤中，造成土壤、地下水污染</w:t>
            </w:r>
            <w:r>
              <w:rPr>
                <w:rFonts w:hint="eastAsia" w:ascii="Times New Roman" w:hAnsi="Times New Roman" w:cs="Times New Roman"/>
                <w:color w:val="000000"/>
                <w:sz w:val="24"/>
                <w:szCs w:val="24"/>
                <w:lang w:bidi="zh-CN"/>
              </w:rPr>
              <w:t>；</w:t>
            </w:r>
            <w:r>
              <w:rPr>
                <w:rFonts w:hint="default" w:ascii="Times New Roman" w:hAnsi="Times New Roman" w:cs="Times New Roman"/>
                <w:color w:val="000000"/>
                <w:sz w:val="24"/>
                <w:szCs w:val="24"/>
                <w:lang w:bidi="zh-CN"/>
              </w:rPr>
              <w:t>产生的有机废气进入大气环境，造成周围环境空气质量污染</w:t>
            </w:r>
            <w:r>
              <w:rPr>
                <w:rFonts w:hint="eastAsia" w:ascii="Times New Roman" w:hAnsi="Times New Roman" w:cs="Times New Roman"/>
                <w:color w:val="000000"/>
                <w:sz w:val="24"/>
                <w:szCs w:val="24"/>
                <w:lang w:bidi="zh-CN"/>
              </w:rPr>
              <w:t>；</w:t>
            </w:r>
            <w:r>
              <w:rPr>
                <w:rFonts w:hint="default" w:ascii="Times New Roman" w:hAnsi="Times New Roman" w:cs="Times New Roman"/>
                <w:color w:val="000000"/>
                <w:sz w:val="24"/>
                <w:szCs w:val="24"/>
                <w:lang w:bidi="zh-CN"/>
              </w:rPr>
              <w:t>遇明火、火花则可能发生火灾爆炸事故，同时燃烧产生烟尘、CO、NO</w:t>
            </w:r>
            <w:r>
              <w:rPr>
                <w:rFonts w:hint="eastAsia" w:ascii="Times New Roman" w:hAnsi="Times New Roman" w:cs="Times New Roman"/>
                <w:color w:val="000000"/>
                <w:sz w:val="24"/>
                <w:szCs w:val="24"/>
                <w:vertAlign w:val="subscript"/>
                <w:lang w:val="en-US" w:bidi="zh-CN"/>
              </w:rPr>
              <w:t>X</w:t>
            </w:r>
            <w:r>
              <w:rPr>
                <w:rFonts w:hint="default" w:ascii="Times New Roman" w:hAnsi="Times New Roman" w:cs="Times New Roman"/>
                <w:color w:val="000000"/>
                <w:sz w:val="24"/>
                <w:szCs w:val="24"/>
                <w:lang w:bidi="zh-CN"/>
              </w:rPr>
              <w:t>等废气进入大气环境，导致周围大气环境中相应污染物浓度增高。废气治理措施发生故障时或活性炭长期未更换导致有机废气富集，发生火灾时产生的废气可能超标排放，对大气环境造成污染。火灾、爆炸事故也可能会导致有毒有害物质渗透入土壤中，造成土壤、地下水污染。主要影响如下</w:t>
            </w:r>
            <w:r>
              <w:rPr>
                <w:rFonts w:hint="eastAsia" w:ascii="Times New Roman" w:hAnsi="Times New Roman" w:cs="Times New Roman"/>
                <w:color w:val="000000"/>
                <w:sz w:val="24"/>
                <w:szCs w:val="24"/>
                <w:lang w:bidi="zh-CN"/>
              </w:rPr>
              <w:t>：</w:t>
            </w:r>
          </w:p>
          <w:p w14:paraId="490A303D">
            <w:pPr>
              <w:spacing w:line="360" w:lineRule="auto"/>
              <w:ind w:firstLine="480" w:firstLineChars="200"/>
              <w:rPr>
                <w:rFonts w:hint="default" w:ascii="Times New Roman" w:hAnsi="Times New Roman" w:cs="Times New Roman"/>
                <w:color w:val="000000"/>
                <w:sz w:val="24"/>
                <w:szCs w:val="24"/>
                <w:lang w:bidi="zh-CN"/>
              </w:rPr>
            </w:pPr>
            <w:r>
              <w:rPr>
                <w:rFonts w:hint="default" w:ascii="Times New Roman" w:hAnsi="Times New Roman" w:cs="Times New Roman"/>
                <w:color w:val="000000"/>
                <w:sz w:val="24"/>
                <w:szCs w:val="24"/>
                <w:lang w:bidi="zh-CN"/>
              </w:rPr>
              <w:t>①对环境空气的影响</w:t>
            </w:r>
          </w:p>
          <w:p w14:paraId="45648FAE">
            <w:pPr>
              <w:spacing w:line="360" w:lineRule="auto"/>
              <w:ind w:firstLine="480" w:firstLineChars="200"/>
              <w:rPr>
                <w:rFonts w:hint="default" w:ascii="Times New Roman" w:hAnsi="Times New Roman" w:cs="Times New Roman"/>
                <w:color w:val="000000"/>
                <w:sz w:val="24"/>
                <w:szCs w:val="24"/>
                <w:lang w:bidi="zh-CN"/>
              </w:rPr>
            </w:pPr>
            <w:r>
              <w:rPr>
                <w:rFonts w:hint="default" w:ascii="Times New Roman" w:hAnsi="Times New Roman" w:cs="Times New Roman"/>
                <w:color w:val="000000"/>
                <w:sz w:val="24"/>
                <w:szCs w:val="24"/>
                <w:lang w:bidi="zh-CN"/>
              </w:rPr>
              <w:t>项目废活性炭以密封的袋装包装贮存，有效减少挥发性物质对环境空气的影响。废气处理措施定期检查维护和加强</w:t>
            </w:r>
            <w:r>
              <w:rPr>
                <w:rFonts w:hint="eastAsia" w:ascii="Times New Roman" w:hAnsi="Times New Roman" w:cs="Times New Roman"/>
                <w:color w:val="000000"/>
                <w:sz w:val="24"/>
                <w:szCs w:val="24"/>
                <w:lang w:val="en-US" w:bidi="zh-CN"/>
              </w:rPr>
              <w:t>原辅料存放区</w:t>
            </w:r>
            <w:r>
              <w:rPr>
                <w:rFonts w:hint="default" w:ascii="Times New Roman" w:hAnsi="Times New Roman" w:cs="Times New Roman"/>
                <w:color w:val="000000"/>
                <w:sz w:val="24"/>
                <w:szCs w:val="24"/>
                <w:lang w:bidi="zh-CN"/>
              </w:rPr>
              <w:t>的管理，可有效降低火灾发生的概率</w:t>
            </w:r>
            <w:r>
              <w:rPr>
                <w:rFonts w:hint="eastAsia" w:ascii="Times New Roman" w:hAnsi="Times New Roman" w:cs="Times New Roman"/>
                <w:color w:val="000000"/>
                <w:sz w:val="24"/>
                <w:szCs w:val="24"/>
                <w:lang w:bidi="zh-CN"/>
              </w:rPr>
              <w:t>。</w:t>
            </w:r>
          </w:p>
          <w:p w14:paraId="36672E0B">
            <w:pPr>
              <w:spacing w:line="360" w:lineRule="auto"/>
              <w:ind w:firstLine="480" w:firstLineChars="200"/>
              <w:rPr>
                <w:rFonts w:hint="eastAsia" w:ascii="Times New Roman" w:hAnsi="Times New Roman" w:cs="Times New Roman"/>
                <w:color w:val="000000"/>
                <w:sz w:val="24"/>
                <w:szCs w:val="24"/>
                <w:lang w:bidi="zh-CN"/>
              </w:rPr>
            </w:pPr>
            <w:r>
              <w:rPr>
                <w:rFonts w:hint="default" w:ascii="Times New Roman" w:hAnsi="Times New Roman" w:cs="Times New Roman"/>
                <w:color w:val="000000"/>
                <w:sz w:val="24"/>
                <w:szCs w:val="24"/>
                <w:lang w:bidi="zh-CN"/>
              </w:rPr>
              <w:t>②对地表水的影响</w:t>
            </w:r>
          </w:p>
          <w:p w14:paraId="28D42C53">
            <w:pPr>
              <w:spacing w:line="360" w:lineRule="auto"/>
              <w:ind w:firstLine="480" w:firstLineChars="200"/>
              <w:rPr>
                <w:rFonts w:hint="eastAsia" w:ascii="Times New Roman" w:hAnsi="Times New Roman" w:cs="Times New Roman"/>
                <w:color w:val="000000"/>
                <w:sz w:val="24"/>
                <w:szCs w:val="24"/>
                <w:lang w:bidi="zh-CN"/>
              </w:rPr>
            </w:pPr>
            <w:r>
              <w:rPr>
                <w:rFonts w:hint="eastAsia" w:ascii="Times New Roman" w:hAnsi="Times New Roman" w:cs="Times New Roman"/>
                <w:color w:val="000000"/>
                <w:sz w:val="24"/>
                <w:szCs w:val="24"/>
                <w:lang w:bidi="zh-CN"/>
              </w:rPr>
              <w:t>危废</w:t>
            </w:r>
            <w:r>
              <w:rPr>
                <w:rFonts w:hint="eastAsia" w:ascii="Times New Roman" w:hAnsi="Times New Roman" w:cs="Times New Roman"/>
                <w:color w:val="000000"/>
                <w:sz w:val="24"/>
                <w:szCs w:val="24"/>
                <w:lang w:val="en-US" w:bidi="zh-CN"/>
              </w:rPr>
              <w:t>贮存点</w:t>
            </w:r>
            <w:r>
              <w:rPr>
                <w:rFonts w:hint="eastAsia" w:ascii="Times New Roman" w:hAnsi="Times New Roman" w:cs="Times New Roman"/>
                <w:color w:val="000000"/>
                <w:sz w:val="24"/>
                <w:szCs w:val="24"/>
                <w:lang w:bidi="zh-CN"/>
              </w:rPr>
              <w:t>具有防雨、防漏、防渗措施，当事故发生时，不会产生废液进入厂区雨水系统，对周边地表水产生不良影响。当发生火灾、爆炸事故时，消防废水若收集处置不当，对地表水造成一定影响。</w:t>
            </w:r>
          </w:p>
          <w:p w14:paraId="491E1C63">
            <w:pPr>
              <w:spacing w:line="360" w:lineRule="auto"/>
              <w:ind w:firstLine="480" w:firstLineChars="200"/>
              <w:rPr>
                <w:rFonts w:hint="eastAsia" w:ascii="Times New Roman" w:hAnsi="Times New Roman" w:cs="Times New Roman"/>
                <w:color w:val="000000"/>
                <w:sz w:val="24"/>
                <w:szCs w:val="24"/>
                <w:lang w:bidi="zh-CN"/>
              </w:rPr>
            </w:pPr>
            <w:r>
              <w:rPr>
                <w:rFonts w:hint="eastAsia" w:ascii="Times New Roman" w:hAnsi="Times New Roman" w:cs="Times New Roman"/>
                <w:color w:val="000000"/>
                <w:sz w:val="24"/>
                <w:szCs w:val="24"/>
                <w:lang w:bidi="zh-CN"/>
              </w:rPr>
              <w:t>③对地下水、土壤的影响</w:t>
            </w:r>
          </w:p>
          <w:p w14:paraId="2860AA7B">
            <w:pPr>
              <w:spacing w:line="360" w:lineRule="auto"/>
              <w:ind w:firstLine="476" w:firstLineChars="200"/>
              <w:rPr>
                <w:rFonts w:hint="default" w:ascii="Times New Roman" w:hAnsi="Times New Roman" w:cs="Times New Roman"/>
                <w:color w:val="000000"/>
                <w:sz w:val="24"/>
                <w:szCs w:val="24"/>
                <w:lang w:bidi="zh-CN"/>
              </w:rPr>
            </w:pPr>
            <w:r>
              <w:rPr>
                <w:rFonts w:hint="eastAsia" w:ascii="Times New Roman" w:hAnsi="Times New Roman" w:cs="Times New Roman"/>
                <w:color w:val="000000"/>
                <w:spacing w:val="-1"/>
                <w:sz w:val="24"/>
                <w:lang w:val="en-US" w:eastAsia="zh-CN"/>
              </w:rPr>
              <w:t>本</w:t>
            </w:r>
            <w:r>
              <w:rPr>
                <w:rFonts w:hint="eastAsia" w:ascii="Times New Roman" w:hAnsi="Times New Roman" w:cs="Times New Roman"/>
                <w:color w:val="000000"/>
                <w:spacing w:val="-1"/>
                <w:sz w:val="24"/>
              </w:rPr>
              <w:t>项目厂房</w:t>
            </w:r>
            <w:r>
              <w:rPr>
                <w:rFonts w:hint="eastAsia" w:ascii="Times New Roman" w:hAnsi="Times New Roman" w:cs="Times New Roman"/>
                <w:color w:val="000000"/>
                <w:spacing w:val="-1"/>
                <w:sz w:val="24"/>
                <w:lang w:val="en-US" w:eastAsia="zh-CN"/>
              </w:rPr>
              <w:t>位于</w:t>
            </w:r>
            <w:r>
              <w:rPr>
                <w:rFonts w:hint="eastAsia" w:ascii="Times New Roman" w:hAnsi="Times New Roman" w:cs="Times New Roman"/>
                <w:color w:val="000000"/>
                <w:spacing w:val="-1"/>
                <w:sz w:val="24"/>
              </w:rPr>
              <w:t>4层，本环评要求项目危废贮存点、辅料存放</w:t>
            </w:r>
            <w:r>
              <w:rPr>
                <w:rFonts w:hint="eastAsia" w:ascii="Times New Roman" w:hAnsi="Times New Roman" w:cs="Times New Roman"/>
                <w:color w:val="000000"/>
                <w:spacing w:val="-1"/>
                <w:sz w:val="24"/>
                <w:lang w:val="en-US" w:eastAsia="zh-CN"/>
              </w:rPr>
              <w:t>区做好</w:t>
            </w:r>
            <w:r>
              <w:rPr>
                <w:rFonts w:hint="eastAsia" w:ascii="Times New Roman" w:hAnsi="Times New Roman" w:cs="Times New Roman"/>
                <w:color w:val="000000"/>
                <w:sz w:val="24"/>
                <w:szCs w:val="24"/>
                <w:lang w:bidi="zh-CN"/>
              </w:rPr>
              <w:t>防腐</w:t>
            </w:r>
            <w:r>
              <w:rPr>
                <w:rFonts w:hint="eastAsia" w:ascii="Times New Roman" w:hAnsi="Times New Roman" w:cs="Times New Roman"/>
                <w:color w:val="000000"/>
                <w:sz w:val="24"/>
                <w:szCs w:val="24"/>
                <w:lang w:val="en-US" w:bidi="zh-CN"/>
              </w:rPr>
              <w:t>措施</w:t>
            </w:r>
            <w:r>
              <w:rPr>
                <w:rFonts w:hint="eastAsia" w:ascii="Times New Roman" w:hAnsi="Times New Roman" w:cs="Times New Roman"/>
                <w:color w:val="000000"/>
                <w:sz w:val="24"/>
                <w:szCs w:val="24"/>
                <w:lang w:bidi="zh-CN"/>
              </w:rPr>
              <w:t>，正常情况下不会泄漏至室外污染土壤和地下水，不会对区域地下水环境产生影响。当发生火灾、爆炸事故时，消防废水若收集处置不当，对土壤和地下水造成一定影响；当废气治理措施发生故障时，污染物沉降后会对附近土壤造成一定影响。</w:t>
            </w:r>
          </w:p>
          <w:p w14:paraId="6D04DA98">
            <w:pPr>
              <w:spacing w:line="360" w:lineRule="auto"/>
              <w:ind w:firstLine="480" w:firstLineChars="200"/>
              <w:rPr>
                <w:rFonts w:hint="default" w:ascii="Times New Roman" w:hAnsi="Times New Roman" w:cs="Times New Roman"/>
                <w:color w:val="000000"/>
                <w:sz w:val="24"/>
                <w:szCs w:val="24"/>
                <w:lang w:bidi="zh-CN"/>
              </w:rPr>
            </w:pPr>
            <w:r>
              <w:rPr>
                <w:rFonts w:hint="eastAsia" w:ascii="Times New Roman" w:hAnsi="Times New Roman" w:cs="Times New Roman"/>
                <w:color w:val="000000"/>
                <w:sz w:val="24"/>
                <w:szCs w:val="24"/>
                <w:lang w:val="en-US" w:bidi="zh-CN"/>
              </w:rPr>
              <w:t>3</w:t>
            </w:r>
            <w:r>
              <w:rPr>
                <w:rFonts w:hint="default" w:ascii="Times New Roman" w:hAnsi="Times New Roman" w:cs="Times New Roman"/>
                <w:color w:val="000000"/>
                <w:sz w:val="24"/>
                <w:szCs w:val="24"/>
                <w:lang w:val="en-US" w:bidi="zh-CN"/>
              </w:rPr>
              <w:t>、</w:t>
            </w:r>
            <w:r>
              <w:rPr>
                <w:rFonts w:hint="default" w:ascii="Times New Roman" w:hAnsi="Times New Roman" w:cs="Times New Roman"/>
                <w:color w:val="000000"/>
                <w:sz w:val="24"/>
                <w:szCs w:val="24"/>
                <w:lang w:bidi="zh-CN"/>
              </w:rPr>
              <w:t xml:space="preserve">环境风险防范措施 </w:t>
            </w:r>
          </w:p>
          <w:p w14:paraId="676947B7">
            <w:pPr>
              <w:spacing w:line="360" w:lineRule="auto"/>
              <w:ind w:firstLine="480" w:firstLineChars="200"/>
              <w:rPr>
                <w:rFonts w:hint="default" w:ascii="Times New Roman" w:hAnsi="Times New Roman" w:cs="Times New Roman"/>
                <w:color w:val="000000"/>
                <w:sz w:val="24"/>
                <w:szCs w:val="24"/>
                <w:lang w:bidi="zh-CN"/>
              </w:rPr>
            </w:pPr>
            <w:r>
              <w:rPr>
                <w:rFonts w:hint="default" w:ascii="Times New Roman" w:hAnsi="Times New Roman" w:cs="Times New Roman"/>
                <w:color w:val="000000"/>
                <w:sz w:val="24"/>
                <w:szCs w:val="24"/>
                <w:lang w:bidi="zh-CN"/>
              </w:rPr>
              <w:t xml:space="preserve">为减少厂区内可能造成的环境风险，建设单位拟采取以下风险防范及应急措施： </w:t>
            </w:r>
          </w:p>
          <w:p w14:paraId="168787E1">
            <w:pPr>
              <w:spacing w:line="360" w:lineRule="auto"/>
              <w:ind w:firstLine="480" w:firstLineChars="200"/>
              <w:rPr>
                <w:rFonts w:hint="default" w:ascii="Times New Roman" w:hAnsi="Times New Roman" w:cs="Times New Roman"/>
                <w:color w:val="000000"/>
                <w:sz w:val="24"/>
                <w:szCs w:val="24"/>
                <w:lang w:bidi="zh-CN"/>
              </w:rPr>
            </w:pPr>
            <w:r>
              <w:rPr>
                <w:rFonts w:hint="default" w:ascii="Times New Roman" w:hAnsi="Times New Roman" w:cs="Times New Roman"/>
                <w:color w:val="000000"/>
                <w:sz w:val="24"/>
                <w:szCs w:val="24"/>
                <w:lang w:bidi="zh-CN"/>
              </w:rPr>
              <w:t>①危废贮存点、辅料存放区做好防腐措施；</w:t>
            </w:r>
          </w:p>
          <w:p w14:paraId="687D8122">
            <w:pPr>
              <w:spacing w:line="360" w:lineRule="auto"/>
              <w:ind w:firstLine="480" w:firstLineChars="200"/>
              <w:rPr>
                <w:rFonts w:hint="default" w:ascii="Times New Roman" w:hAnsi="Times New Roman" w:cs="Times New Roman"/>
                <w:color w:val="000000"/>
                <w:sz w:val="24"/>
                <w:szCs w:val="24"/>
                <w:lang w:bidi="zh-CN"/>
              </w:rPr>
            </w:pPr>
            <w:r>
              <w:rPr>
                <w:rFonts w:hint="default" w:ascii="Times New Roman" w:hAnsi="Times New Roman" w:cs="Times New Roman"/>
                <w:color w:val="000000"/>
                <w:sz w:val="24"/>
                <w:szCs w:val="24"/>
                <w:lang w:bidi="zh-CN"/>
              </w:rPr>
              <w:t>②各走道出口等部位要保持畅通，设置疏散标志和安全指示灯；</w:t>
            </w:r>
          </w:p>
          <w:p w14:paraId="37F4E16F">
            <w:pPr>
              <w:spacing w:line="360" w:lineRule="auto"/>
              <w:ind w:firstLine="480" w:firstLineChars="200"/>
              <w:rPr>
                <w:rFonts w:hint="default" w:ascii="Times New Roman" w:hAnsi="Times New Roman" w:cs="Times New Roman"/>
                <w:color w:val="000000"/>
                <w:sz w:val="24"/>
                <w:szCs w:val="24"/>
                <w:lang w:bidi="zh-CN"/>
              </w:rPr>
            </w:pPr>
            <w:r>
              <w:rPr>
                <w:rFonts w:hint="default" w:ascii="Times New Roman" w:hAnsi="Times New Roman" w:cs="Times New Roman"/>
                <w:color w:val="000000"/>
                <w:sz w:val="24"/>
                <w:szCs w:val="24"/>
                <w:lang w:bidi="zh-CN"/>
              </w:rPr>
              <w:t>③加强物资仓库防火安全管理，库内的物品要分类储放，每年对电线进行一次绝缘检查，发现可能引起打火、短路、发热和绝缘等不良情况，必须及时维修更换</w:t>
            </w:r>
            <w:r>
              <w:rPr>
                <w:rFonts w:hint="eastAsia" w:ascii="Times New Roman" w:hAnsi="Times New Roman" w:cs="Times New Roman"/>
                <w:color w:val="000000"/>
                <w:sz w:val="24"/>
                <w:szCs w:val="24"/>
                <w:lang w:bidi="zh-CN"/>
              </w:rPr>
              <w:t>。</w:t>
            </w:r>
          </w:p>
          <w:p w14:paraId="1B6BFA05">
            <w:pPr>
              <w:spacing w:line="360" w:lineRule="auto"/>
              <w:ind w:firstLine="480" w:firstLineChars="200"/>
              <w:rPr>
                <w:rFonts w:hint="default" w:ascii="Times New Roman" w:hAnsi="Times New Roman" w:cs="Times New Roman"/>
                <w:color w:val="000000"/>
                <w:sz w:val="24"/>
                <w:szCs w:val="24"/>
                <w:lang w:bidi="zh-CN"/>
              </w:rPr>
            </w:pPr>
            <w:r>
              <w:rPr>
                <w:rFonts w:hint="default" w:ascii="Times New Roman" w:hAnsi="Times New Roman" w:cs="Times New Roman"/>
                <w:color w:val="000000"/>
                <w:sz w:val="24"/>
                <w:szCs w:val="24"/>
                <w:lang w:val="en-US" w:bidi="zh-CN"/>
              </w:rPr>
              <w:t>4、</w:t>
            </w:r>
            <w:r>
              <w:rPr>
                <w:rFonts w:hint="default" w:ascii="Times New Roman" w:hAnsi="Times New Roman" w:cs="Times New Roman"/>
                <w:color w:val="000000"/>
                <w:sz w:val="24"/>
                <w:szCs w:val="24"/>
                <w:lang w:bidi="zh-CN"/>
              </w:rPr>
              <w:t>评价结论</w:t>
            </w:r>
          </w:p>
          <w:p w14:paraId="28FC5B4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b/>
                <w:bCs/>
                <w:sz w:val="28"/>
                <w:szCs w:val="28"/>
                <w:lang w:val="en-US" w:eastAsia="zh-CN"/>
              </w:rPr>
            </w:pPr>
            <w:r>
              <w:rPr>
                <w:rFonts w:hint="default" w:ascii="Times New Roman" w:hAnsi="Times New Roman" w:cs="Times New Roman"/>
                <w:color w:val="000000"/>
                <w:sz w:val="24"/>
                <w:szCs w:val="24"/>
                <w:lang w:bidi="zh-CN"/>
              </w:rPr>
              <w:t>综上所述，认真执行本报告表中关于风险管理方面的内容，并充分落实、完善各类安全设备、设施，建立相应的风险管理制度，使本项目的环境风险达到可接受的水平，保证本项目从环境风险角度分析的可行性</w:t>
            </w:r>
            <w:r>
              <w:rPr>
                <w:rFonts w:hint="default" w:ascii="Times New Roman" w:hAnsi="Times New Roman" w:eastAsia="宋体" w:cs="Times New Roman"/>
                <w:sz w:val="24"/>
                <w:lang w:eastAsia="zh-CN"/>
              </w:rPr>
              <w:t>。</w:t>
            </w:r>
          </w:p>
          <w:p w14:paraId="761ADB2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b/>
                <w:bCs/>
                <w:sz w:val="28"/>
                <w:szCs w:val="28"/>
                <w:lang w:val="en-US"/>
              </w:rPr>
            </w:pPr>
            <w:r>
              <w:rPr>
                <w:rFonts w:hint="eastAsia" w:ascii="Times New Roman" w:hAnsi="Times New Roman" w:eastAsia="宋体" w:cs="Times New Roman"/>
                <w:b/>
                <w:bCs/>
                <w:sz w:val="28"/>
                <w:szCs w:val="28"/>
                <w:lang w:val="en-US" w:eastAsia="zh-CN"/>
              </w:rPr>
              <w:t>七、</w:t>
            </w:r>
            <w:r>
              <w:rPr>
                <w:rFonts w:hint="default" w:ascii="Times New Roman" w:hAnsi="Times New Roman" w:eastAsia="宋体" w:cs="Times New Roman"/>
                <w:b/>
                <w:bCs/>
                <w:sz w:val="28"/>
                <w:szCs w:val="28"/>
                <w:lang w:val="en-US" w:eastAsia="zh-CN"/>
              </w:rPr>
              <w:t>环保投资</w:t>
            </w:r>
            <w:r>
              <w:rPr>
                <w:rFonts w:hint="eastAsia" w:ascii="Times New Roman" w:hAnsi="Times New Roman" w:eastAsia="宋体" w:cs="Times New Roman"/>
                <w:b/>
                <w:bCs/>
                <w:sz w:val="28"/>
                <w:szCs w:val="28"/>
                <w:lang w:val="en-US" w:eastAsia="zh-CN"/>
              </w:rPr>
              <w:t>分析</w:t>
            </w:r>
          </w:p>
          <w:p w14:paraId="72FC72A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黑体" w:cs="Times New Roman"/>
                <w:sz w:val="21"/>
                <w:szCs w:val="21"/>
                <w:highlight w:val="none"/>
              </w:rPr>
            </w:pPr>
            <w:r>
              <w:rPr>
                <w:rFonts w:hint="default" w:ascii="Times New Roman" w:hAnsi="Times New Roman" w:eastAsia="宋体" w:cs="Times New Roman"/>
                <w:sz w:val="24"/>
                <w:lang w:val="en-US" w:eastAsia="zh-CN"/>
              </w:rPr>
              <w:t>本项目总投资</w:t>
            </w:r>
            <w:r>
              <w:rPr>
                <w:rFonts w:hint="eastAsia" w:ascii="Times New Roman" w:hAnsi="Times New Roman" w:eastAsia="宋体" w:cs="Times New Roman"/>
                <w:sz w:val="24"/>
                <w:lang w:val="en-US" w:eastAsia="zh-CN"/>
              </w:rPr>
              <w:t>15000</w:t>
            </w:r>
            <w:r>
              <w:rPr>
                <w:rFonts w:hint="default" w:ascii="Times New Roman" w:hAnsi="Times New Roman" w:eastAsia="宋体" w:cs="Times New Roman"/>
                <w:sz w:val="24"/>
                <w:lang w:val="en-US" w:eastAsia="zh-CN"/>
              </w:rPr>
              <w:t>万元，其中环保投资</w:t>
            </w:r>
            <w:r>
              <w:rPr>
                <w:rFonts w:hint="eastAsia" w:ascii="Times New Roman" w:hAnsi="Times New Roman" w:eastAsia="宋体" w:cs="Times New Roman"/>
                <w:sz w:val="24"/>
                <w:lang w:val="en-US" w:eastAsia="zh-CN"/>
              </w:rPr>
              <w:t>95</w:t>
            </w:r>
            <w:r>
              <w:rPr>
                <w:rFonts w:hint="default" w:ascii="Times New Roman" w:hAnsi="Times New Roman" w:eastAsia="宋体" w:cs="Times New Roman"/>
                <w:sz w:val="24"/>
                <w:lang w:val="en-US" w:eastAsia="zh-CN"/>
              </w:rPr>
              <w:t>万元，占总投资的</w:t>
            </w:r>
            <w:r>
              <w:rPr>
                <w:rFonts w:hint="eastAsia" w:ascii="Times New Roman" w:hAnsi="Times New Roman" w:eastAsia="宋体" w:cs="Times New Roman"/>
                <w:sz w:val="24"/>
                <w:lang w:val="en-US" w:eastAsia="zh-CN"/>
              </w:rPr>
              <w:t>0.64</w:t>
            </w:r>
            <w:r>
              <w:rPr>
                <w:rFonts w:hint="default" w:ascii="Times New Roman" w:hAnsi="Times New Roman" w:eastAsia="宋体" w:cs="Times New Roman"/>
                <w:sz w:val="24"/>
                <w:lang w:val="en-US" w:eastAsia="zh-CN"/>
              </w:rPr>
              <w:t>%，主要用于废气、废水、固体废物、噪声的治理处置等费用。环保投资估算详见表</w:t>
            </w:r>
            <w:r>
              <w:rPr>
                <w:rFonts w:hint="eastAsia" w:ascii="Times New Roman" w:hAnsi="Times New Roman" w:eastAsia="宋体" w:cs="Times New Roman"/>
                <w:sz w:val="24"/>
                <w:lang w:val="en-US" w:eastAsia="zh-CN"/>
              </w:rPr>
              <w:t>4-19</w:t>
            </w:r>
            <w:r>
              <w:rPr>
                <w:rFonts w:hint="default" w:ascii="Times New Roman" w:hAnsi="Times New Roman" w:eastAsia="宋体" w:cs="Times New Roman"/>
                <w:sz w:val="24"/>
                <w:lang w:eastAsia="zh-CN"/>
              </w:rPr>
              <w:t>。</w:t>
            </w:r>
          </w:p>
          <w:p w14:paraId="7326CAB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4"/>
                <w:lang w:val="en-US" w:eastAsia="zh-CN"/>
              </w:rPr>
            </w:pPr>
            <w:r>
              <w:rPr>
                <w:rFonts w:hint="default" w:ascii="Times New Roman" w:hAnsi="Times New Roman" w:eastAsia="黑体" w:cs="Times New Roman"/>
                <w:sz w:val="21"/>
                <w:szCs w:val="21"/>
                <w:highlight w:val="none"/>
              </w:rPr>
              <w:t>表</w:t>
            </w:r>
            <w:r>
              <w:rPr>
                <w:rFonts w:hint="eastAsia" w:ascii="Times New Roman" w:hAnsi="Times New Roman" w:eastAsia="黑体" w:cs="Times New Roman"/>
                <w:sz w:val="21"/>
                <w:szCs w:val="21"/>
                <w:highlight w:val="none"/>
                <w:lang w:val="en-US" w:eastAsia="zh-CN"/>
              </w:rPr>
              <w:t>4-19</w:t>
            </w:r>
            <w:r>
              <w:rPr>
                <w:rFonts w:hint="default" w:ascii="Times New Roman" w:hAnsi="Times New Roman" w:eastAsia="黑体" w:cs="Times New Roman"/>
                <w:sz w:val="21"/>
                <w:szCs w:val="21"/>
                <w:highlight w:val="none"/>
              </w:rPr>
              <w:t xml:space="preserve"> 建设项目环保措施投资一览表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1"/>
              <w:gridCol w:w="2126"/>
              <w:gridCol w:w="3755"/>
              <w:gridCol w:w="1200"/>
            </w:tblGrid>
            <w:tr w14:paraId="1B248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pct"/>
                  <w:vAlign w:val="center"/>
                </w:tcPr>
                <w:p w14:paraId="63AE1EB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项目</w:t>
                  </w:r>
                </w:p>
              </w:tc>
              <w:tc>
                <w:tcPr>
                  <w:tcW w:w="1301" w:type="pct"/>
                  <w:vAlign w:val="center"/>
                </w:tcPr>
                <w:p w14:paraId="3DC0ACD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污染物</w:t>
                  </w:r>
                </w:p>
              </w:tc>
              <w:tc>
                <w:tcPr>
                  <w:tcW w:w="2300" w:type="pct"/>
                  <w:vAlign w:val="center"/>
                </w:tcPr>
                <w:p w14:paraId="0BA248A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环保措施</w:t>
                  </w:r>
                </w:p>
              </w:tc>
              <w:tc>
                <w:tcPr>
                  <w:tcW w:w="735" w:type="pct"/>
                  <w:vAlign w:val="center"/>
                </w:tcPr>
                <w:p w14:paraId="02B9D22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投资/</w:t>
                  </w:r>
                </w:p>
                <w:p w14:paraId="121E188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万元</w:t>
                  </w:r>
                </w:p>
              </w:tc>
            </w:tr>
            <w:tr w14:paraId="77B97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pct"/>
                  <w:vAlign w:val="center"/>
                </w:tcPr>
                <w:p w14:paraId="06668CC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废气</w:t>
                  </w:r>
                </w:p>
              </w:tc>
              <w:tc>
                <w:tcPr>
                  <w:tcW w:w="1301" w:type="pct"/>
                  <w:vAlign w:val="center"/>
                </w:tcPr>
                <w:p w14:paraId="3A98CF2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颗粒物、锡及其化合物</w:t>
                  </w:r>
                  <w:r>
                    <w:rPr>
                      <w:rFonts w:hint="eastAsia" w:ascii="Times New Roman" w:hAnsi="Times New Roman" w:eastAsia="宋体" w:cs="Times New Roman"/>
                      <w:sz w:val="21"/>
                      <w:szCs w:val="21"/>
                      <w:highlight w:val="none"/>
                      <w:vertAlign w:val="baseline"/>
                      <w:lang w:val="en-US" w:eastAsia="zh-CN"/>
                    </w:rPr>
                    <w:t>、</w:t>
                  </w:r>
                  <w:r>
                    <w:rPr>
                      <w:rFonts w:hint="default" w:ascii="Times New Roman" w:hAnsi="Times New Roman" w:eastAsia="宋体" w:cs="Times New Roman"/>
                      <w:sz w:val="21"/>
                      <w:szCs w:val="21"/>
                      <w:highlight w:val="none"/>
                      <w:vertAlign w:val="baseline"/>
                      <w:lang w:val="en-US" w:eastAsia="zh-CN"/>
                    </w:rPr>
                    <w:t>非甲烷总烃</w:t>
                  </w:r>
                </w:p>
              </w:tc>
              <w:tc>
                <w:tcPr>
                  <w:tcW w:w="2300" w:type="pct"/>
                  <w:vAlign w:val="center"/>
                </w:tcPr>
                <w:p w14:paraId="3EFB99A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集中收集后经1套“滤筒除尘器+活性炭装置”装置处理后通过1根23m高排气筒（DA001）排放</w:t>
                  </w:r>
                </w:p>
              </w:tc>
              <w:tc>
                <w:tcPr>
                  <w:tcW w:w="735" w:type="pct"/>
                  <w:vAlign w:val="center"/>
                </w:tcPr>
                <w:p w14:paraId="61A84DC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80</w:t>
                  </w:r>
                </w:p>
              </w:tc>
            </w:tr>
            <w:tr w14:paraId="09986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pct"/>
                  <w:vAlign w:val="center"/>
                </w:tcPr>
                <w:p w14:paraId="46A38D6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废水</w:t>
                  </w:r>
                </w:p>
              </w:tc>
              <w:tc>
                <w:tcPr>
                  <w:tcW w:w="1301" w:type="pct"/>
                  <w:vAlign w:val="center"/>
                </w:tcPr>
                <w:p w14:paraId="6F12207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生活污水</w:t>
                  </w:r>
                </w:p>
              </w:tc>
              <w:tc>
                <w:tcPr>
                  <w:tcW w:w="2300" w:type="pct"/>
                  <w:vAlign w:val="center"/>
                </w:tcPr>
                <w:p w14:paraId="6FA09D9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依托园区</w:t>
                  </w:r>
                  <w:r>
                    <w:rPr>
                      <w:rFonts w:hint="default" w:ascii="Times New Roman" w:hAnsi="Times New Roman" w:eastAsia="宋体" w:cs="Times New Roman"/>
                      <w:sz w:val="21"/>
                      <w:szCs w:val="21"/>
                      <w:highlight w:val="none"/>
                      <w:vertAlign w:val="baseline"/>
                      <w:lang w:val="en-US" w:eastAsia="zh-CN"/>
                    </w:rPr>
                    <w:t>化粪池</w:t>
                  </w:r>
                </w:p>
              </w:tc>
              <w:tc>
                <w:tcPr>
                  <w:tcW w:w="735" w:type="pct"/>
                  <w:vAlign w:val="center"/>
                </w:tcPr>
                <w:p w14:paraId="2EA0CC8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0</w:t>
                  </w:r>
                </w:p>
              </w:tc>
            </w:tr>
            <w:tr w14:paraId="23074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pct"/>
                  <w:vAlign w:val="center"/>
                </w:tcPr>
                <w:p w14:paraId="0FB018F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噪声</w:t>
                  </w:r>
                </w:p>
              </w:tc>
              <w:tc>
                <w:tcPr>
                  <w:tcW w:w="1301" w:type="pct"/>
                  <w:vAlign w:val="center"/>
                </w:tcPr>
                <w:p w14:paraId="78810CC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噪声</w:t>
                  </w:r>
                </w:p>
              </w:tc>
              <w:tc>
                <w:tcPr>
                  <w:tcW w:w="2300" w:type="pct"/>
                  <w:vAlign w:val="center"/>
                </w:tcPr>
                <w:p w14:paraId="419D258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b w:val="0"/>
                      <w:bCs w:val="0"/>
                      <w:color w:val="0C0C0C"/>
                      <w:sz w:val="21"/>
                      <w:szCs w:val="21"/>
                    </w:rPr>
                    <w:t>基础减振、车间隔声</w:t>
                  </w:r>
                </w:p>
              </w:tc>
              <w:tc>
                <w:tcPr>
                  <w:tcW w:w="735" w:type="pct"/>
                  <w:vAlign w:val="center"/>
                </w:tcPr>
                <w:p w14:paraId="258B1C7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5</w:t>
                  </w:r>
                </w:p>
              </w:tc>
            </w:tr>
            <w:tr w14:paraId="5F8C8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pct"/>
                  <w:vMerge w:val="restart"/>
                  <w:vAlign w:val="center"/>
                </w:tcPr>
                <w:p w14:paraId="085C8B2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固废</w:t>
                  </w:r>
                </w:p>
              </w:tc>
              <w:tc>
                <w:tcPr>
                  <w:tcW w:w="1301" w:type="pct"/>
                  <w:vAlign w:val="center"/>
                </w:tcPr>
                <w:p w14:paraId="12EBEDF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生活垃圾</w:t>
                  </w:r>
                </w:p>
              </w:tc>
              <w:tc>
                <w:tcPr>
                  <w:tcW w:w="2300" w:type="pct"/>
                  <w:vAlign w:val="center"/>
                </w:tcPr>
                <w:p w14:paraId="284856D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ascii="Times New Roman" w:hAnsi="Times New Roman" w:eastAsia="宋体" w:cs="Times New Roman"/>
                      <w:b w:val="0"/>
                      <w:bCs w:val="0"/>
                      <w:color w:val="0C0C0C"/>
                      <w:sz w:val="21"/>
                      <w:szCs w:val="21"/>
                    </w:rPr>
                    <w:t>垃圾桶</w:t>
                  </w:r>
                </w:p>
              </w:tc>
              <w:tc>
                <w:tcPr>
                  <w:tcW w:w="735" w:type="pct"/>
                  <w:vAlign w:val="center"/>
                </w:tcPr>
                <w:p w14:paraId="27AB633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2</w:t>
                  </w:r>
                </w:p>
              </w:tc>
            </w:tr>
            <w:tr w14:paraId="60C30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pct"/>
                  <w:vMerge w:val="continue"/>
                  <w:vAlign w:val="center"/>
                </w:tcPr>
                <w:p w14:paraId="65304DF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sz w:val="21"/>
                      <w:szCs w:val="21"/>
                      <w:highlight w:val="none"/>
                      <w:vertAlign w:val="baseline"/>
                      <w:lang w:val="en-US" w:eastAsia="zh-CN"/>
                    </w:rPr>
                  </w:pPr>
                </w:p>
              </w:tc>
              <w:tc>
                <w:tcPr>
                  <w:tcW w:w="1301" w:type="pct"/>
                  <w:vAlign w:val="center"/>
                </w:tcPr>
                <w:p w14:paraId="5BB4465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废外包装材料</w:t>
                  </w:r>
                  <w:r>
                    <w:rPr>
                      <w:rFonts w:hint="eastAsia" w:ascii="Times New Roman" w:hAnsi="Times New Roman" w:eastAsia="宋体" w:cs="Times New Roman"/>
                      <w:sz w:val="21"/>
                      <w:szCs w:val="21"/>
                      <w:highlight w:val="none"/>
                      <w:vertAlign w:val="baseline"/>
                      <w:lang w:val="en-US" w:eastAsia="zh-CN"/>
                    </w:rPr>
                    <w:t>、锡渣、除尘器捕捉粉尘</w:t>
                  </w:r>
                </w:p>
              </w:tc>
              <w:tc>
                <w:tcPr>
                  <w:tcW w:w="2300" w:type="pct"/>
                  <w:vAlign w:val="center"/>
                </w:tcPr>
                <w:p w14:paraId="651AAC3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hAnsi="Times New Roman" w:eastAsia="宋体" w:cs="Times New Roman"/>
                      <w:b w:val="0"/>
                      <w:bCs w:val="0"/>
                      <w:color w:val="0C0C0C"/>
                      <w:sz w:val="21"/>
                      <w:szCs w:val="21"/>
                    </w:rPr>
                  </w:pPr>
                  <w:r>
                    <w:rPr>
                      <w:rFonts w:hint="eastAsia" w:ascii="Times New Roman" w:hAnsi="Times New Roman" w:eastAsia="宋体" w:cs="Times New Roman"/>
                      <w:sz w:val="21"/>
                      <w:szCs w:val="21"/>
                      <w:highlight w:val="none"/>
                      <w:vertAlign w:val="baseline"/>
                      <w:lang w:val="en-US" w:eastAsia="zh-CN"/>
                    </w:rPr>
                    <w:t>一般固废间</w:t>
                  </w:r>
                </w:p>
              </w:tc>
              <w:tc>
                <w:tcPr>
                  <w:tcW w:w="735" w:type="pct"/>
                  <w:vAlign w:val="center"/>
                </w:tcPr>
                <w:p w14:paraId="72E02B1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3</w:t>
                  </w:r>
                </w:p>
              </w:tc>
            </w:tr>
            <w:tr w14:paraId="3789B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pct"/>
                  <w:vMerge w:val="continue"/>
                  <w:vAlign w:val="center"/>
                </w:tcPr>
                <w:p w14:paraId="74D5410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sz w:val="21"/>
                      <w:szCs w:val="21"/>
                      <w:highlight w:val="none"/>
                      <w:vertAlign w:val="baseline"/>
                      <w:lang w:val="en-US" w:eastAsia="zh-CN"/>
                    </w:rPr>
                  </w:pPr>
                </w:p>
              </w:tc>
              <w:tc>
                <w:tcPr>
                  <w:tcW w:w="1301" w:type="pct"/>
                  <w:vAlign w:val="center"/>
                </w:tcPr>
                <w:p w14:paraId="4674967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废辅料包装材料、废</w:t>
                  </w:r>
                  <w:r>
                    <w:rPr>
                      <w:rFonts w:hint="eastAsia" w:ascii="Times New Roman" w:hAnsi="Times New Roman" w:eastAsia="宋体" w:cs="Times New Roman"/>
                      <w:sz w:val="21"/>
                      <w:szCs w:val="21"/>
                      <w:highlight w:val="none"/>
                      <w:vertAlign w:val="baseline"/>
                      <w:lang w:val="en-US" w:eastAsia="zh-CN"/>
                    </w:rPr>
                    <w:t>擦拭</w:t>
                  </w:r>
                  <w:r>
                    <w:rPr>
                      <w:rFonts w:hint="default" w:ascii="Times New Roman" w:hAnsi="Times New Roman" w:eastAsia="宋体" w:cs="Times New Roman"/>
                      <w:sz w:val="21"/>
                      <w:szCs w:val="21"/>
                      <w:highlight w:val="none"/>
                      <w:vertAlign w:val="baseline"/>
                      <w:lang w:val="en-US" w:eastAsia="zh-CN"/>
                    </w:rPr>
                    <w:t>布、废活性炭</w:t>
                  </w:r>
                  <w:r>
                    <w:rPr>
                      <w:rFonts w:hint="eastAsia" w:ascii="Times New Roman" w:hAnsi="Times New Roman" w:eastAsia="宋体" w:cs="Times New Roman"/>
                      <w:sz w:val="21"/>
                      <w:szCs w:val="21"/>
                      <w:highlight w:val="none"/>
                      <w:vertAlign w:val="baseline"/>
                      <w:lang w:val="en-US" w:eastAsia="zh-CN"/>
                    </w:rPr>
                    <w:t>、废滤芯、</w:t>
                  </w:r>
                  <w:r>
                    <w:rPr>
                      <w:rFonts w:hint="default" w:ascii="Times New Roman" w:hAnsi="Times New Roman" w:eastAsia="宋体" w:cs="Times New Roman"/>
                      <w:sz w:val="21"/>
                      <w:szCs w:val="21"/>
                      <w:highlight w:val="none"/>
                      <w:vertAlign w:val="baseline"/>
                      <w:lang w:val="en-US" w:eastAsia="zh-CN"/>
                    </w:rPr>
                    <w:t>废机油、废机油桶、废含油抹布手套</w:t>
                  </w:r>
                </w:p>
              </w:tc>
              <w:tc>
                <w:tcPr>
                  <w:tcW w:w="2300" w:type="pct"/>
                  <w:vAlign w:val="center"/>
                </w:tcPr>
                <w:p w14:paraId="738B8AD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hAnsi="Times New Roman" w:eastAsia="宋体" w:cs="Times New Roman"/>
                      <w:b w:val="0"/>
                      <w:bCs w:val="0"/>
                      <w:color w:val="0C0C0C"/>
                      <w:sz w:val="21"/>
                      <w:szCs w:val="21"/>
                    </w:rPr>
                  </w:pPr>
                  <w:r>
                    <w:rPr>
                      <w:rFonts w:hint="eastAsia" w:ascii="Times New Roman" w:hAnsi="Times New Roman" w:cs="Times New Roman"/>
                      <w:color w:val="000000"/>
                      <w:spacing w:val="-1"/>
                    </w:rPr>
                    <w:t>危废贮存点</w:t>
                  </w:r>
                </w:p>
              </w:tc>
              <w:tc>
                <w:tcPr>
                  <w:tcW w:w="735" w:type="pct"/>
                  <w:vAlign w:val="center"/>
                </w:tcPr>
                <w:p w14:paraId="4B6FE2B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5</w:t>
                  </w:r>
                </w:p>
              </w:tc>
            </w:tr>
            <w:tr w14:paraId="224BF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964" w:type="pct"/>
                  <w:gridSpan w:val="2"/>
                  <w:vAlign w:val="center"/>
                </w:tcPr>
                <w:p w14:paraId="31AFBAF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合计</w:t>
                  </w:r>
                </w:p>
              </w:tc>
              <w:tc>
                <w:tcPr>
                  <w:tcW w:w="3035" w:type="pct"/>
                  <w:gridSpan w:val="2"/>
                  <w:vAlign w:val="center"/>
                </w:tcPr>
                <w:p w14:paraId="2C23CB3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95</w:t>
                  </w:r>
                </w:p>
              </w:tc>
            </w:tr>
          </w:tbl>
          <w:p w14:paraId="1F1AA1D0">
            <w:pPr>
              <w:rPr>
                <w:rFonts w:hint="eastAsia"/>
                <w:vertAlign w:val="baseline"/>
                <w:lang w:eastAsia="zh-CN"/>
              </w:rPr>
            </w:pPr>
          </w:p>
          <w:p w14:paraId="20CF13A5">
            <w:pPr>
              <w:rPr>
                <w:rFonts w:hint="eastAsia"/>
                <w:vertAlign w:val="baseline"/>
                <w:lang w:eastAsia="zh-CN"/>
              </w:rPr>
            </w:pPr>
          </w:p>
          <w:p w14:paraId="773828A1">
            <w:pPr>
              <w:rPr>
                <w:rFonts w:hint="eastAsia"/>
                <w:vertAlign w:val="baseline"/>
                <w:lang w:eastAsia="zh-CN"/>
              </w:rPr>
            </w:pPr>
          </w:p>
          <w:p w14:paraId="4B1B4C9D">
            <w:pPr>
              <w:rPr>
                <w:rFonts w:hint="eastAsia"/>
                <w:vertAlign w:val="baseline"/>
                <w:lang w:eastAsia="zh-CN"/>
              </w:rPr>
            </w:pPr>
          </w:p>
          <w:p w14:paraId="64F8E24C">
            <w:pPr>
              <w:rPr>
                <w:rFonts w:hint="eastAsia"/>
                <w:vertAlign w:val="baseline"/>
                <w:lang w:eastAsia="zh-CN"/>
              </w:rPr>
            </w:pPr>
          </w:p>
          <w:p w14:paraId="4F978A6A">
            <w:pPr>
              <w:rPr>
                <w:rFonts w:hint="eastAsia"/>
                <w:vertAlign w:val="baseline"/>
                <w:lang w:eastAsia="zh-CN"/>
              </w:rPr>
            </w:pPr>
          </w:p>
          <w:p w14:paraId="3FAD01C5">
            <w:pPr>
              <w:rPr>
                <w:rFonts w:hint="eastAsia"/>
                <w:vertAlign w:val="baseline"/>
                <w:lang w:eastAsia="zh-CN"/>
              </w:rPr>
            </w:pPr>
          </w:p>
          <w:p w14:paraId="776CFE08">
            <w:pPr>
              <w:rPr>
                <w:rFonts w:hint="eastAsia"/>
                <w:vertAlign w:val="baseline"/>
                <w:lang w:eastAsia="zh-CN"/>
              </w:rPr>
            </w:pPr>
          </w:p>
          <w:p w14:paraId="05712986">
            <w:pPr>
              <w:rPr>
                <w:rFonts w:hint="eastAsia"/>
                <w:vertAlign w:val="baseline"/>
                <w:lang w:eastAsia="zh-CN"/>
              </w:rPr>
            </w:pPr>
          </w:p>
          <w:p w14:paraId="1CE35133">
            <w:pPr>
              <w:rPr>
                <w:rFonts w:hint="eastAsia"/>
                <w:vertAlign w:val="baseline"/>
                <w:lang w:eastAsia="zh-CN"/>
              </w:rPr>
            </w:pPr>
          </w:p>
          <w:p w14:paraId="4BB136F4">
            <w:pPr>
              <w:rPr>
                <w:rFonts w:hint="eastAsia"/>
                <w:vertAlign w:val="baseline"/>
                <w:lang w:eastAsia="zh-CN"/>
              </w:rPr>
            </w:pPr>
          </w:p>
          <w:p w14:paraId="4DA39CBD">
            <w:pPr>
              <w:rPr>
                <w:rFonts w:hint="eastAsia"/>
                <w:vertAlign w:val="baseline"/>
                <w:lang w:eastAsia="zh-CN"/>
              </w:rPr>
            </w:pPr>
          </w:p>
          <w:p w14:paraId="7DEBA539">
            <w:pPr>
              <w:rPr>
                <w:rFonts w:hint="eastAsia"/>
                <w:vertAlign w:val="baseline"/>
                <w:lang w:eastAsia="zh-CN"/>
              </w:rPr>
            </w:pPr>
          </w:p>
          <w:p w14:paraId="198BE5D4">
            <w:pPr>
              <w:rPr>
                <w:rFonts w:hint="eastAsia"/>
                <w:vertAlign w:val="baseline"/>
                <w:lang w:eastAsia="zh-CN"/>
              </w:rPr>
            </w:pPr>
          </w:p>
          <w:p w14:paraId="58143B31">
            <w:pPr>
              <w:rPr>
                <w:rFonts w:hint="eastAsia"/>
                <w:vertAlign w:val="baseline"/>
                <w:lang w:eastAsia="zh-CN"/>
              </w:rPr>
            </w:pPr>
          </w:p>
          <w:p w14:paraId="528C535B">
            <w:pPr>
              <w:rPr>
                <w:rFonts w:hint="eastAsia"/>
                <w:vertAlign w:val="baseline"/>
                <w:lang w:eastAsia="zh-CN"/>
              </w:rPr>
            </w:pPr>
          </w:p>
          <w:p w14:paraId="44ADD612">
            <w:pPr>
              <w:rPr>
                <w:rFonts w:hint="eastAsia"/>
                <w:vertAlign w:val="baseline"/>
                <w:lang w:eastAsia="zh-CN"/>
              </w:rPr>
            </w:pPr>
          </w:p>
          <w:p w14:paraId="4966AB02">
            <w:pPr>
              <w:rPr>
                <w:rFonts w:hint="eastAsia"/>
                <w:vertAlign w:val="baseline"/>
                <w:lang w:eastAsia="zh-CN"/>
              </w:rPr>
            </w:pPr>
          </w:p>
          <w:p w14:paraId="3D514ADB">
            <w:pPr>
              <w:rPr>
                <w:rFonts w:hint="eastAsia"/>
                <w:vertAlign w:val="baseline"/>
                <w:lang w:eastAsia="zh-CN"/>
              </w:rPr>
            </w:pPr>
          </w:p>
          <w:p w14:paraId="143C7E48">
            <w:pPr>
              <w:rPr>
                <w:rFonts w:hint="eastAsia"/>
                <w:vertAlign w:val="baseline"/>
                <w:lang w:eastAsia="zh-CN"/>
              </w:rPr>
            </w:pPr>
          </w:p>
          <w:p w14:paraId="399A7622">
            <w:pPr>
              <w:rPr>
                <w:rFonts w:hint="eastAsia"/>
                <w:vertAlign w:val="baseline"/>
                <w:lang w:eastAsia="zh-CN"/>
              </w:rPr>
            </w:pPr>
          </w:p>
          <w:p w14:paraId="69483B9C">
            <w:pPr>
              <w:rPr>
                <w:rFonts w:hint="eastAsia"/>
                <w:vertAlign w:val="baseline"/>
                <w:lang w:eastAsia="zh-CN"/>
              </w:rPr>
            </w:pPr>
          </w:p>
          <w:p w14:paraId="3D0DB3C7">
            <w:pPr>
              <w:rPr>
                <w:rFonts w:hint="eastAsia"/>
                <w:vertAlign w:val="baseline"/>
                <w:lang w:eastAsia="zh-CN"/>
              </w:rPr>
            </w:pPr>
          </w:p>
          <w:p w14:paraId="52483BD4">
            <w:pPr>
              <w:rPr>
                <w:rFonts w:hint="eastAsia" w:eastAsiaTheme="minorEastAsia"/>
                <w:vertAlign w:val="baseline"/>
                <w:lang w:eastAsia="zh-CN"/>
              </w:rPr>
            </w:pPr>
          </w:p>
        </w:tc>
      </w:tr>
    </w:tbl>
    <w:p w14:paraId="020554ED">
      <w:pPr>
        <w:sectPr>
          <w:pgSz w:w="11906" w:h="16838"/>
          <w:pgMar w:top="1417" w:right="1417" w:bottom="1417" w:left="1417" w:header="851" w:footer="992" w:gutter="0"/>
          <w:pgNumType w:fmt="decimal"/>
          <w:cols w:space="425" w:num="1"/>
          <w:docGrid w:type="lines" w:linePitch="312" w:charSpace="0"/>
        </w:sectPr>
      </w:pPr>
    </w:p>
    <w:p w14:paraId="523CE1C1">
      <w:pPr>
        <w:numPr>
          <w:ilvl w:val="0"/>
          <w:numId w:val="0"/>
        </w:numPr>
        <w:spacing w:line="360" w:lineRule="auto"/>
        <w:ind w:left="0" w:leftChars="0" w:firstLine="0" w:firstLineChars="0"/>
        <w:jc w:val="left"/>
        <w:outlineLvl w:val="0"/>
        <w:rPr>
          <w:rFonts w:hint="default" w:ascii="Times New Roman" w:hAnsi="Times New Roman" w:eastAsia="黑体" w:cs="Times New Roman"/>
          <w:b w:val="0"/>
          <w:bCs w:val="0"/>
          <w:sz w:val="30"/>
          <w:szCs w:val="30"/>
        </w:rPr>
      </w:pPr>
      <w:r>
        <w:rPr>
          <w:rFonts w:hint="default" w:ascii="Times New Roman" w:hAnsi="Times New Roman" w:eastAsia="黑体" w:cs="Times New Roman"/>
          <w:b w:val="0"/>
          <w:bCs w:val="0"/>
          <w:sz w:val="30"/>
          <w:szCs w:val="30"/>
          <w:lang w:val="en-US" w:eastAsia="zh-CN"/>
        </w:rPr>
        <w:t>五、</w:t>
      </w:r>
      <w:r>
        <w:rPr>
          <w:rFonts w:hint="default" w:ascii="Times New Roman" w:hAnsi="Times New Roman" w:eastAsia="黑体" w:cs="Times New Roman"/>
          <w:b w:val="0"/>
          <w:bCs w:val="0"/>
          <w:sz w:val="30"/>
          <w:szCs w:val="30"/>
        </w:rPr>
        <w:t>环境保护措施监督检查清单</w:t>
      </w: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4"/>
        <w:gridCol w:w="2079"/>
        <w:gridCol w:w="1504"/>
        <w:gridCol w:w="2926"/>
        <w:gridCol w:w="6024"/>
      </w:tblGrid>
      <w:tr w14:paraId="26704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pct"/>
            <w:vAlign w:val="center"/>
          </w:tcPr>
          <w:p w14:paraId="69D200E8">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cs="Times New Roman"/>
              </w:rPr>
            </w:pPr>
            <w:r>
              <w:rPr>
                <w:rFonts w:hint="default" w:ascii="Times New Roman" w:hAnsi="Times New Roman" w:cs="Times New Roman"/>
              </w:rPr>
              <mc:AlternateContent>
                <mc:Choice Requires="wps">
                  <w:drawing>
                    <wp:anchor distT="0" distB="0" distL="114300" distR="114300" simplePos="0" relativeHeight="251660288" behindDoc="0" locked="0" layoutInCell="1" allowOverlap="1">
                      <wp:simplePos x="0" y="0"/>
                      <wp:positionH relativeFrom="column">
                        <wp:posOffset>-55880</wp:posOffset>
                      </wp:positionH>
                      <wp:positionV relativeFrom="paragraph">
                        <wp:posOffset>19050</wp:posOffset>
                      </wp:positionV>
                      <wp:extent cx="1045210" cy="746125"/>
                      <wp:effectExtent l="2540" t="3810" r="19050" b="12065"/>
                      <wp:wrapNone/>
                      <wp:docPr id="6" name="直接连接符 6"/>
                      <wp:cNvGraphicFramePr/>
                      <a:graphic xmlns:a="http://schemas.openxmlformats.org/drawingml/2006/main">
                        <a:graphicData uri="http://schemas.microsoft.com/office/word/2010/wordprocessingShape">
                          <wps:wsp>
                            <wps:cNvCnPr/>
                            <wps:spPr>
                              <a:xfrm>
                                <a:off x="1070610" y="1339215"/>
                                <a:ext cx="1045210" cy="7461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4.4pt;margin-top:1.5pt;height:58.75pt;width:82.3pt;z-index:251660288;mso-width-relative:page;mso-height-relative:page;" filled="f" stroked="t" coordsize="21600,21600" o:gfxdata="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QarNI1QAAAAgBAAAPAAAAAAAAAAEAIAAAACIAAABkcnMvZG93bnJldi54bWxQSwECFAAUAAAA&#10;CACHTuJAl9qyTPEBAADCAwAADgAAAAAAAAABACAAAAAkAQAAZHJzL2Uyb0RvYy54bWxQSwUGAAAA&#10;AAYABgBZAQAAhwUAAAAA&#10;">
                      <v:fill on="f" focussize="0,0"/>
                      <v:stroke weight="0.5pt" color="#000000 [3213]" miterlimit="8" joinstyle="miter"/>
                      <v:imagedata o:title=""/>
                      <o:lock v:ext="edit" aspectratio="f"/>
                    </v:line>
                  </w:pict>
                </mc:Fallback>
              </mc:AlternateContent>
            </w:r>
            <w:r>
              <w:rPr>
                <w:rFonts w:hint="default" w:ascii="Times New Roman" w:hAnsi="Times New Roman" w:cs="Times New Roman"/>
              </w:rPr>
              <w:t xml:space="preserve">       内容</w:t>
            </w:r>
          </w:p>
          <w:p w14:paraId="7273249C">
            <w:pPr>
              <w:pStyle w:val="14"/>
              <w:keepNext w:val="0"/>
              <w:keepLines w:val="0"/>
              <w:pageBreakBefore w:val="0"/>
              <w:kinsoku/>
              <w:wordWrap/>
              <w:overflowPunct/>
              <w:topLinePunct w:val="0"/>
              <w:autoSpaceDE/>
              <w:autoSpaceDN/>
              <w:bidi w:val="0"/>
              <w:snapToGrid/>
              <w:spacing w:line="360" w:lineRule="auto"/>
              <w:ind w:left="0" w:leftChars="0" w:firstLine="240" w:firstLineChars="100"/>
              <w:rPr>
                <w:rFonts w:hint="default" w:ascii="Times New Roman" w:hAnsi="Times New Roman" w:cs="Times New Roman"/>
              </w:rPr>
            </w:pPr>
            <w:r>
              <w:rPr>
                <w:rFonts w:hint="default" w:ascii="Times New Roman" w:hAnsi="Times New Roman" w:eastAsia="宋体" w:cs="Times New Roman"/>
                <w:sz w:val="24"/>
              </w:rPr>
              <w:t>要素</w:t>
            </w:r>
          </w:p>
        </w:tc>
        <w:tc>
          <w:tcPr>
            <w:tcW w:w="731" w:type="pct"/>
            <w:vAlign w:val="center"/>
          </w:tcPr>
          <w:p w14:paraId="2D4DBB56">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排放口（编号、名称）/污染源</w:t>
            </w:r>
          </w:p>
        </w:tc>
        <w:tc>
          <w:tcPr>
            <w:tcW w:w="529" w:type="pct"/>
            <w:vAlign w:val="center"/>
          </w:tcPr>
          <w:p w14:paraId="77BA9512">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污染物</w:t>
            </w:r>
          </w:p>
          <w:p w14:paraId="7BBEEB6F">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名称</w:t>
            </w:r>
          </w:p>
        </w:tc>
        <w:tc>
          <w:tcPr>
            <w:tcW w:w="1029" w:type="pct"/>
            <w:vAlign w:val="center"/>
          </w:tcPr>
          <w:p w14:paraId="7B184E27">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环境保护措施</w:t>
            </w:r>
          </w:p>
        </w:tc>
        <w:tc>
          <w:tcPr>
            <w:tcW w:w="2116" w:type="pct"/>
            <w:vAlign w:val="center"/>
          </w:tcPr>
          <w:p w14:paraId="0EA30C2A">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执行标准</w:t>
            </w:r>
          </w:p>
        </w:tc>
      </w:tr>
      <w:tr w14:paraId="59763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592" w:type="pct"/>
            <w:vAlign w:val="center"/>
          </w:tcPr>
          <w:p w14:paraId="0CF943D3">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大气环境</w:t>
            </w:r>
          </w:p>
        </w:tc>
        <w:tc>
          <w:tcPr>
            <w:tcW w:w="731" w:type="pct"/>
            <w:vAlign w:val="center"/>
          </w:tcPr>
          <w:p w14:paraId="73E99A45">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DA001/焊接、擦拭废气</w:t>
            </w:r>
          </w:p>
        </w:tc>
        <w:tc>
          <w:tcPr>
            <w:tcW w:w="529" w:type="pct"/>
            <w:vAlign w:val="center"/>
          </w:tcPr>
          <w:p w14:paraId="496FD927">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颗粒物、锡及其化合物、非甲烷总烃</w:t>
            </w:r>
          </w:p>
        </w:tc>
        <w:tc>
          <w:tcPr>
            <w:tcW w:w="1029" w:type="pct"/>
            <w:vAlign w:val="center"/>
          </w:tcPr>
          <w:p w14:paraId="58CCAC72">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集中收集后经“滤筒除尘器+二级活性炭吸附”装置处理后通过1根23m高排气筒（DA001）排放</w:t>
            </w:r>
          </w:p>
        </w:tc>
        <w:tc>
          <w:tcPr>
            <w:tcW w:w="2116" w:type="pct"/>
            <w:vAlign w:val="center"/>
          </w:tcPr>
          <w:p w14:paraId="055BA770">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非甲烷总烃有组织排放执行安徽省《固定源挥发性有机物综合排放标准第5部分：电子工业》（DB34/4812.5-2024）表1相关排放限值；颗粒物、锡及其化合物、无组织非甲烷总烃执行《大气污染物综合排放标准》（GB16297-1996）中表2相关排放限值。项目厂区内无组织有机废气的控制执行安徽省《固定源挥发性有机物综合排放标准第5部分：电子工业》（DB34/4812.5-2024）表3相关排放限值。</w:t>
            </w:r>
          </w:p>
        </w:tc>
      </w:tr>
      <w:tr w14:paraId="2A8FB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592" w:type="pct"/>
            <w:vAlign w:val="center"/>
          </w:tcPr>
          <w:p w14:paraId="13812291">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地表水环境</w:t>
            </w:r>
          </w:p>
        </w:tc>
        <w:tc>
          <w:tcPr>
            <w:tcW w:w="731" w:type="pct"/>
            <w:vAlign w:val="center"/>
          </w:tcPr>
          <w:p w14:paraId="37A1305E">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生活污水</w:t>
            </w:r>
          </w:p>
        </w:tc>
        <w:tc>
          <w:tcPr>
            <w:tcW w:w="529" w:type="pct"/>
            <w:vAlign w:val="center"/>
          </w:tcPr>
          <w:p w14:paraId="65CBBDA3">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SS、</w:t>
            </w:r>
            <w:r>
              <w:rPr>
                <w:rFonts w:hint="default" w:ascii="Times New Roman" w:hAnsi="Times New Roman" w:eastAsia="宋体" w:cs="Times New Roman"/>
                <w:lang w:val="en-US" w:eastAsia="zh-CN"/>
              </w:rPr>
              <w:t>COD、BOD</w:t>
            </w:r>
            <w:r>
              <w:rPr>
                <w:rFonts w:hint="default" w:ascii="Times New Roman" w:hAnsi="Times New Roman" w:eastAsia="宋体" w:cs="Times New Roman"/>
                <w:vertAlign w:val="subscript"/>
                <w:lang w:val="en-US" w:eastAsia="zh-CN"/>
              </w:rPr>
              <w:t>5</w:t>
            </w:r>
            <w:r>
              <w:rPr>
                <w:rFonts w:hint="default" w:ascii="Times New Roman" w:hAnsi="Times New Roman" w:eastAsia="宋体" w:cs="Times New Roman"/>
                <w:lang w:val="en-US" w:eastAsia="zh-CN"/>
              </w:rPr>
              <w:t>、NH</w:t>
            </w:r>
            <w:r>
              <w:rPr>
                <w:rFonts w:hint="default" w:ascii="Times New Roman" w:hAnsi="Times New Roman" w:eastAsia="宋体" w:cs="Times New Roman"/>
                <w:vertAlign w:val="subscript"/>
                <w:lang w:val="en-US" w:eastAsia="zh-CN"/>
              </w:rPr>
              <w:t>3</w:t>
            </w:r>
            <w:r>
              <w:rPr>
                <w:rFonts w:hint="default" w:ascii="Times New Roman" w:hAnsi="Times New Roman" w:eastAsia="宋体" w:cs="Times New Roman"/>
                <w:lang w:val="en-US" w:eastAsia="zh-CN"/>
              </w:rPr>
              <w:t>-N</w:t>
            </w:r>
            <w:r>
              <w:rPr>
                <w:rFonts w:hint="eastAsia" w:ascii="Times New Roman" w:hAnsi="Times New Roman" w:eastAsia="宋体" w:cs="Times New Roman"/>
                <w:lang w:val="en-US" w:eastAsia="zh-CN"/>
              </w:rPr>
              <w:t>、TP、TN</w:t>
            </w:r>
          </w:p>
        </w:tc>
        <w:tc>
          <w:tcPr>
            <w:tcW w:w="1029" w:type="pct"/>
            <w:vAlign w:val="center"/>
          </w:tcPr>
          <w:p w14:paraId="13EB72C0">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生活污水依托园区化粪预处理后排入江南产业集中区第一污水处理厂</w:t>
            </w:r>
          </w:p>
        </w:tc>
        <w:tc>
          <w:tcPr>
            <w:tcW w:w="2116" w:type="pct"/>
            <w:vAlign w:val="center"/>
          </w:tcPr>
          <w:p w14:paraId="186C2CA5">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《电子工业水污染物排放标准》（GB39731-2020）表1限值及江南产业集中区第一污水处理厂</w:t>
            </w:r>
            <w:r>
              <w:rPr>
                <w:rFonts w:hint="eastAsia" w:ascii="Times New Roman" w:hAnsi="Times New Roman" w:eastAsia="宋体" w:cs="Times New Roman"/>
                <w:lang w:eastAsia="zh-CN"/>
              </w:rPr>
              <w:t>接管限值。</w:t>
            </w:r>
          </w:p>
        </w:tc>
      </w:tr>
      <w:tr w14:paraId="19E0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pct"/>
            <w:vAlign w:val="center"/>
          </w:tcPr>
          <w:p w14:paraId="6A4B52D0">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声环境</w:t>
            </w:r>
          </w:p>
        </w:tc>
        <w:tc>
          <w:tcPr>
            <w:tcW w:w="731" w:type="pct"/>
            <w:vAlign w:val="center"/>
          </w:tcPr>
          <w:p w14:paraId="1170F791">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lang w:val="en-US" w:eastAsia="zh-CN"/>
              </w:rPr>
              <w:t>噪声</w:t>
            </w:r>
          </w:p>
        </w:tc>
        <w:tc>
          <w:tcPr>
            <w:tcW w:w="529" w:type="pct"/>
            <w:vAlign w:val="center"/>
          </w:tcPr>
          <w:p w14:paraId="39545E16">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lang w:eastAsia="zh-CN"/>
              </w:rPr>
            </w:pPr>
            <w:r>
              <w:rPr>
                <w:rFonts w:hint="default" w:ascii="Times New Roman" w:hAnsi="Times New Roman" w:eastAsia="宋体" w:cs="Times New Roman"/>
                <w:lang w:val="en-US" w:eastAsia="zh-CN"/>
              </w:rPr>
              <w:t>噪声</w:t>
            </w:r>
          </w:p>
        </w:tc>
        <w:tc>
          <w:tcPr>
            <w:tcW w:w="1029" w:type="pct"/>
            <w:vAlign w:val="center"/>
          </w:tcPr>
          <w:p w14:paraId="62F66E4A">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基础减震、车间隔声等</w:t>
            </w:r>
          </w:p>
        </w:tc>
        <w:tc>
          <w:tcPr>
            <w:tcW w:w="2116" w:type="pct"/>
            <w:vAlign w:val="center"/>
          </w:tcPr>
          <w:p w14:paraId="05D53081">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eastAsia" w:ascii="Times New Roman" w:hAnsi="Times New Roman" w:eastAsia="宋体" w:cs="Times New Roman"/>
                <w:lang w:eastAsia="zh-CN"/>
              </w:rPr>
            </w:pPr>
            <w:r>
              <w:rPr>
                <w:rFonts w:hint="default" w:ascii="Times New Roman" w:hAnsi="Times New Roman" w:eastAsia="宋体" w:cs="Times New Roman"/>
              </w:rPr>
              <w:t>厂界噪声贡献值满足《工业企业厂界环境噪声排放标准》（GB12348-2008）3类标准要求</w:t>
            </w:r>
            <w:r>
              <w:rPr>
                <w:rFonts w:hint="eastAsia" w:ascii="Times New Roman" w:hAnsi="Times New Roman" w:eastAsia="宋体" w:cs="Times New Roman"/>
                <w:lang w:eastAsia="zh-CN"/>
              </w:rPr>
              <w:t>。</w:t>
            </w:r>
          </w:p>
        </w:tc>
      </w:tr>
      <w:tr w14:paraId="7CA74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pct"/>
            <w:vAlign w:val="center"/>
          </w:tcPr>
          <w:p w14:paraId="22BEB5D7">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固体废物</w:t>
            </w:r>
          </w:p>
        </w:tc>
        <w:tc>
          <w:tcPr>
            <w:tcW w:w="4407" w:type="pct"/>
            <w:gridSpan w:val="4"/>
            <w:vAlign w:val="center"/>
          </w:tcPr>
          <w:p w14:paraId="21D98F99">
            <w:pPr>
              <w:pStyle w:val="13"/>
              <w:keepNext w:val="0"/>
              <w:keepLines w:val="0"/>
              <w:pageBreakBefore w:val="0"/>
              <w:kinsoku/>
              <w:wordWrap/>
              <w:overflowPunct/>
              <w:topLinePunct w:val="0"/>
              <w:autoSpaceDE/>
              <w:autoSpaceDN/>
              <w:bidi w:val="0"/>
              <w:snapToGrid/>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sz w:val="24"/>
              </w:rPr>
              <w:t>生活垃圾经集中收集后交由环卫部门清运。废外包装材料、锡渣、除尘器捕捉粉尘集中收集后外售。废滤芯由厂家更换带走</w:t>
            </w:r>
            <w:r>
              <w:rPr>
                <w:rFonts w:hint="eastAsia" w:ascii="Times New Roman" w:hAnsi="Times New Roman" w:eastAsia="宋体" w:cs="Times New Roman"/>
                <w:sz w:val="24"/>
                <w:lang w:eastAsia="zh-CN"/>
              </w:rPr>
              <w:t>。</w:t>
            </w:r>
            <w:r>
              <w:rPr>
                <w:rFonts w:hint="default" w:ascii="Times New Roman" w:hAnsi="Times New Roman" w:eastAsia="宋体" w:cs="Times New Roman"/>
                <w:sz w:val="24"/>
              </w:rPr>
              <w:t>废电路板、废辅料包装材料、废擦拭布、废活性炭、废机油、废机油桶、废含油抹布手套集中收集后置于危废贮存点，定期委托有资质的单位进行处置。</w:t>
            </w:r>
          </w:p>
        </w:tc>
      </w:tr>
      <w:tr w14:paraId="5DC59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pct"/>
            <w:vAlign w:val="center"/>
          </w:tcPr>
          <w:p w14:paraId="30505B82">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土壤及地下水污染防治措施</w:t>
            </w:r>
          </w:p>
        </w:tc>
        <w:tc>
          <w:tcPr>
            <w:tcW w:w="4407" w:type="pct"/>
            <w:gridSpan w:val="4"/>
            <w:vAlign w:val="center"/>
          </w:tcPr>
          <w:p w14:paraId="05329BD2">
            <w:pPr>
              <w:pStyle w:val="13"/>
              <w:keepNext w:val="0"/>
              <w:keepLines w:val="0"/>
              <w:pageBreakBefore w:val="0"/>
              <w:kinsoku/>
              <w:wordWrap/>
              <w:overflowPunct/>
              <w:topLinePunct w:val="0"/>
              <w:autoSpaceDE/>
              <w:autoSpaceDN/>
              <w:bidi w:val="0"/>
              <w:snapToGrid/>
              <w:spacing w:line="360" w:lineRule="auto"/>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本</w:t>
            </w:r>
            <w:r>
              <w:rPr>
                <w:rFonts w:hint="default" w:ascii="Times New Roman" w:hAnsi="Times New Roman" w:eastAsia="宋体" w:cs="Times New Roman"/>
              </w:rPr>
              <w:t>项目厂房在4层，正常情况下无土壤及地下水环境污染途径，不会对土壤及地下水环境产生不利影响，本环评要求项目危废贮存点、辅料存放区做好防腐措施即可。</w:t>
            </w:r>
          </w:p>
        </w:tc>
      </w:tr>
      <w:tr w14:paraId="49DC6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pct"/>
            <w:vAlign w:val="center"/>
          </w:tcPr>
          <w:p w14:paraId="7C010381">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生态保护</w:t>
            </w:r>
          </w:p>
          <w:p w14:paraId="649085E5">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措施</w:t>
            </w:r>
          </w:p>
        </w:tc>
        <w:tc>
          <w:tcPr>
            <w:tcW w:w="4407" w:type="pct"/>
            <w:gridSpan w:val="4"/>
            <w:vAlign w:val="center"/>
          </w:tcPr>
          <w:p w14:paraId="6E2930E2">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w:t>
            </w:r>
          </w:p>
        </w:tc>
      </w:tr>
      <w:tr w14:paraId="771C2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pct"/>
            <w:vAlign w:val="center"/>
          </w:tcPr>
          <w:p w14:paraId="289A7813">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环境风险</w:t>
            </w:r>
          </w:p>
          <w:p w14:paraId="5E9D7710">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防范措施</w:t>
            </w:r>
          </w:p>
        </w:tc>
        <w:tc>
          <w:tcPr>
            <w:tcW w:w="4407" w:type="pct"/>
            <w:gridSpan w:val="4"/>
            <w:vAlign w:val="center"/>
          </w:tcPr>
          <w:p w14:paraId="4D09B8D2">
            <w:pPr>
              <w:pStyle w:val="13"/>
              <w:keepNext w:val="0"/>
              <w:keepLines w:val="0"/>
              <w:pageBreakBefore w:val="0"/>
              <w:kinsoku/>
              <w:wordWrap/>
              <w:overflowPunct/>
              <w:topLinePunct w:val="0"/>
              <w:autoSpaceDE/>
              <w:autoSpaceDN/>
              <w:bidi w:val="0"/>
              <w:snapToGrid/>
              <w:spacing w:line="360" w:lineRule="auto"/>
              <w:ind w:left="0" w:leftChars="0" w:firstLine="0" w:firstLineChars="0"/>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①危废贮存点、辅料存放区做好防腐措施；②各走道出口等部位要保持畅通，设置疏散标志和安全指示灯；③加强物资仓库防火安全管理，库内的物品要分类储放，每年对电线进行一次绝缘检查，发现可能引起打火、短路、发热和绝缘等不良情况，必须及时维修更换。</w:t>
            </w:r>
          </w:p>
        </w:tc>
      </w:tr>
      <w:tr w14:paraId="06569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pct"/>
            <w:vAlign w:val="center"/>
          </w:tcPr>
          <w:p w14:paraId="2DBEAABA">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其他环境</w:t>
            </w:r>
          </w:p>
          <w:p w14:paraId="6C7FAED5">
            <w:pPr>
              <w:pStyle w:val="13"/>
              <w:keepNext w:val="0"/>
              <w:keepLines w:val="0"/>
              <w:pageBreakBefore w:val="0"/>
              <w:kinsoku/>
              <w:wordWrap/>
              <w:overflowPunct/>
              <w:topLinePunct w:val="0"/>
              <w:autoSpaceDE/>
              <w:autoSpaceDN/>
              <w:bidi w:val="0"/>
              <w:snapToGrid/>
              <w:spacing w:line="36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管理要求</w:t>
            </w:r>
          </w:p>
        </w:tc>
        <w:tc>
          <w:tcPr>
            <w:tcW w:w="4407" w:type="pct"/>
            <w:gridSpan w:val="4"/>
            <w:vAlign w:val="center"/>
          </w:tcPr>
          <w:p w14:paraId="3EB660BF">
            <w:pPr>
              <w:keepNext w:val="0"/>
              <w:keepLines w:val="0"/>
              <w:pageBreakBefore w:val="0"/>
              <w:kinsoku/>
              <w:wordWrap/>
              <w:overflowPunct/>
              <w:topLinePunct w:val="0"/>
              <w:autoSpaceDE/>
              <w:autoSpaceDN/>
              <w:bidi w:val="0"/>
              <w:adjustRightInd w:val="0"/>
              <w:snapToGrid/>
              <w:spacing w:line="360" w:lineRule="auto"/>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t>1、环境管理</w:t>
            </w:r>
          </w:p>
          <w:p w14:paraId="5CC20E02">
            <w:pPr>
              <w:keepNext w:val="0"/>
              <w:keepLines w:val="0"/>
              <w:pageBreakBefore w:val="0"/>
              <w:kinsoku/>
              <w:wordWrap/>
              <w:overflowPunct/>
              <w:topLinePunct w:val="0"/>
              <w:autoSpaceDE/>
              <w:autoSpaceDN/>
              <w:bidi w:val="0"/>
              <w:adjustRightInd w:val="0"/>
              <w:snapToGrid/>
              <w:spacing w:line="360" w:lineRule="auto"/>
              <w:ind w:firstLine="480" w:firstLineChars="200"/>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t>为了更</w:t>
            </w:r>
            <w:r>
              <w:rPr>
                <w:rFonts w:hint="eastAsia" w:cs="Times New Roman"/>
                <w:bCs/>
                <w:color w:val="000000" w:themeColor="text1"/>
                <w:sz w:val="24"/>
                <w:szCs w:val="24"/>
                <w:highlight w:val="none"/>
                <w:lang w:eastAsia="zh-CN"/>
                <w14:textFill>
                  <w14:solidFill>
                    <w14:schemeClr w14:val="tx1"/>
                  </w14:solidFill>
                </w14:textFill>
              </w:rPr>
              <w:t>好地</w:t>
            </w:r>
            <w:r>
              <w:rPr>
                <w:rFonts w:hint="default" w:ascii="Times New Roman" w:hAnsi="Times New Roman" w:cs="Times New Roman"/>
                <w:bCs/>
                <w:color w:val="000000" w:themeColor="text1"/>
                <w:sz w:val="24"/>
                <w:szCs w:val="24"/>
                <w:highlight w:val="none"/>
                <w14:textFill>
                  <w14:solidFill>
                    <w14:schemeClr w14:val="tx1"/>
                  </w14:solidFill>
                </w14:textFill>
              </w:rPr>
              <w:t>贯彻执行国家环境保护</w:t>
            </w:r>
            <w:r>
              <w:rPr>
                <w:rFonts w:hint="eastAsia" w:cs="Times New Roman"/>
                <w:bCs/>
                <w:color w:val="000000" w:themeColor="text1"/>
                <w:sz w:val="24"/>
                <w:szCs w:val="24"/>
                <w:highlight w:val="none"/>
                <w:lang w:eastAsia="zh-CN"/>
                <w14:textFill>
                  <w14:solidFill>
                    <w14:schemeClr w14:val="tx1"/>
                  </w14:solidFill>
                </w14:textFill>
              </w:rPr>
              <w:t>法律法规</w:t>
            </w:r>
            <w:r>
              <w:rPr>
                <w:rFonts w:hint="default" w:ascii="Times New Roman" w:hAnsi="Times New Roman" w:cs="Times New Roman"/>
                <w:bCs/>
                <w:color w:val="000000" w:themeColor="text1"/>
                <w:sz w:val="24"/>
                <w:szCs w:val="24"/>
                <w:highlight w:val="none"/>
                <w14:textFill>
                  <w14:solidFill>
                    <w14:schemeClr w14:val="tx1"/>
                  </w14:solidFill>
                </w14:textFill>
              </w:rPr>
              <w:t>、政策与标准，及时掌握和了解工程污染治理措施的效果，以及工程所在区域环境质量状况，更好地监控环保设施的运行情况，协调公司与地方环保职能部门的工作，同时保证企业生产管理和环境管理的正常运作，建立环境管理体系与监测制度是非常必要和重要的。</w:t>
            </w:r>
          </w:p>
          <w:p w14:paraId="69E14473">
            <w:pPr>
              <w:keepNext w:val="0"/>
              <w:keepLines w:val="0"/>
              <w:pageBreakBefore w:val="0"/>
              <w:kinsoku/>
              <w:wordWrap/>
              <w:overflowPunct/>
              <w:topLinePunct w:val="0"/>
              <w:autoSpaceDE/>
              <w:autoSpaceDN/>
              <w:bidi w:val="0"/>
              <w:adjustRightInd w:val="0"/>
              <w:snapToGrid/>
              <w:spacing w:line="360" w:lineRule="auto"/>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t>2、排污口规范化管理</w:t>
            </w:r>
          </w:p>
          <w:p w14:paraId="454B5D5C">
            <w:pPr>
              <w:keepNext w:val="0"/>
              <w:keepLines w:val="0"/>
              <w:pageBreakBefore w:val="0"/>
              <w:kinsoku/>
              <w:wordWrap/>
              <w:overflowPunct/>
              <w:topLinePunct w:val="0"/>
              <w:autoSpaceDE/>
              <w:autoSpaceDN/>
              <w:bidi w:val="0"/>
              <w:adjustRightInd w:val="0"/>
              <w:snapToGrid/>
              <w:spacing w:line="360" w:lineRule="auto"/>
              <w:ind w:firstLine="480" w:firstLineChars="200"/>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t>根据原国家环境保护总局《关于开展排放口规范化整治工作的通知》及《安徽省污染源排放口规范化整治管理办法》和建设项目污水排放的实际统一规划设置建设项目的废气排气筒、废水排放口和固定噪声源，规范固体废物贮存(处置)场所。</w:t>
            </w:r>
          </w:p>
          <w:p w14:paraId="7EE9F981">
            <w:pPr>
              <w:keepNext w:val="0"/>
              <w:keepLines w:val="0"/>
              <w:pageBreakBefore w:val="0"/>
              <w:kinsoku/>
              <w:wordWrap/>
              <w:overflowPunct/>
              <w:topLinePunct w:val="0"/>
              <w:autoSpaceDE/>
              <w:autoSpaceDN/>
              <w:bidi w:val="0"/>
              <w:adjustRightInd w:val="0"/>
              <w:snapToGrid/>
              <w:spacing w:line="360" w:lineRule="auto"/>
              <w:ind w:firstLine="480" w:firstLineChars="200"/>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t>（1）废水排放口：废水排放口必须设置便于采样的采样井，并在其排放口设立明显标志牌，符合GB15562.1-1995《环境保护图形标志》要求。</w:t>
            </w:r>
          </w:p>
          <w:p w14:paraId="1A68E9C0">
            <w:pPr>
              <w:keepNext w:val="0"/>
              <w:keepLines w:val="0"/>
              <w:pageBreakBefore w:val="0"/>
              <w:kinsoku/>
              <w:wordWrap/>
              <w:overflowPunct/>
              <w:topLinePunct w:val="0"/>
              <w:autoSpaceDE/>
              <w:autoSpaceDN/>
              <w:bidi w:val="0"/>
              <w:adjustRightInd w:val="0"/>
              <w:snapToGrid/>
              <w:spacing w:line="360" w:lineRule="auto"/>
              <w:ind w:firstLine="480" w:firstLineChars="200"/>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t>（2）废气排放口：对于有组织排放的废气，排气筒应设置便于采样、监测的采样口，采样口的设置应符合《污染源监测技术规范》要求。废气排放口均应设置环保图形标志牌。</w:t>
            </w:r>
          </w:p>
          <w:p w14:paraId="0C212AB1">
            <w:pPr>
              <w:keepNext w:val="0"/>
              <w:keepLines w:val="0"/>
              <w:pageBreakBefore w:val="0"/>
              <w:kinsoku/>
              <w:wordWrap/>
              <w:overflowPunct/>
              <w:topLinePunct w:val="0"/>
              <w:autoSpaceDE/>
              <w:autoSpaceDN/>
              <w:bidi w:val="0"/>
              <w:adjustRightInd w:val="0"/>
              <w:snapToGrid/>
              <w:spacing w:line="360" w:lineRule="auto"/>
              <w:ind w:firstLine="480" w:firstLineChars="200"/>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t>（3）固定噪声源：根据不同噪声源的情况，采取减振降噪、吸声、隔声等措施，使厂界达到相应功能区的标准要求。在厂界噪声敏感且对外界影响最大处设置固定噪声源的监测点和噪声环境保护图形标志牌。</w:t>
            </w:r>
          </w:p>
          <w:p w14:paraId="6F4CAABC">
            <w:pPr>
              <w:keepNext w:val="0"/>
              <w:keepLines w:val="0"/>
              <w:pageBreakBefore w:val="0"/>
              <w:kinsoku/>
              <w:wordWrap/>
              <w:overflowPunct/>
              <w:topLinePunct w:val="0"/>
              <w:autoSpaceDE/>
              <w:autoSpaceDN/>
              <w:bidi w:val="0"/>
              <w:adjustRightInd w:val="0"/>
              <w:snapToGrid/>
              <w:spacing w:line="360" w:lineRule="auto"/>
              <w:ind w:firstLine="480" w:firstLineChars="200"/>
              <w:rPr>
                <w:rFonts w:hint="eastAsia" w:ascii="Times New Roman" w:hAnsi="Times New Roman" w:eastAsia="黑体" w:cs="Times New Roman"/>
                <w:b w:val="0"/>
                <w:bCs/>
                <w:color w:val="000000" w:themeColor="text1"/>
                <w:szCs w:val="21"/>
                <w:highlight w:val="none"/>
                <w:lang w:val="en-US" w:eastAsia="zh-CN"/>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t>（4）固废：对于一般固体废物应设置专用贮存、堆放场地。对于危险废物应设置专用堆放场地，并须有防扬散、防流失、防漏防渗措施。各类柜固体废物贮存场所均应设置醒目的标志牌。</w:t>
            </w:r>
          </w:p>
          <w:p w14:paraId="1859183E">
            <w:pPr>
              <w:pStyle w:val="53"/>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jc w:val="center"/>
              <w:textAlignment w:val="auto"/>
              <w:rPr>
                <w:rFonts w:hint="default" w:ascii="Times New Roman" w:hAnsi="Times New Roman" w:cs="Times New Roman"/>
                <w:b/>
                <w:color w:val="000000" w:themeColor="text1"/>
                <w:szCs w:val="21"/>
                <w:highlight w:val="none"/>
                <w14:textFill>
                  <w14:solidFill>
                    <w14:schemeClr w14:val="tx1"/>
                  </w14:solidFill>
                </w14:textFill>
              </w:rPr>
            </w:pPr>
            <w:r>
              <w:rPr>
                <w:rFonts w:hint="eastAsia" w:ascii="Times New Roman" w:hAnsi="Times New Roman" w:eastAsia="黑体" w:cs="Times New Roman"/>
                <w:b w:val="0"/>
                <w:bCs/>
                <w:color w:val="000000" w:themeColor="text1"/>
                <w:szCs w:val="21"/>
                <w:highlight w:val="none"/>
                <w:lang w:val="en-US" w:eastAsia="zh-CN"/>
                <w14:textFill>
                  <w14:solidFill>
                    <w14:schemeClr w14:val="tx1"/>
                  </w14:solidFill>
                </w14:textFill>
              </w:rPr>
              <w:t xml:space="preserve">表5-1 </w:t>
            </w:r>
            <w:r>
              <w:rPr>
                <w:rFonts w:hint="default" w:ascii="Times New Roman" w:hAnsi="Times New Roman" w:eastAsia="黑体" w:cs="Times New Roman"/>
                <w:b w:val="0"/>
                <w:bCs/>
                <w:color w:val="000000" w:themeColor="text1"/>
                <w:szCs w:val="21"/>
                <w:highlight w:val="none"/>
                <w14:textFill>
                  <w14:solidFill>
                    <w14:schemeClr w14:val="tx1"/>
                  </w14:solidFill>
                </w14:textFill>
              </w:rPr>
              <w:t>环境保护图形</w:t>
            </w:r>
            <w:r>
              <w:rPr>
                <w:rFonts w:hint="eastAsia" w:ascii="Times New Roman" w:hAnsi="Times New Roman" w:eastAsia="黑体" w:cs="Times New Roman"/>
                <w:b w:val="0"/>
                <w:bCs/>
                <w:color w:val="000000" w:themeColor="text1"/>
                <w:szCs w:val="21"/>
                <w:highlight w:val="none"/>
                <w:lang w:val="en-US" w:eastAsia="zh-CN"/>
                <w14:textFill>
                  <w14:solidFill>
                    <w14:schemeClr w14:val="tx1"/>
                  </w14:solidFill>
                </w14:textFill>
              </w:rPr>
              <w:t>符号</w:t>
            </w:r>
            <w:r>
              <w:rPr>
                <w:rFonts w:hint="default" w:ascii="Times New Roman" w:hAnsi="Times New Roman" w:eastAsia="黑体" w:cs="Times New Roman"/>
                <w:b w:val="0"/>
                <w:bCs/>
                <w:color w:val="000000" w:themeColor="text1"/>
                <w:szCs w:val="21"/>
                <w:highlight w:val="none"/>
                <w14:textFill>
                  <w14:solidFill>
                    <w14:schemeClr w14:val="tx1"/>
                  </w14:solidFill>
                </w14:textFill>
              </w:rPr>
              <w:t>一览表</w:t>
            </w:r>
          </w:p>
          <w:tbl>
            <w:tblPr>
              <w:tblStyle w:val="2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58"/>
              <w:gridCol w:w="2882"/>
              <w:gridCol w:w="2511"/>
              <w:gridCol w:w="2503"/>
              <w:gridCol w:w="3646"/>
            </w:tblGrid>
            <w:tr w14:paraId="77D3C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08" w:type="pct"/>
                  <w:noWrap w:val="0"/>
                  <w:vAlign w:val="center"/>
                </w:tcPr>
                <w:p w14:paraId="46705F4C">
                  <w:pPr>
                    <w:keepNext w:val="0"/>
                    <w:keepLines w:val="0"/>
                    <w:pageBreakBefore w:val="0"/>
                    <w:kinsoku/>
                    <w:wordWrap/>
                    <w:overflowPunct/>
                    <w:topLinePunct w:val="0"/>
                    <w:autoSpaceDE/>
                    <w:autoSpaceDN/>
                    <w:bidi w:val="0"/>
                    <w:adjustRightInd w:val="0"/>
                    <w:snapToGrid/>
                    <w:spacing w:line="360" w:lineRule="exact"/>
                    <w:jc w:val="center"/>
                    <w:rPr>
                      <w:rFonts w:hint="default" w:ascii="Times New Roman" w:hAnsi="Times New Roman" w:cs="Times New Roman"/>
                      <w:b w:val="0"/>
                      <w:bCs w:val="0"/>
                      <w:color w:val="000000" w:themeColor="text1"/>
                      <w:spacing w:val="3"/>
                      <w:szCs w:val="21"/>
                      <w:highlight w:val="none"/>
                      <w14:textFill>
                        <w14:solidFill>
                          <w14:schemeClr w14:val="tx1"/>
                        </w14:solidFill>
                      </w14:textFill>
                    </w:rPr>
                  </w:pPr>
                  <w:r>
                    <w:rPr>
                      <w:rFonts w:hint="default" w:ascii="Times New Roman" w:hAnsi="Times New Roman" w:cs="Times New Roman"/>
                      <w:b w:val="0"/>
                      <w:bCs w:val="0"/>
                      <w:color w:val="000000" w:themeColor="text1"/>
                      <w:spacing w:val="3"/>
                      <w:szCs w:val="21"/>
                      <w:highlight w:val="none"/>
                      <w14:textFill>
                        <w14:solidFill>
                          <w14:schemeClr w14:val="tx1"/>
                        </w14:solidFill>
                      </w14:textFill>
                    </w:rPr>
                    <w:t>序号</w:t>
                  </w:r>
                </w:p>
              </w:tc>
              <w:tc>
                <w:tcPr>
                  <w:tcW w:w="1171" w:type="pct"/>
                  <w:noWrap w:val="0"/>
                  <w:vAlign w:val="center"/>
                </w:tcPr>
                <w:p w14:paraId="2882014F">
                  <w:pPr>
                    <w:keepNext w:val="0"/>
                    <w:keepLines w:val="0"/>
                    <w:pageBreakBefore w:val="0"/>
                    <w:kinsoku/>
                    <w:wordWrap/>
                    <w:overflowPunct/>
                    <w:topLinePunct w:val="0"/>
                    <w:autoSpaceDE/>
                    <w:autoSpaceDN/>
                    <w:bidi w:val="0"/>
                    <w:adjustRightInd w:val="0"/>
                    <w:snapToGrid/>
                    <w:spacing w:line="360" w:lineRule="exact"/>
                    <w:jc w:val="center"/>
                    <w:rPr>
                      <w:rFonts w:hint="default" w:ascii="Times New Roman" w:hAnsi="Times New Roman" w:cs="Times New Roman"/>
                      <w:b w:val="0"/>
                      <w:bCs w:val="0"/>
                      <w:color w:val="000000" w:themeColor="text1"/>
                      <w:spacing w:val="3"/>
                      <w:szCs w:val="21"/>
                      <w:highlight w:val="none"/>
                      <w14:textFill>
                        <w14:solidFill>
                          <w14:schemeClr w14:val="tx1"/>
                        </w14:solidFill>
                      </w14:textFill>
                    </w:rPr>
                  </w:pPr>
                  <w:r>
                    <w:rPr>
                      <w:rFonts w:hint="default" w:ascii="Times New Roman" w:hAnsi="Times New Roman" w:cs="Times New Roman"/>
                      <w:b w:val="0"/>
                      <w:bCs w:val="0"/>
                      <w:color w:val="000000" w:themeColor="text1"/>
                      <w:spacing w:val="3"/>
                      <w:szCs w:val="21"/>
                      <w:highlight w:val="none"/>
                      <w14:textFill>
                        <w14:solidFill>
                          <w14:schemeClr w14:val="tx1"/>
                        </w14:solidFill>
                      </w14:textFill>
                    </w:rPr>
                    <w:t>提示图形符号</w:t>
                  </w:r>
                </w:p>
              </w:tc>
              <w:tc>
                <w:tcPr>
                  <w:tcW w:w="1020" w:type="pct"/>
                  <w:noWrap w:val="0"/>
                  <w:vAlign w:val="center"/>
                </w:tcPr>
                <w:p w14:paraId="35412C0B">
                  <w:pPr>
                    <w:keepNext w:val="0"/>
                    <w:keepLines w:val="0"/>
                    <w:pageBreakBefore w:val="0"/>
                    <w:kinsoku/>
                    <w:wordWrap/>
                    <w:overflowPunct/>
                    <w:topLinePunct w:val="0"/>
                    <w:autoSpaceDE/>
                    <w:autoSpaceDN/>
                    <w:bidi w:val="0"/>
                    <w:adjustRightInd w:val="0"/>
                    <w:snapToGrid/>
                    <w:spacing w:line="360" w:lineRule="exact"/>
                    <w:jc w:val="center"/>
                    <w:rPr>
                      <w:rFonts w:hint="default" w:ascii="Times New Roman" w:hAnsi="Times New Roman" w:cs="Times New Roman"/>
                      <w:b w:val="0"/>
                      <w:bCs w:val="0"/>
                      <w:color w:val="000000" w:themeColor="text1"/>
                      <w:spacing w:val="3"/>
                      <w:szCs w:val="21"/>
                      <w:highlight w:val="none"/>
                      <w14:textFill>
                        <w14:solidFill>
                          <w14:schemeClr w14:val="tx1"/>
                        </w14:solidFill>
                      </w14:textFill>
                    </w:rPr>
                  </w:pPr>
                  <w:r>
                    <w:rPr>
                      <w:rFonts w:hint="default" w:ascii="Times New Roman" w:hAnsi="Times New Roman" w:cs="Times New Roman"/>
                      <w:b w:val="0"/>
                      <w:bCs w:val="0"/>
                      <w:color w:val="000000" w:themeColor="text1"/>
                      <w:spacing w:val="3"/>
                      <w:szCs w:val="21"/>
                      <w:highlight w:val="none"/>
                      <w14:textFill>
                        <w14:solidFill>
                          <w14:schemeClr w14:val="tx1"/>
                        </w14:solidFill>
                      </w14:textFill>
                    </w:rPr>
                    <w:t>警示图形符号</w:t>
                  </w:r>
                </w:p>
              </w:tc>
              <w:tc>
                <w:tcPr>
                  <w:tcW w:w="1017" w:type="pct"/>
                  <w:noWrap w:val="0"/>
                  <w:vAlign w:val="center"/>
                </w:tcPr>
                <w:p w14:paraId="1A2EF430">
                  <w:pPr>
                    <w:keepNext w:val="0"/>
                    <w:keepLines w:val="0"/>
                    <w:pageBreakBefore w:val="0"/>
                    <w:kinsoku/>
                    <w:wordWrap/>
                    <w:overflowPunct/>
                    <w:topLinePunct w:val="0"/>
                    <w:autoSpaceDE/>
                    <w:autoSpaceDN/>
                    <w:bidi w:val="0"/>
                    <w:adjustRightInd w:val="0"/>
                    <w:snapToGrid/>
                    <w:spacing w:line="360" w:lineRule="exact"/>
                    <w:jc w:val="center"/>
                    <w:rPr>
                      <w:rFonts w:hint="default" w:ascii="Times New Roman" w:hAnsi="Times New Roman" w:cs="Times New Roman"/>
                      <w:b w:val="0"/>
                      <w:bCs w:val="0"/>
                      <w:color w:val="000000" w:themeColor="text1"/>
                      <w:spacing w:val="3"/>
                      <w:szCs w:val="21"/>
                      <w:highlight w:val="none"/>
                      <w14:textFill>
                        <w14:solidFill>
                          <w14:schemeClr w14:val="tx1"/>
                        </w14:solidFill>
                      </w14:textFill>
                    </w:rPr>
                  </w:pPr>
                  <w:r>
                    <w:rPr>
                      <w:rFonts w:hint="default" w:ascii="Times New Roman" w:hAnsi="Times New Roman" w:cs="Times New Roman"/>
                      <w:b w:val="0"/>
                      <w:bCs w:val="0"/>
                      <w:color w:val="000000" w:themeColor="text1"/>
                      <w:spacing w:val="3"/>
                      <w:szCs w:val="21"/>
                      <w:highlight w:val="none"/>
                      <w14:textFill>
                        <w14:solidFill>
                          <w14:schemeClr w14:val="tx1"/>
                        </w14:solidFill>
                      </w14:textFill>
                    </w:rPr>
                    <w:t>名称</w:t>
                  </w:r>
                </w:p>
              </w:tc>
              <w:tc>
                <w:tcPr>
                  <w:tcW w:w="1481" w:type="pct"/>
                  <w:noWrap w:val="0"/>
                  <w:vAlign w:val="center"/>
                </w:tcPr>
                <w:p w14:paraId="2188D953">
                  <w:pPr>
                    <w:keepNext w:val="0"/>
                    <w:keepLines w:val="0"/>
                    <w:pageBreakBefore w:val="0"/>
                    <w:kinsoku/>
                    <w:wordWrap/>
                    <w:overflowPunct/>
                    <w:topLinePunct w:val="0"/>
                    <w:autoSpaceDE/>
                    <w:autoSpaceDN/>
                    <w:bidi w:val="0"/>
                    <w:adjustRightInd w:val="0"/>
                    <w:snapToGrid/>
                    <w:spacing w:line="360" w:lineRule="exact"/>
                    <w:jc w:val="center"/>
                    <w:rPr>
                      <w:rFonts w:hint="default" w:ascii="Times New Roman" w:hAnsi="Times New Roman" w:cs="Times New Roman"/>
                      <w:b w:val="0"/>
                      <w:bCs w:val="0"/>
                      <w:color w:val="000000" w:themeColor="text1"/>
                      <w:spacing w:val="3"/>
                      <w:szCs w:val="21"/>
                      <w:highlight w:val="none"/>
                      <w14:textFill>
                        <w14:solidFill>
                          <w14:schemeClr w14:val="tx1"/>
                        </w14:solidFill>
                      </w14:textFill>
                    </w:rPr>
                  </w:pPr>
                  <w:r>
                    <w:rPr>
                      <w:rFonts w:hint="default" w:ascii="Times New Roman" w:hAnsi="Times New Roman" w:cs="Times New Roman"/>
                      <w:b w:val="0"/>
                      <w:bCs w:val="0"/>
                      <w:color w:val="000000" w:themeColor="text1"/>
                      <w:spacing w:val="3"/>
                      <w:szCs w:val="21"/>
                      <w:highlight w:val="none"/>
                      <w14:textFill>
                        <w14:solidFill>
                          <w14:schemeClr w14:val="tx1"/>
                        </w14:solidFill>
                      </w14:textFill>
                    </w:rPr>
                    <w:t>功能</w:t>
                  </w:r>
                </w:p>
              </w:tc>
            </w:tr>
            <w:tr w14:paraId="7B35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08" w:type="pct"/>
                  <w:noWrap w:val="0"/>
                  <w:vAlign w:val="center"/>
                </w:tcPr>
                <w:p w14:paraId="4FA65150">
                  <w:pPr>
                    <w:pStyle w:val="54"/>
                    <w:keepNext w:val="0"/>
                    <w:keepLines w:val="0"/>
                    <w:pageBreakBefore w:val="0"/>
                    <w:kinsoku/>
                    <w:wordWrap/>
                    <w:overflowPunct/>
                    <w:topLinePunct w:val="0"/>
                    <w:autoSpaceDE/>
                    <w:autoSpaceDN/>
                    <w:bidi w:val="0"/>
                    <w:snapToGrid/>
                    <w:spacing w:line="360" w:lineRule="exact"/>
                    <w:rPr>
                      <w:rFonts w:hint="default" w:ascii="Times New Roman" w:hAnsi="Times New Roman" w:cs="Times New Roman"/>
                      <w:b w:val="0"/>
                      <w:bCs w:val="0"/>
                      <w:color w:val="000000" w:themeColor="text1"/>
                      <w:sz w:val="18"/>
                      <w:szCs w:val="18"/>
                      <w:highlight w:val="none"/>
                      <w14:textFill>
                        <w14:solidFill>
                          <w14:schemeClr w14:val="tx1"/>
                        </w14:solidFill>
                      </w14:textFill>
                    </w:rPr>
                  </w:pPr>
                  <w:r>
                    <w:rPr>
                      <w:rFonts w:hint="default" w:ascii="Times New Roman" w:hAnsi="Times New Roman" w:cs="Times New Roman"/>
                      <w:b w:val="0"/>
                      <w:bCs w:val="0"/>
                      <w:color w:val="000000" w:themeColor="text1"/>
                      <w:sz w:val="18"/>
                      <w:szCs w:val="18"/>
                      <w:highlight w:val="none"/>
                      <w14:textFill>
                        <w14:solidFill>
                          <w14:schemeClr w14:val="tx1"/>
                        </w14:solidFill>
                      </w14:textFill>
                    </w:rPr>
                    <w:t>1</w:t>
                  </w:r>
                </w:p>
              </w:tc>
              <w:tc>
                <w:tcPr>
                  <w:tcW w:w="1171" w:type="pct"/>
                  <w:noWrap w:val="0"/>
                  <w:vAlign w:val="center"/>
                </w:tcPr>
                <w:p w14:paraId="0F97D11B">
                  <w:pPr>
                    <w:pStyle w:val="54"/>
                    <w:keepNext w:val="0"/>
                    <w:keepLines w:val="0"/>
                    <w:pageBreakBefore w:val="0"/>
                    <w:kinsoku/>
                    <w:wordWrap/>
                    <w:overflowPunct/>
                    <w:topLinePunct w:val="0"/>
                    <w:autoSpaceDE/>
                    <w:autoSpaceDN/>
                    <w:bidi w:val="0"/>
                    <w:snapToGrid/>
                    <w:spacing w:line="240" w:lineRule="auto"/>
                    <w:jc w:val="center"/>
                    <w:rPr>
                      <w:rFonts w:hint="default" w:ascii="Times New Roman" w:hAnsi="Times New Roman" w:eastAsia="宋体" w:cs="Times New Roman"/>
                      <w:b w:val="0"/>
                      <w:bCs w:val="0"/>
                      <w:color w:val="000000" w:themeColor="text1"/>
                      <w:sz w:val="18"/>
                      <w:szCs w:val="18"/>
                      <w:highlight w:val="none"/>
                      <w:lang w:eastAsia="zh-CN"/>
                      <w14:textFill>
                        <w14:solidFill>
                          <w14:schemeClr w14:val="tx1"/>
                        </w14:solidFill>
                      </w14:textFill>
                    </w:rPr>
                  </w:pPr>
                  <w:r>
                    <w:rPr>
                      <w:rFonts w:hint="default" w:ascii="Times New Roman" w:hAnsi="Times New Roman" w:eastAsia="宋体" w:cs="Times New Roman"/>
                      <w:b w:val="0"/>
                      <w:bCs w:val="0"/>
                      <w:color w:val="000000" w:themeColor="text1"/>
                      <w:sz w:val="18"/>
                      <w:szCs w:val="18"/>
                      <w:highlight w:val="none"/>
                      <w:lang w:eastAsia="zh-CN"/>
                      <w14:textFill>
                        <w14:solidFill>
                          <w14:schemeClr w14:val="tx1"/>
                        </w14:solidFill>
                      </w14:textFill>
                    </w:rPr>
                    <w:drawing>
                      <wp:inline distT="0" distB="0" distL="114300" distR="114300">
                        <wp:extent cx="773430" cy="711835"/>
                        <wp:effectExtent l="0" t="0" r="7620" b="12065"/>
                        <wp:docPr id="28" name="图片 28"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图片2"/>
                                <pic:cNvPicPr>
                                  <a:picLocks noChangeAspect="1"/>
                                </pic:cNvPicPr>
                              </pic:nvPicPr>
                              <pic:blipFill>
                                <a:blip r:embed="rId18"/>
                                <a:stretch>
                                  <a:fillRect/>
                                </a:stretch>
                              </pic:blipFill>
                              <pic:spPr>
                                <a:xfrm>
                                  <a:off x="0" y="0"/>
                                  <a:ext cx="773430" cy="711835"/>
                                </a:xfrm>
                                <a:prstGeom prst="rect">
                                  <a:avLst/>
                                </a:prstGeom>
                              </pic:spPr>
                            </pic:pic>
                          </a:graphicData>
                        </a:graphic>
                      </wp:inline>
                    </w:drawing>
                  </w:r>
                </w:p>
              </w:tc>
              <w:tc>
                <w:tcPr>
                  <w:tcW w:w="1020" w:type="pct"/>
                  <w:noWrap w:val="0"/>
                  <w:vAlign w:val="center"/>
                </w:tcPr>
                <w:p w14:paraId="5FD926A3">
                  <w:pPr>
                    <w:pStyle w:val="54"/>
                    <w:keepNext w:val="0"/>
                    <w:keepLines w:val="0"/>
                    <w:pageBreakBefore w:val="0"/>
                    <w:kinsoku/>
                    <w:wordWrap/>
                    <w:overflowPunct/>
                    <w:topLinePunct w:val="0"/>
                    <w:autoSpaceDE/>
                    <w:autoSpaceDN/>
                    <w:bidi w:val="0"/>
                    <w:snapToGrid/>
                    <w:spacing w:line="240" w:lineRule="auto"/>
                    <w:rPr>
                      <w:rFonts w:hint="default" w:ascii="Times New Roman" w:hAnsi="Times New Roman" w:eastAsia="宋体" w:cs="Times New Roman"/>
                      <w:b w:val="0"/>
                      <w:bCs w:val="0"/>
                      <w:color w:val="000000" w:themeColor="text1"/>
                      <w:sz w:val="18"/>
                      <w:szCs w:val="18"/>
                      <w:highlight w:val="none"/>
                      <w:lang w:eastAsia="zh-CN"/>
                      <w14:textFill>
                        <w14:solidFill>
                          <w14:schemeClr w14:val="tx1"/>
                        </w14:solidFill>
                      </w14:textFill>
                    </w:rPr>
                  </w:pPr>
                  <w:r>
                    <w:rPr>
                      <w:rFonts w:hint="default" w:ascii="Times New Roman" w:hAnsi="Times New Roman" w:eastAsia="宋体" w:cs="Times New Roman"/>
                      <w:b w:val="0"/>
                      <w:bCs w:val="0"/>
                      <w:color w:val="000000" w:themeColor="text1"/>
                      <w:sz w:val="18"/>
                      <w:szCs w:val="18"/>
                      <w:highlight w:val="none"/>
                      <w:lang w:eastAsia="zh-CN"/>
                      <w14:textFill>
                        <w14:solidFill>
                          <w14:schemeClr w14:val="tx1"/>
                        </w14:solidFill>
                      </w14:textFill>
                    </w:rPr>
                    <w:drawing>
                      <wp:inline distT="0" distB="0" distL="114300" distR="114300">
                        <wp:extent cx="732790" cy="714375"/>
                        <wp:effectExtent l="0" t="0" r="10160" b="9525"/>
                        <wp:docPr id="22" name="图片 22"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图片3"/>
                                <pic:cNvPicPr>
                                  <a:picLocks noChangeAspect="1"/>
                                </pic:cNvPicPr>
                              </pic:nvPicPr>
                              <pic:blipFill>
                                <a:blip r:embed="rId19"/>
                                <a:stretch>
                                  <a:fillRect/>
                                </a:stretch>
                              </pic:blipFill>
                              <pic:spPr>
                                <a:xfrm>
                                  <a:off x="0" y="0"/>
                                  <a:ext cx="732790" cy="714375"/>
                                </a:xfrm>
                                <a:prstGeom prst="rect">
                                  <a:avLst/>
                                </a:prstGeom>
                              </pic:spPr>
                            </pic:pic>
                          </a:graphicData>
                        </a:graphic>
                      </wp:inline>
                    </w:drawing>
                  </w:r>
                </w:p>
              </w:tc>
              <w:tc>
                <w:tcPr>
                  <w:tcW w:w="1017" w:type="pct"/>
                  <w:noWrap w:val="0"/>
                  <w:vAlign w:val="center"/>
                </w:tcPr>
                <w:p w14:paraId="667DA9A8">
                  <w:pPr>
                    <w:pStyle w:val="55"/>
                    <w:keepNext w:val="0"/>
                    <w:keepLines w:val="0"/>
                    <w:pageBreakBefore w:val="0"/>
                    <w:kinsoku/>
                    <w:wordWrap/>
                    <w:overflowPunct/>
                    <w:topLinePunct w:val="0"/>
                    <w:autoSpaceDE/>
                    <w:autoSpaceDN/>
                    <w:bidi w:val="0"/>
                    <w:snapToGrid/>
                    <w:spacing w:line="360" w:lineRule="exact"/>
                    <w:rPr>
                      <w:rFonts w:hint="default" w:ascii="Times New Roman" w:hAnsi="Times New Roman" w:eastAsia="宋体" w:cs="Times New Roman"/>
                      <w:b w:val="0"/>
                      <w:bCs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14:textFill>
                        <w14:solidFill>
                          <w14:schemeClr w14:val="tx1"/>
                        </w14:solidFill>
                      </w14:textFill>
                    </w:rPr>
                    <w:t>废</w:t>
                  </w:r>
                  <w:r>
                    <w:rPr>
                      <w:rFonts w:hint="default" w:ascii="Times New Roman" w:hAnsi="Times New Roman" w:cs="Times New Roman"/>
                      <w:b w:val="0"/>
                      <w:bCs w:val="0"/>
                      <w:color w:val="000000" w:themeColor="text1"/>
                      <w:kern w:val="0"/>
                      <w:sz w:val="21"/>
                      <w:szCs w:val="21"/>
                      <w:highlight w:val="none"/>
                      <w:lang w:eastAsia="zh-CN"/>
                      <w14:textFill>
                        <w14:solidFill>
                          <w14:schemeClr w14:val="tx1"/>
                        </w14:solidFill>
                      </w14:textFill>
                    </w:rPr>
                    <w:t>气</w:t>
                  </w:r>
                  <w:r>
                    <w:rPr>
                      <w:rFonts w:hint="default" w:ascii="Times New Roman" w:hAnsi="Times New Roman" w:eastAsia="宋体" w:cs="Times New Roman"/>
                      <w:b w:val="0"/>
                      <w:bCs w:val="0"/>
                      <w:color w:val="000000" w:themeColor="text1"/>
                      <w:kern w:val="0"/>
                      <w:sz w:val="21"/>
                      <w:szCs w:val="21"/>
                      <w:highlight w:val="none"/>
                      <w14:textFill>
                        <w14:solidFill>
                          <w14:schemeClr w14:val="tx1"/>
                        </w14:solidFill>
                      </w14:textFill>
                    </w:rPr>
                    <w:t>排放口</w:t>
                  </w:r>
                </w:p>
              </w:tc>
              <w:tc>
                <w:tcPr>
                  <w:tcW w:w="1481" w:type="pct"/>
                  <w:noWrap w:val="0"/>
                  <w:vAlign w:val="center"/>
                </w:tcPr>
                <w:p w14:paraId="14456235">
                  <w:pPr>
                    <w:pStyle w:val="55"/>
                    <w:keepNext w:val="0"/>
                    <w:keepLines w:val="0"/>
                    <w:pageBreakBefore w:val="0"/>
                    <w:kinsoku/>
                    <w:wordWrap/>
                    <w:overflowPunct/>
                    <w:topLinePunct w:val="0"/>
                    <w:autoSpaceDE/>
                    <w:autoSpaceDN/>
                    <w:bidi w:val="0"/>
                    <w:snapToGrid/>
                    <w:spacing w:line="360" w:lineRule="exact"/>
                    <w:rPr>
                      <w:rFonts w:hint="default" w:ascii="Times New Roman" w:hAnsi="Times New Roman" w:eastAsia="宋体" w:cs="Times New Roman"/>
                      <w:b w:val="0"/>
                      <w:bCs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14:textFill>
                        <w14:solidFill>
                          <w14:schemeClr w14:val="tx1"/>
                        </w14:solidFill>
                      </w14:textFill>
                    </w:rPr>
                    <w:t>表示废</w:t>
                  </w:r>
                  <w:r>
                    <w:rPr>
                      <w:rFonts w:hint="default" w:ascii="Times New Roman" w:hAnsi="Times New Roman" w:cs="Times New Roman"/>
                      <w:b w:val="0"/>
                      <w:bCs w:val="0"/>
                      <w:color w:val="000000" w:themeColor="text1"/>
                      <w:kern w:val="0"/>
                      <w:sz w:val="21"/>
                      <w:szCs w:val="21"/>
                      <w:highlight w:val="none"/>
                      <w:lang w:eastAsia="zh-CN"/>
                      <w14:textFill>
                        <w14:solidFill>
                          <w14:schemeClr w14:val="tx1"/>
                        </w14:solidFill>
                      </w14:textFill>
                    </w:rPr>
                    <w:t>气</w:t>
                  </w:r>
                  <w:r>
                    <w:rPr>
                      <w:rFonts w:hint="default" w:ascii="Times New Roman" w:hAnsi="Times New Roman" w:eastAsia="宋体" w:cs="Times New Roman"/>
                      <w:b w:val="0"/>
                      <w:bCs w:val="0"/>
                      <w:color w:val="000000" w:themeColor="text1"/>
                      <w:kern w:val="0"/>
                      <w:sz w:val="21"/>
                      <w:szCs w:val="21"/>
                      <w:highlight w:val="none"/>
                      <w14:textFill>
                        <w14:solidFill>
                          <w14:schemeClr w14:val="tx1"/>
                        </w14:solidFill>
                      </w14:textFill>
                    </w:rPr>
                    <w:t>向</w:t>
                  </w:r>
                  <w:r>
                    <w:rPr>
                      <w:rFonts w:hint="default" w:ascii="Times New Roman" w:hAnsi="Times New Roman" w:cs="Times New Roman"/>
                      <w:b w:val="0"/>
                      <w:bCs w:val="0"/>
                      <w:color w:val="000000" w:themeColor="text1"/>
                      <w:kern w:val="0"/>
                      <w:sz w:val="21"/>
                      <w:szCs w:val="21"/>
                      <w:highlight w:val="none"/>
                      <w:lang w:eastAsia="zh-CN"/>
                      <w14:textFill>
                        <w14:solidFill>
                          <w14:schemeClr w14:val="tx1"/>
                        </w14:solidFill>
                      </w14:textFill>
                    </w:rPr>
                    <w:t>大气</w:t>
                  </w:r>
                  <w:r>
                    <w:rPr>
                      <w:rFonts w:hint="default" w:ascii="Times New Roman" w:hAnsi="Times New Roman" w:eastAsia="宋体" w:cs="Times New Roman"/>
                      <w:b w:val="0"/>
                      <w:bCs w:val="0"/>
                      <w:color w:val="000000" w:themeColor="text1"/>
                      <w:kern w:val="0"/>
                      <w:sz w:val="21"/>
                      <w:szCs w:val="21"/>
                      <w:highlight w:val="none"/>
                      <w14:textFill>
                        <w14:solidFill>
                          <w14:schemeClr w14:val="tx1"/>
                        </w14:solidFill>
                      </w14:textFill>
                    </w:rPr>
                    <w:t>排放</w:t>
                  </w:r>
                </w:p>
              </w:tc>
            </w:tr>
            <w:tr w14:paraId="58D8F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08" w:type="pct"/>
                  <w:noWrap w:val="0"/>
                  <w:vAlign w:val="center"/>
                </w:tcPr>
                <w:p w14:paraId="76780285">
                  <w:pPr>
                    <w:keepNext w:val="0"/>
                    <w:keepLines w:val="0"/>
                    <w:pageBreakBefore w:val="0"/>
                    <w:kinsoku/>
                    <w:wordWrap/>
                    <w:overflowPunct/>
                    <w:topLinePunct w:val="0"/>
                    <w:autoSpaceDE/>
                    <w:autoSpaceDN/>
                    <w:bidi w:val="0"/>
                    <w:adjustRightInd w:val="0"/>
                    <w:snapToGrid/>
                    <w:spacing w:line="360" w:lineRule="exact"/>
                    <w:jc w:val="center"/>
                    <w:rPr>
                      <w:rFonts w:hint="default" w:ascii="Times New Roman" w:hAnsi="Times New Roman" w:cs="Times New Roman"/>
                      <w:b w:val="0"/>
                      <w:bCs w:val="0"/>
                      <w:color w:val="000000" w:themeColor="text1"/>
                      <w:spacing w:val="3"/>
                      <w:szCs w:val="21"/>
                      <w:highlight w:val="none"/>
                      <w14:textFill>
                        <w14:solidFill>
                          <w14:schemeClr w14:val="tx1"/>
                        </w14:solidFill>
                      </w14:textFill>
                    </w:rPr>
                  </w:pPr>
                  <w:r>
                    <w:rPr>
                      <w:rFonts w:hint="default" w:ascii="Times New Roman" w:hAnsi="Times New Roman" w:cs="Times New Roman"/>
                      <w:b w:val="0"/>
                      <w:bCs w:val="0"/>
                      <w:color w:val="000000" w:themeColor="text1"/>
                      <w:spacing w:val="3"/>
                      <w:szCs w:val="21"/>
                      <w:highlight w:val="none"/>
                      <w14:textFill>
                        <w14:solidFill>
                          <w14:schemeClr w14:val="tx1"/>
                        </w14:solidFill>
                      </w14:textFill>
                    </w:rPr>
                    <w:t>2</w:t>
                  </w:r>
                </w:p>
              </w:tc>
              <w:tc>
                <w:tcPr>
                  <w:tcW w:w="1171" w:type="pct"/>
                  <w:noWrap w:val="0"/>
                  <w:vAlign w:val="center"/>
                </w:tcPr>
                <w:p w14:paraId="55426AA5">
                  <w:pPr>
                    <w:pStyle w:val="54"/>
                    <w:keepNext w:val="0"/>
                    <w:keepLines w:val="0"/>
                    <w:pageBreakBefore w:val="0"/>
                    <w:kinsoku/>
                    <w:wordWrap/>
                    <w:overflowPunct/>
                    <w:topLinePunct w:val="0"/>
                    <w:autoSpaceDE/>
                    <w:autoSpaceDN/>
                    <w:bidi w:val="0"/>
                    <w:snapToGrid/>
                    <w:spacing w:line="240" w:lineRule="auto"/>
                    <w:rPr>
                      <w:rFonts w:hint="default" w:ascii="Times New Roman" w:hAnsi="Times New Roman" w:eastAsia="宋体" w:cs="Times New Roman"/>
                      <w:b w:val="0"/>
                      <w:bCs w:val="0"/>
                      <w:color w:val="000000" w:themeColor="text1"/>
                      <w:kern w:val="18"/>
                      <w:sz w:val="18"/>
                      <w:szCs w:val="18"/>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18"/>
                      <w:sz w:val="18"/>
                      <w:szCs w:val="18"/>
                      <w:highlight w:val="none"/>
                      <w:lang w:val="en-US" w:eastAsia="zh-CN" w:bidi="ar-SA"/>
                      <w14:textFill>
                        <w14:solidFill>
                          <w14:schemeClr w14:val="tx1"/>
                        </w14:solidFill>
                      </w14:textFill>
                    </w:rPr>
                    <w:drawing>
                      <wp:inline distT="0" distB="0" distL="114300" distR="114300">
                        <wp:extent cx="760095" cy="760095"/>
                        <wp:effectExtent l="0" t="0" r="1905" b="1905"/>
                        <wp:docPr id="30" name="图片 30"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图片4"/>
                                <pic:cNvPicPr>
                                  <a:picLocks noChangeAspect="1"/>
                                </pic:cNvPicPr>
                              </pic:nvPicPr>
                              <pic:blipFill>
                                <a:blip r:embed="rId20"/>
                                <a:stretch>
                                  <a:fillRect/>
                                </a:stretch>
                              </pic:blipFill>
                              <pic:spPr>
                                <a:xfrm>
                                  <a:off x="0" y="0"/>
                                  <a:ext cx="760095" cy="760095"/>
                                </a:xfrm>
                                <a:prstGeom prst="rect">
                                  <a:avLst/>
                                </a:prstGeom>
                              </pic:spPr>
                            </pic:pic>
                          </a:graphicData>
                        </a:graphic>
                      </wp:inline>
                    </w:drawing>
                  </w:r>
                </w:p>
              </w:tc>
              <w:tc>
                <w:tcPr>
                  <w:tcW w:w="1020" w:type="pct"/>
                  <w:noWrap w:val="0"/>
                  <w:vAlign w:val="center"/>
                </w:tcPr>
                <w:p w14:paraId="0A46587A">
                  <w:pPr>
                    <w:pStyle w:val="54"/>
                    <w:keepNext w:val="0"/>
                    <w:keepLines w:val="0"/>
                    <w:pageBreakBefore w:val="0"/>
                    <w:kinsoku/>
                    <w:wordWrap/>
                    <w:overflowPunct/>
                    <w:topLinePunct w:val="0"/>
                    <w:autoSpaceDE/>
                    <w:autoSpaceDN/>
                    <w:bidi w:val="0"/>
                    <w:snapToGrid/>
                    <w:spacing w:line="240" w:lineRule="auto"/>
                    <w:rPr>
                      <w:rFonts w:hint="default" w:ascii="Times New Roman" w:hAnsi="Times New Roman" w:eastAsia="宋体" w:cs="Times New Roman"/>
                      <w:b w:val="0"/>
                      <w:bCs w:val="0"/>
                      <w:color w:val="000000" w:themeColor="text1"/>
                      <w:kern w:val="18"/>
                      <w:sz w:val="18"/>
                      <w:szCs w:val="18"/>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18"/>
                      <w:sz w:val="18"/>
                      <w:szCs w:val="18"/>
                      <w:highlight w:val="none"/>
                      <w:lang w:val="en-US" w:eastAsia="zh-CN" w:bidi="ar-SA"/>
                      <w14:textFill>
                        <w14:solidFill>
                          <w14:schemeClr w14:val="tx1"/>
                        </w14:solidFill>
                      </w14:textFill>
                    </w:rPr>
                    <w:drawing>
                      <wp:inline distT="0" distB="0" distL="114300" distR="114300">
                        <wp:extent cx="740410" cy="659765"/>
                        <wp:effectExtent l="0" t="0" r="2540" b="6985"/>
                        <wp:docPr id="31" name="图片 31" descr="图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图片5"/>
                                <pic:cNvPicPr>
                                  <a:picLocks noChangeAspect="1"/>
                                </pic:cNvPicPr>
                              </pic:nvPicPr>
                              <pic:blipFill>
                                <a:blip r:embed="rId21"/>
                                <a:stretch>
                                  <a:fillRect/>
                                </a:stretch>
                              </pic:blipFill>
                              <pic:spPr>
                                <a:xfrm>
                                  <a:off x="0" y="0"/>
                                  <a:ext cx="740410" cy="659765"/>
                                </a:xfrm>
                                <a:prstGeom prst="rect">
                                  <a:avLst/>
                                </a:prstGeom>
                              </pic:spPr>
                            </pic:pic>
                          </a:graphicData>
                        </a:graphic>
                      </wp:inline>
                    </w:drawing>
                  </w:r>
                </w:p>
              </w:tc>
              <w:tc>
                <w:tcPr>
                  <w:tcW w:w="1017" w:type="pct"/>
                  <w:noWrap w:val="0"/>
                  <w:vAlign w:val="center"/>
                </w:tcPr>
                <w:p w14:paraId="0BEC0831">
                  <w:pPr>
                    <w:pStyle w:val="55"/>
                    <w:keepNext w:val="0"/>
                    <w:keepLines w:val="0"/>
                    <w:pageBreakBefore w:val="0"/>
                    <w:kinsoku/>
                    <w:wordWrap/>
                    <w:overflowPunct/>
                    <w:topLinePunct w:val="0"/>
                    <w:autoSpaceDE/>
                    <w:autoSpaceDN/>
                    <w:bidi w:val="0"/>
                    <w:snapToGrid/>
                    <w:spacing w:line="360" w:lineRule="exact"/>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14:textFill>
                        <w14:solidFill>
                          <w14:schemeClr w14:val="tx1"/>
                        </w14:solidFill>
                      </w14:textFill>
                    </w:rPr>
                    <w:t>废水排放口</w:t>
                  </w:r>
                </w:p>
              </w:tc>
              <w:tc>
                <w:tcPr>
                  <w:tcW w:w="1481" w:type="pct"/>
                  <w:noWrap w:val="0"/>
                  <w:vAlign w:val="center"/>
                </w:tcPr>
                <w:p w14:paraId="40341BEA">
                  <w:pPr>
                    <w:pStyle w:val="55"/>
                    <w:keepNext w:val="0"/>
                    <w:keepLines w:val="0"/>
                    <w:pageBreakBefore w:val="0"/>
                    <w:kinsoku/>
                    <w:wordWrap/>
                    <w:overflowPunct/>
                    <w:topLinePunct w:val="0"/>
                    <w:autoSpaceDE/>
                    <w:autoSpaceDN/>
                    <w:bidi w:val="0"/>
                    <w:snapToGrid/>
                    <w:spacing w:line="360" w:lineRule="exact"/>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14:textFill>
                        <w14:solidFill>
                          <w14:schemeClr w14:val="tx1"/>
                        </w14:solidFill>
                      </w14:textFill>
                    </w:rPr>
                    <w:t>表示废水向水体排放</w:t>
                  </w:r>
                </w:p>
              </w:tc>
            </w:tr>
            <w:tr w14:paraId="37357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08" w:type="pct"/>
                  <w:noWrap w:val="0"/>
                  <w:vAlign w:val="center"/>
                </w:tcPr>
                <w:p w14:paraId="50DFA094">
                  <w:pPr>
                    <w:keepNext w:val="0"/>
                    <w:keepLines w:val="0"/>
                    <w:pageBreakBefore w:val="0"/>
                    <w:kinsoku/>
                    <w:wordWrap/>
                    <w:overflowPunct/>
                    <w:topLinePunct w:val="0"/>
                    <w:autoSpaceDE/>
                    <w:autoSpaceDN/>
                    <w:bidi w:val="0"/>
                    <w:adjustRightInd w:val="0"/>
                    <w:snapToGrid/>
                    <w:spacing w:line="360" w:lineRule="exact"/>
                    <w:jc w:val="center"/>
                    <w:rPr>
                      <w:rFonts w:hint="default" w:ascii="Times New Roman" w:hAnsi="Times New Roman" w:cs="Times New Roman"/>
                      <w:b w:val="0"/>
                      <w:bCs w:val="0"/>
                      <w:color w:val="000000" w:themeColor="text1"/>
                      <w:spacing w:val="3"/>
                      <w:szCs w:val="21"/>
                      <w:highlight w:val="none"/>
                      <w14:textFill>
                        <w14:solidFill>
                          <w14:schemeClr w14:val="tx1"/>
                        </w14:solidFill>
                      </w14:textFill>
                    </w:rPr>
                  </w:pPr>
                  <w:r>
                    <w:rPr>
                      <w:rFonts w:hint="default" w:ascii="Times New Roman" w:hAnsi="Times New Roman" w:cs="Times New Roman"/>
                      <w:b w:val="0"/>
                      <w:bCs w:val="0"/>
                      <w:color w:val="000000" w:themeColor="text1"/>
                      <w:spacing w:val="3"/>
                      <w:szCs w:val="21"/>
                      <w:highlight w:val="none"/>
                      <w14:textFill>
                        <w14:solidFill>
                          <w14:schemeClr w14:val="tx1"/>
                        </w14:solidFill>
                      </w14:textFill>
                    </w:rPr>
                    <w:t>3</w:t>
                  </w:r>
                </w:p>
              </w:tc>
              <w:tc>
                <w:tcPr>
                  <w:tcW w:w="1171" w:type="pct"/>
                  <w:noWrap w:val="0"/>
                  <w:vAlign w:val="center"/>
                </w:tcPr>
                <w:p w14:paraId="5E54D2EA">
                  <w:pPr>
                    <w:keepNext w:val="0"/>
                    <w:keepLines w:val="0"/>
                    <w:pageBreakBefore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b w:val="0"/>
                      <w:bCs w:val="0"/>
                      <w:color w:val="000000" w:themeColor="text1"/>
                      <w:spacing w:val="3"/>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3"/>
                      <w:kern w:val="2"/>
                      <w:sz w:val="21"/>
                      <w:szCs w:val="21"/>
                      <w:highlight w:val="none"/>
                      <w:lang w:val="en-US" w:eastAsia="zh-CN" w:bidi="ar-SA"/>
                      <w14:textFill>
                        <w14:solidFill>
                          <w14:schemeClr w14:val="tx1"/>
                        </w14:solidFill>
                      </w14:textFill>
                    </w:rPr>
                    <w:drawing>
                      <wp:inline distT="0" distB="0" distL="114300" distR="114300">
                        <wp:extent cx="794385" cy="667385"/>
                        <wp:effectExtent l="0" t="0" r="5715" b="18415"/>
                        <wp:docPr id="32" name="图片 32" descr="图片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图片6"/>
                                <pic:cNvPicPr>
                                  <a:picLocks noChangeAspect="1"/>
                                </pic:cNvPicPr>
                              </pic:nvPicPr>
                              <pic:blipFill>
                                <a:blip r:embed="rId22"/>
                                <a:srcRect b="16072"/>
                                <a:stretch>
                                  <a:fillRect/>
                                </a:stretch>
                              </pic:blipFill>
                              <pic:spPr>
                                <a:xfrm>
                                  <a:off x="0" y="0"/>
                                  <a:ext cx="794385" cy="667385"/>
                                </a:xfrm>
                                <a:prstGeom prst="rect">
                                  <a:avLst/>
                                </a:prstGeom>
                              </pic:spPr>
                            </pic:pic>
                          </a:graphicData>
                        </a:graphic>
                      </wp:inline>
                    </w:drawing>
                  </w:r>
                </w:p>
              </w:tc>
              <w:tc>
                <w:tcPr>
                  <w:tcW w:w="1020" w:type="pct"/>
                  <w:noWrap w:val="0"/>
                  <w:vAlign w:val="center"/>
                </w:tcPr>
                <w:p w14:paraId="261959DB">
                  <w:pPr>
                    <w:keepNext w:val="0"/>
                    <w:keepLines w:val="0"/>
                    <w:pageBreakBefore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drawing>
                      <wp:inline distT="0" distB="0" distL="114300" distR="114300">
                        <wp:extent cx="725170" cy="645795"/>
                        <wp:effectExtent l="0" t="0" r="17780" b="1905"/>
                        <wp:docPr id="33" name="图片 33" descr="图片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图片7"/>
                                <pic:cNvPicPr>
                                  <a:picLocks noChangeAspect="1"/>
                                </pic:cNvPicPr>
                              </pic:nvPicPr>
                              <pic:blipFill>
                                <a:blip r:embed="rId23"/>
                                <a:stretch>
                                  <a:fillRect/>
                                </a:stretch>
                              </pic:blipFill>
                              <pic:spPr>
                                <a:xfrm>
                                  <a:off x="0" y="0"/>
                                  <a:ext cx="725170" cy="645795"/>
                                </a:xfrm>
                                <a:prstGeom prst="rect">
                                  <a:avLst/>
                                </a:prstGeom>
                              </pic:spPr>
                            </pic:pic>
                          </a:graphicData>
                        </a:graphic>
                      </wp:inline>
                    </w:drawing>
                  </w:r>
                </w:p>
              </w:tc>
              <w:tc>
                <w:tcPr>
                  <w:tcW w:w="1017" w:type="pct"/>
                  <w:noWrap w:val="0"/>
                  <w:vAlign w:val="center"/>
                </w:tcPr>
                <w:p w14:paraId="07C42125">
                  <w:pPr>
                    <w:pStyle w:val="55"/>
                    <w:keepNext w:val="0"/>
                    <w:keepLines w:val="0"/>
                    <w:pageBreakBefore w:val="0"/>
                    <w:kinsoku/>
                    <w:wordWrap/>
                    <w:overflowPunct/>
                    <w:topLinePunct w:val="0"/>
                    <w:autoSpaceDE/>
                    <w:autoSpaceDN/>
                    <w:bidi w:val="0"/>
                    <w:snapToGrid/>
                    <w:spacing w:line="360" w:lineRule="exact"/>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cs="Times New Roman"/>
                      <w:b w:val="0"/>
                      <w:bCs w:val="0"/>
                      <w:color w:val="000000" w:themeColor="text1"/>
                      <w:kern w:val="0"/>
                      <w:sz w:val="21"/>
                      <w:szCs w:val="21"/>
                      <w:highlight w:val="none"/>
                      <w14:textFill>
                        <w14:solidFill>
                          <w14:schemeClr w14:val="tx1"/>
                        </w14:solidFill>
                      </w14:textFill>
                    </w:rPr>
                    <w:t>噪声排放源</w:t>
                  </w:r>
                </w:p>
              </w:tc>
              <w:tc>
                <w:tcPr>
                  <w:tcW w:w="1481" w:type="pct"/>
                  <w:noWrap w:val="0"/>
                  <w:vAlign w:val="center"/>
                </w:tcPr>
                <w:p w14:paraId="7AE64B4E">
                  <w:pPr>
                    <w:pStyle w:val="55"/>
                    <w:keepNext w:val="0"/>
                    <w:keepLines w:val="0"/>
                    <w:pageBreakBefore w:val="0"/>
                    <w:kinsoku/>
                    <w:wordWrap/>
                    <w:overflowPunct/>
                    <w:topLinePunct w:val="0"/>
                    <w:autoSpaceDE/>
                    <w:autoSpaceDN/>
                    <w:bidi w:val="0"/>
                    <w:snapToGrid/>
                    <w:spacing w:line="360" w:lineRule="exact"/>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cs="Times New Roman"/>
                      <w:b w:val="0"/>
                      <w:bCs w:val="0"/>
                      <w:color w:val="000000" w:themeColor="text1"/>
                      <w:kern w:val="0"/>
                      <w:sz w:val="21"/>
                      <w:szCs w:val="21"/>
                      <w:highlight w:val="none"/>
                      <w14:textFill>
                        <w14:solidFill>
                          <w14:schemeClr w14:val="tx1"/>
                        </w14:solidFill>
                      </w14:textFill>
                    </w:rPr>
                    <w:t>表示噪声向外环境排放</w:t>
                  </w:r>
                </w:p>
              </w:tc>
            </w:tr>
            <w:tr w14:paraId="651A6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08" w:type="pct"/>
                  <w:noWrap w:val="0"/>
                  <w:vAlign w:val="center"/>
                </w:tcPr>
                <w:p w14:paraId="569A54EF">
                  <w:pPr>
                    <w:keepNext w:val="0"/>
                    <w:keepLines w:val="0"/>
                    <w:pageBreakBefore w:val="0"/>
                    <w:kinsoku/>
                    <w:wordWrap/>
                    <w:overflowPunct/>
                    <w:topLinePunct w:val="0"/>
                    <w:autoSpaceDE/>
                    <w:autoSpaceDN/>
                    <w:bidi w:val="0"/>
                    <w:adjustRightInd w:val="0"/>
                    <w:snapToGrid/>
                    <w:spacing w:line="360" w:lineRule="exact"/>
                    <w:jc w:val="center"/>
                    <w:rPr>
                      <w:rFonts w:hint="default" w:ascii="Times New Roman" w:hAnsi="Times New Roman" w:cs="Times New Roman"/>
                      <w:b w:val="0"/>
                      <w:bCs w:val="0"/>
                      <w:color w:val="000000" w:themeColor="text1"/>
                      <w:spacing w:val="3"/>
                      <w:szCs w:val="21"/>
                      <w:highlight w:val="none"/>
                      <w14:textFill>
                        <w14:solidFill>
                          <w14:schemeClr w14:val="tx1"/>
                        </w14:solidFill>
                      </w14:textFill>
                    </w:rPr>
                  </w:pPr>
                  <w:r>
                    <w:rPr>
                      <w:rFonts w:hint="default" w:ascii="Times New Roman" w:hAnsi="Times New Roman" w:cs="Times New Roman"/>
                      <w:b w:val="0"/>
                      <w:bCs w:val="0"/>
                      <w:color w:val="000000" w:themeColor="text1"/>
                      <w:spacing w:val="3"/>
                      <w:szCs w:val="21"/>
                      <w:highlight w:val="none"/>
                      <w14:textFill>
                        <w14:solidFill>
                          <w14:schemeClr w14:val="tx1"/>
                        </w14:solidFill>
                      </w14:textFill>
                    </w:rPr>
                    <w:t>4</w:t>
                  </w:r>
                </w:p>
              </w:tc>
              <w:tc>
                <w:tcPr>
                  <w:tcW w:w="1171" w:type="pct"/>
                  <w:noWrap w:val="0"/>
                  <w:vAlign w:val="center"/>
                </w:tcPr>
                <w:p w14:paraId="77459949">
                  <w:pPr>
                    <w:keepNext w:val="0"/>
                    <w:keepLines w:val="0"/>
                    <w:pageBreakBefore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b w:val="0"/>
                      <w:bCs w:val="0"/>
                      <w:color w:val="000000" w:themeColor="text1"/>
                      <w:spacing w:val="3"/>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3"/>
                      <w:kern w:val="2"/>
                      <w:sz w:val="21"/>
                      <w:szCs w:val="21"/>
                      <w:highlight w:val="none"/>
                      <w:lang w:val="en-US" w:eastAsia="zh-CN" w:bidi="ar-SA"/>
                      <w14:textFill>
                        <w14:solidFill>
                          <w14:schemeClr w14:val="tx1"/>
                        </w14:solidFill>
                      </w14:textFill>
                    </w:rPr>
                    <w:drawing>
                      <wp:inline distT="0" distB="0" distL="114300" distR="114300">
                        <wp:extent cx="781685" cy="781685"/>
                        <wp:effectExtent l="0" t="0" r="18415" b="18415"/>
                        <wp:docPr id="34" name="图片 34" descr="图片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图片8"/>
                                <pic:cNvPicPr>
                                  <a:picLocks noChangeAspect="1"/>
                                </pic:cNvPicPr>
                              </pic:nvPicPr>
                              <pic:blipFill>
                                <a:blip r:embed="rId24"/>
                                <a:stretch>
                                  <a:fillRect/>
                                </a:stretch>
                              </pic:blipFill>
                              <pic:spPr>
                                <a:xfrm>
                                  <a:off x="0" y="0"/>
                                  <a:ext cx="781685" cy="781685"/>
                                </a:xfrm>
                                <a:prstGeom prst="rect">
                                  <a:avLst/>
                                </a:prstGeom>
                              </pic:spPr>
                            </pic:pic>
                          </a:graphicData>
                        </a:graphic>
                      </wp:inline>
                    </w:drawing>
                  </w:r>
                </w:p>
              </w:tc>
              <w:tc>
                <w:tcPr>
                  <w:tcW w:w="1020" w:type="pct"/>
                  <w:noWrap w:val="0"/>
                  <w:vAlign w:val="center"/>
                </w:tcPr>
                <w:p w14:paraId="3C5AAC59">
                  <w:pPr>
                    <w:keepNext w:val="0"/>
                    <w:keepLines w:val="0"/>
                    <w:pageBreakBefore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drawing>
                      <wp:inline distT="0" distB="0" distL="114300" distR="114300">
                        <wp:extent cx="728980" cy="649605"/>
                        <wp:effectExtent l="0" t="0" r="13970" b="17145"/>
                        <wp:docPr id="35" name="图片 35" descr="图片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图片9"/>
                                <pic:cNvPicPr>
                                  <a:picLocks noChangeAspect="1"/>
                                </pic:cNvPicPr>
                              </pic:nvPicPr>
                              <pic:blipFill>
                                <a:blip r:embed="rId25"/>
                                <a:stretch>
                                  <a:fillRect/>
                                </a:stretch>
                              </pic:blipFill>
                              <pic:spPr>
                                <a:xfrm>
                                  <a:off x="0" y="0"/>
                                  <a:ext cx="728980" cy="649605"/>
                                </a:xfrm>
                                <a:prstGeom prst="rect">
                                  <a:avLst/>
                                </a:prstGeom>
                              </pic:spPr>
                            </pic:pic>
                          </a:graphicData>
                        </a:graphic>
                      </wp:inline>
                    </w:drawing>
                  </w:r>
                </w:p>
              </w:tc>
              <w:tc>
                <w:tcPr>
                  <w:tcW w:w="1017" w:type="pct"/>
                  <w:noWrap w:val="0"/>
                  <w:vAlign w:val="center"/>
                </w:tcPr>
                <w:p w14:paraId="7B57EB4C">
                  <w:pPr>
                    <w:pStyle w:val="55"/>
                    <w:keepNext w:val="0"/>
                    <w:keepLines w:val="0"/>
                    <w:pageBreakBefore w:val="0"/>
                    <w:kinsoku/>
                    <w:wordWrap/>
                    <w:overflowPunct/>
                    <w:topLinePunct w:val="0"/>
                    <w:autoSpaceDE/>
                    <w:autoSpaceDN/>
                    <w:bidi w:val="0"/>
                    <w:snapToGrid/>
                    <w:spacing w:line="360" w:lineRule="exact"/>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cs="Times New Roman"/>
                      <w:b w:val="0"/>
                      <w:bCs w:val="0"/>
                      <w:color w:val="000000" w:themeColor="text1"/>
                      <w:kern w:val="0"/>
                      <w:sz w:val="21"/>
                      <w:szCs w:val="21"/>
                      <w:highlight w:val="none"/>
                      <w14:textFill>
                        <w14:solidFill>
                          <w14:schemeClr w14:val="tx1"/>
                        </w14:solidFill>
                      </w14:textFill>
                    </w:rPr>
                    <w:t>一般固体废物</w:t>
                  </w:r>
                </w:p>
              </w:tc>
              <w:tc>
                <w:tcPr>
                  <w:tcW w:w="1481" w:type="pct"/>
                  <w:noWrap w:val="0"/>
                  <w:vAlign w:val="center"/>
                </w:tcPr>
                <w:p w14:paraId="6E703EB9">
                  <w:pPr>
                    <w:pStyle w:val="55"/>
                    <w:keepNext w:val="0"/>
                    <w:keepLines w:val="0"/>
                    <w:pageBreakBefore w:val="0"/>
                    <w:kinsoku/>
                    <w:wordWrap/>
                    <w:overflowPunct/>
                    <w:topLinePunct w:val="0"/>
                    <w:autoSpaceDE/>
                    <w:autoSpaceDN/>
                    <w:bidi w:val="0"/>
                    <w:snapToGrid/>
                    <w:spacing w:line="360" w:lineRule="exact"/>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cs="Times New Roman"/>
                      <w:b w:val="0"/>
                      <w:bCs w:val="0"/>
                      <w:color w:val="000000" w:themeColor="text1"/>
                      <w:kern w:val="0"/>
                      <w:sz w:val="21"/>
                      <w:szCs w:val="21"/>
                      <w:highlight w:val="none"/>
                      <w:lang w:val="en-US" w:eastAsia="zh-CN"/>
                      <w14:textFill>
                        <w14:solidFill>
                          <w14:schemeClr w14:val="tx1"/>
                        </w14:solidFill>
                      </w14:textFill>
                    </w:rPr>
                    <w:t>表示</w:t>
                  </w:r>
                  <w:r>
                    <w:rPr>
                      <w:rFonts w:hint="default" w:ascii="Times New Roman" w:hAnsi="Times New Roman" w:cs="Times New Roman"/>
                      <w:b w:val="0"/>
                      <w:bCs w:val="0"/>
                      <w:color w:val="000000" w:themeColor="text1"/>
                      <w:kern w:val="0"/>
                      <w:sz w:val="21"/>
                      <w:szCs w:val="21"/>
                      <w:highlight w:val="none"/>
                      <w14:textFill>
                        <w14:solidFill>
                          <w14:schemeClr w14:val="tx1"/>
                        </w14:solidFill>
                      </w14:textFill>
                    </w:rPr>
                    <w:t>一般固体废物贮存、处置场</w:t>
                  </w:r>
                </w:p>
              </w:tc>
            </w:tr>
            <w:tr w14:paraId="6341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08" w:type="pct"/>
                  <w:noWrap w:val="0"/>
                  <w:vAlign w:val="center"/>
                </w:tcPr>
                <w:p w14:paraId="0E361606">
                  <w:pPr>
                    <w:keepNext w:val="0"/>
                    <w:keepLines w:val="0"/>
                    <w:pageBreakBefore w:val="0"/>
                    <w:kinsoku/>
                    <w:wordWrap/>
                    <w:overflowPunct/>
                    <w:topLinePunct w:val="0"/>
                    <w:autoSpaceDE/>
                    <w:autoSpaceDN/>
                    <w:bidi w:val="0"/>
                    <w:adjustRightInd w:val="0"/>
                    <w:snapToGrid/>
                    <w:spacing w:line="360" w:lineRule="exact"/>
                    <w:jc w:val="center"/>
                    <w:rPr>
                      <w:rFonts w:hint="default" w:ascii="Times New Roman" w:hAnsi="Times New Roman" w:eastAsia="宋体" w:cs="Times New Roman"/>
                      <w:b w:val="0"/>
                      <w:bCs w:val="0"/>
                      <w:color w:val="000000" w:themeColor="text1"/>
                      <w:spacing w:val="3"/>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pacing w:val="3"/>
                      <w:szCs w:val="21"/>
                      <w:highlight w:val="none"/>
                      <w:lang w:val="en-US" w:eastAsia="zh-CN"/>
                      <w14:textFill>
                        <w14:solidFill>
                          <w14:schemeClr w14:val="tx1"/>
                        </w14:solidFill>
                      </w14:textFill>
                    </w:rPr>
                    <w:t>5</w:t>
                  </w:r>
                </w:p>
              </w:tc>
              <w:tc>
                <w:tcPr>
                  <w:tcW w:w="1171" w:type="pct"/>
                  <w:noWrap w:val="0"/>
                  <w:vAlign w:val="center"/>
                </w:tcPr>
                <w:p w14:paraId="06CC691E">
                  <w:pPr>
                    <w:keepNext w:val="0"/>
                    <w:keepLines w:val="0"/>
                    <w:pageBreakBefore w:val="0"/>
                    <w:kinsoku/>
                    <w:wordWrap/>
                    <w:overflowPunct/>
                    <w:topLinePunct w:val="0"/>
                    <w:autoSpaceDE/>
                    <w:autoSpaceDN/>
                    <w:bidi w:val="0"/>
                    <w:adjustRightInd w:val="0"/>
                    <w:snapToGrid/>
                    <w:spacing w:line="360" w:lineRule="exact"/>
                    <w:jc w:val="center"/>
                    <w:rPr>
                      <w:rFonts w:hint="default" w:ascii="Times New Roman" w:hAnsi="Times New Roman" w:eastAsia="宋体" w:cs="Times New Roman"/>
                      <w:b w:val="0"/>
                      <w:bCs w:val="0"/>
                      <w:color w:val="000000" w:themeColor="text1"/>
                      <w:spacing w:val="3"/>
                      <w:kern w:val="2"/>
                      <w:sz w:val="21"/>
                      <w:szCs w:val="21"/>
                      <w:highlight w:val="none"/>
                      <w:lang w:val="en-US" w:eastAsia="zh-CN" w:bidi="ar-SA"/>
                      <w14:textFill>
                        <w14:solidFill>
                          <w14:schemeClr w14:val="tx1"/>
                        </w14:solidFill>
                      </w14:textFill>
                    </w:rPr>
                  </w:pPr>
                  <w:r>
                    <w:rPr>
                      <w:rFonts w:hint="default" w:ascii="Times New Roman" w:hAnsi="Times New Roman" w:cs="Times New Roman"/>
                      <w:b w:val="0"/>
                      <w:bCs w:val="0"/>
                      <w:color w:val="000000" w:themeColor="text1"/>
                      <w:spacing w:val="3"/>
                      <w:kern w:val="2"/>
                      <w:sz w:val="21"/>
                      <w:szCs w:val="21"/>
                      <w:highlight w:val="none"/>
                      <w:lang w:val="en-US" w:eastAsia="zh-CN" w:bidi="ar-SA"/>
                      <w14:textFill>
                        <w14:solidFill>
                          <w14:schemeClr w14:val="tx1"/>
                        </w14:solidFill>
                      </w14:textFill>
                    </w:rPr>
                    <w:t>/</w:t>
                  </w:r>
                </w:p>
              </w:tc>
              <w:tc>
                <w:tcPr>
                  <w:tcW w:w="1020" w:type="pct"/>
                  <w:noWrap w:val="0"/>
                  <w:vAlign w:val="center"/>
                </w:tcPr>
                <w:p w14:paraId="5C89F189">
                  <w:pPr>
                    <w:keepNext w:val="0"/>
                    <w:keepLines w:val="0"/>
                    <w:pageBreakBefore w:val="0"/>
                    <w:kinsoku/>
                    <w:wordWrap/>
                    <w:overflowPunct/>
                    <w:topLinePunct w:val="0"/>
                    <w:autoSpaceDE/>
                    <w:autoSpaceDN/>
                    <w:bidi w:val="0"/>
                    <w:adjustRightInd w:val="0"/>
                    <w:snapToGrid/>
                    <w:spacing w:line="240" w:lineRule="auto"/>
                    <w:jc w:val="center"/>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drawing>
                      <wp:inline distT="0" distB="0" distL="114300" distR="114300">
                        <wp:extent cx="739775" cy="669290"/>
                        <wp:effectExtent l="0" t="0" r="3175" b="16510"/>
                        <wp:docPr id="20" name="图片 2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图片1"/>
                                <pic:cNvPicPr>
                                  <a:picLocks noChangeAspect="1"/>
                                </pic:cNvPicPr>
                              </pic:nvPicPr>
                              <pic:blipFill>
                                <a:blip r:embed="rId26"/>
                                <a:stretch>
                                  <a:fillRect/>
                                </a:stretch>
                              </pic:blipFill>
                              <pic:spPr>
                                <a:xfrm>
                                  <a:off x="0" y="0"/>
                                  <a:ext cx="739775" cy="669290"/>
                                </a:xfrm>
                                <a:prstGeom prst="rect">
                                  <a:avLst/>
                                </a:prstGeom>
                              </pic:spPr>
                            </pic:pic>
                          </a:graphicData>
                        </a:graphic>
                      </wp:inline>
                    </w:drawing>
                  </w:r>
                </w:p>
              </w:tc>
              <w:tc>
                <w:tcPr>
                  <w:tcW w:w="1017" w:type="pct"/>
                  <w:noWrap w:val="0"/>
                  <w:vAlign w:val="center"/>
                </w:tcPr>
                <w:p w14:paraId="4F4DEA6C">
                  <w:pPr>
                    <w:pStyle w:val="55"/>
                    <w:keepNext w:val="0"/>
                    <w:keepLines w:val="0"/>
                    <w:pageBreakBefore w:val="0"/>
                    <w:kinsoku/>
                    <w:wordWrap/>
                    <w:overflowPunct/>
                    <w:topLinePunct w:val="0"/>
                    <w:autoSpaceDE/>
                    <w:autoSpaceDN/>
                    <w:bidi w:val="0"/>
                    <w:snapToGrid/>
                    <w:spacing w:line="360" w:lineRule="exact"/>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cs="Times New Roman"/>
                      <w:b w:val="0"/>
                      <w:bCs w:val="0"/>
                      <w:color w:val="000000" w:themeColor="text1"/>
                      <w:kern w:val="0"/>
                      <w:sz w:val="21"/>
                      <w:szCs w:val="21"/>
                      <w:highlight w:val="none"/>
                      <w14:textFill>
                        <w14:solidFill>
                          <w14:schemeClr w14:val="tx1"/>
                        </w14:solidFill>
                      </w14:textFill>
                    </w:rPr>
                    <w:t>危险固体废物</w:t>
                  </w:r>
                </w:p>
              </w:tc>
              <w:tc>
                <w:tcPr>
                  <w:tcW w:w="1481" w:type="pct"/>
                  <w:noWrap w:val="0"/>
                  <w:vAlign w:val="center"/>
                </w:tcPr>
                <w:p w14:paraId="153292D2">
                  <w:pPr>
                    <w:pStyle w:val="55"/>
                    <w:keepNext w:val="0"/>
                    <w:keepLines w:val="0"/>
                    <w:pageBreakBefore w:val="0"/>
                    <w:kinsoku/>
                    <w:wordWrap/>
                    <w:overflowPunct/>
                    <w:topLinePunct w:val="0"/>
                    <w:autoSpaceDE/>
                    <w:autoSpaceDN/>
                    <w:bidi w:val="0"/>
                    <w:snapToGrid/>
                    <w:spacing w:line="360" w:lineRule="exact"/>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cs="Times New Roman"/>
                      <w:b w:val="0"/>
                      <w:bCs w:val="0"/>
                      <w:color w:val="000000" w:themeColor="text1"/>
                      <w:kern w:val="0"/>
                      <w:sz w:val="21"/>
                      <w:szCs w:val="21"/>
                      <w:highlight w:val="none"/>
                      <w:lang w:val="en-US" w:eastAsia="zh-CN"/>
                      <w14:textFill>
                        <w14:solidFill>
                          <w14:schemeClr w14:val="tx1"/>
                        </w14:solidFill>
                      </w14:textFill>
                    </w:rPr>
                    <w:t>表示</w:t>
                  </w:r>
                  <w:r>
                    <w:rPr>
                      <w:rFonts w:hint="default" w:ascii="Times New Roman" w:hAnsi="Times New Roman" w:cs="Times New Roman"/>
                      <w:b w:val="0"/>
                      <w:bCs w:val="0"/>
                      <w:color w:val="000000" w:themeColor="text1"/>
                      <w:kern w:val="0"/>
                      <w:sz w:val="21"/>
                      <w:szCs w:val="21"/>
                      <w:highlight w:val="none"/>
                      <w14:textFill>
                        <w14:solidFill>
                          <w14:schemeClr w14:val="tx1"/>
                        </w14:solidFill>
                      </w14:textFill>
                    </w:rPr>
                    <w:t>危险固体废物贮存、处置场</w:t>
                  </w:r>
                </w:p>
              </w:tc>
            </w:tr>
          </w:tbl>
          <w:p w14:paraId="3A618533">
            <w:pPr>
              <w:keepNext w:val="0"/>
              <w:keepLines w:val="0"/>
              <w:pageBreakBefore w:val="0"/>
              <w:kinsoku/>
              <w:wordWrap/>
              <w:overflowPunct/>
              <w:topLinePunct w:val="0"/>
              <w:autoSpaceDE/>
              <w:autoSpaceDN/>
              <w:bidi w:val="0"/>
              <w:adjustRightInd w:val="0"/>
              <w:snapToGrid/>
              <w:spacing w:line="360" w:lineRule="auto"/>
              <w:ind w:firstLine="482" w:firstLineChars="200"/>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t>3、项目“三同时”要求</w:t>
            </w:r>
          </w:p>
          <w:p w14:paraId="2B068FFF">
            <w:pPr>
              <w:keepNext w:val="0"/>
              <w:keepLines w:val="0"/>
              <w:pageBreakBefore w:val="0"/>
              <w:kinsoku/>
              <w:wordWrap/>
              <w:overflowPunct/>
              <w:topLinePunct w:val="0"/>
              <w:autoSpaceDE/>
              <w:autoSpaceDN/>
              <w:bidi w:val="0"/>
              <w:adjustRightInd w:val="0"/>
              <w:snapToGrid/>
              <w:spacing w:line="360" w:lineRule="auto"/>
              <w:ind w:firstLine="480" w:firstLineChars="200"/>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（1）污染防治措施必须与主体工程同时设计、同时施工、同时投产使用。</w:t>
            </w:r>
          </w:p>
          <w:p w14:paraId="00B37C61">
            <w:pPr>
              <w:keepNext w:val="0"/>
              <w:keepLines w:val="0"/>
              <w:pageBreakBefore w:val="0"/>
              <w:kinsoku/>
              <w:wordWrap/>
              <w:overflowPunct/>
              <w:topLinePunct w:val="0"/>
              <w:autoSpaceDE/>
              <w:autoSpaceDN/>
              <w:bidi w:val="0"/>
              <w:adjustRightInd w:val="0"/>
              <w:snapToGrid/>
              <w:spacing w:line="360" w:lineRule="auto"/>
              <w:ind w:firstLine="480" w:firstLineChars="200"/>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（2）完成排污口规范化建设，应在排污口设置统一标志。</w:t>
            </w:r>
          </w:p>
          <w:p w14:paraId="00582E34">
            <w:pPr>
              <w:keepNext w:val="0"/>
              <w:keepLines w:val="0"/>
              <w:pageBreakBefore w:val="0"/>
              <w:kinsoku/>
              <w:wordWrap/>
              <w:overflowPunct/>
              <w:topLinePunct w:val="0"/>
              <w:autoSpaceDE/>
              <w:autoSpaceDN/>
              <w:bidi w:val="0"/>
              <w:adjustRightInd w:val="0"/>
              <w:snapToGrid/>
              <w:spacing w:line="360" w:lineRule="auto"/>
              <w:ind w:firstLine="480" w:firstLineChars="200"/>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（3）防治污染设施必须经验收合格后，建设项目方可正式投入生产。</w:t>
            </w:r>
          </w:p>
          <w:p w14:paraId="5F187E11">
            <w:pPr>
              <w:keepNext w:val="0"/>
              <w:keepLines w:val="0"/>
              <w:pageBreakBefore w:val="0"/>
              <w:kinsoku/>
              <w:wordWrap/>
              <w:overflowPunct/>
              <w:topLinePunct w:val="0"/>
              <w:autoSpaceDE/>
              <w:autoSpaceDN/>
              <w:bidi w:val="0"/>
              <w:adjustRightInd w:val="0"/>
              <w:snapToGrid/>
              <w:spacing w:line="360" w:lineRule="auto"/>
              <w:ind w:firstLine="482" w:firstLineChars="200"/>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t>4、排污许可登记</w:t>
            </w:r>
          </w:p>
          <w:p w14:paraId="1C4F641A">
            <w:pPr>
              <w:keepNext w:val="0"/>
              <w:keepLines w:val="0"/>
              <w:pageBreakBefore w:val="0"/>
              <w:kinsoku/>
              <w:wordWrap/>
              <w:overflowPunct/>
              <w:topLinePunct w:val="0"/>
              <w:autoSpaceDE/>
              <w:autoSpaceDN/>
              <w:bidi w:val="0"/>
              <w:snapToGrid/>
              <w:spacing w:line="360" w:lineRule="auto"/>
              <w:ind w:firstLine="480" w:firstLineChars="200"/>
              <w:rPr>
                <w:rFonts w:hint="eastAsia" w:ascii="Times New Roman" w:hAnsi="Times New Roman" w:cs="Times New Roman"/>
                <w:bCs/>
                <w:color w:val="000000" w:themeColor="text1"/>
                <w:spacing w:val="0"/>
                <w:sz w:val="24"/>
                <w:szCs w:val="24"/>
                <w:highlight w:val="none"/>
                <w:lang w:eastAsia="zh-CN"/>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根据《排污许可管理条例》（国务院令第736号），排污单位应当按照条例规定申请取得排污许可证，未取得排污许可证的，不得排放污染物。</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对照</w:t>
            </w:r>
            <w:r>
              <w:rPr>
                <w:rFonts w:hint="default" w:ascii="Times New Roman" w:hAnsi="Times New Roman" w:eastAsia="宋体" w:cs="Times New Roman"/>
                <w:bCs/>
                <w:color w:val="000000" w:themeColor="text1"/>
                <w:sz w:val="24"/>
                <w:szCs w:val="24"/>
                <w:highlight w:val="none"/>
                <w14:textFill>
                  <w14:solidFill>
                    <w14:schemeClr w14:val="tx1"/>
                  </w14:solidFill>
                </w14:textFill>
              </w:rPr>
              <w:t>《</w:t>
            </w:r>
            <w:bookmarkStart w:id="9" w:name="OLE_LINK3"/>
            <w:r>
              <w:rPr>
                <w:rFonts w:hint="default" w:ascii="Times New Roman" w:hAnsi="Times New Roman" w:eastAsia="宋体" w:cs="Times New Roman"/>
                <w:bCs/>
                <w:color w:val="000000" w:themeColor="text1"/>
                <w:sz w:val="24"/>
                <w:szCs w:val="24"/>
                <w:highlight w:val="none"/>
                <w14:textFill>
                  <w14:solidFill>
                    <w14:schemeClr w14:val="tx1"/>
                  </w14:solidFill>
                </w14:textFill>
              </w:rPr>
              <w:t>固定污染源排污许可分类管理名录（2019版）</w:t>
            </w:r>
            <w:bookmarkEnd w:id="9"/>
            <w:r>
              <w:rPr>
                <w:rFonts w:hint="default" w:ascii="Times New Roman" w:hAnsi="Times New Roman" w:eastAsia="宋体" w:cs="Times New Roman"/>
                <w:bCs/>
                <w:color w:val="000000" w:themeColor="text1"/>
                <w:sz w:val="24"/>
                <w:szCs w:val="24"/>
                <w:highlight w:val="none"/>
                <w14:textFill>
                  <w14:solidFill>
                    <w14:schemeClr w14:val="tx1"/>
                  </w14:solidFill>
                </w14:textFill>
              </w:rPr>
              <w:t>》，本项目属于固定污染源排污许可分类管理名录表中的</w:t>
            </w:r>
            <w:r>
              <w:rPr>
                <w:rFonts w:hint="eastAsia" w:cs="Times New Roman"/>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Cs/>
                <w:color w:val="000000" w:themeColor="text1"/>
                <w:sz w:val="24"/>
                <w:szCs w:val="24"/>
                <w:highlight w:val="none"/>
                <w14:textFill>
                  <w14:solidFill>
                    <w14:schemeClr w14:val="tx1"/>
                  </w14:solidFill>
                </w14:textFill>
              </w:rPr>
              <w:t>三十四、计算机、通信和其他电子设备制造业39</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w:t>
            </w:r>
            <w:r>
              <w:rPr>
                <w:rFonts w:hint="default" w:ascii="Times New Roman" w:hAnsi="Times New Roman" w:eastAsia="宋体" w:cs="Times New Roman"/>
                <w:bCs/>
                <w:color w:val="000000" w:themeColor="text1"/>
                <w:sz w:val="24"/>
                <w:szCs w:val="24"/>
                <w:highlight w:val="none"/>
                <w14:textFill>
                  <w14:solidFill>
                    <w14:schemeClr w14:val="tx1"/>
                  </w14:solidFill>
                </w14:textFill>
              </w:rPr>
              <w:t>89计算机制造 391</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w:t>
            </w:r>
            <w:r>
              <w:rPr>
                <w:rFonts w:hint="default" w:ascii="Times New Roman" w:hAnsi="Times New Roman" w:eastAsia="宋体" w:cs="Times New Roman"/>
                <w:bCs/>
                <w:color w:val="000000" w:themeColor="text1"/>
                <w:sz w:val="24"/>
                <w:szCs w:val="24"/>
                <w:highlight w:val="none"/>
                <w14:textFill>
                  <w14:solidFill>
                    <w14:schemeClr w14:val="tx1"/>
                  </w14:solidFill>
                </w14:textFill>
              </w:rPr>
              <w:t>其他</w:t>
            </w:r>
            <w:r>
              <w:rPr>
                <w:rFonts w:hint="eastAsia" w:cs="Times New Roman"/>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Cs/>
                <w:color w:val="000000" w:themeColor="text1"/>
                <w:sz w:val="24"/>
                <w:szCs w:val="24"/>
                <w:highlight w:val="none"/>
                <w14:textFill>
                  <w14:solidFill>
                    <w14:schemeClr w14:val="tx1"/>
                  </w14:solidFill>
                </w14:textFill>
              </w:rPr>
              <w:t>属于登记管理</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w:t>
            </w:r>
            <w:r>
              <w:rPr>
                <w:rFonts w:hint="default" w:ascii="Times New Roman" w:hAnsi="Times New Roman" w:cs="Times New Roman"/>
                <w:bCs/>
                <w:color w:val="000000" w:themeColor="text1"/>
                <w:spacing w:val="0"/>
                <w:sz w:val="24"/>
                <w:szCs w:val="24"/>
                <w:highlight w:val="none"/>
                <w14:textFill>
                  <w14:solidFill>
                    <w14:schemeClr w14:val="tx1"/>
                  </w14:solidFill>
                </w14:textFill>
              </w:rPr>
              <w:t>建设单位在实际排污行为发生前</w:t>
            </w:r>
            <w:r>
              <w:rPr>
                <w:rFonts w:hint="eastAsia" w:ascii="Times New Roman" w:hAnsi="Times New Roman" w:cs="Times New Roman"/>
                <w:bCs/>
                <w:color w:val="000000" w:themeColor="text1"/>
                <w:spacing w:val="0"/>
                <w:sz w:val="24"/>
                <w:szCs w:val="24"/>
                <w:highlight w:val="none"/>
                <w:lang w:eastAsia="zh-CN"/>
                <w14:textFill>
                  <w14:solidFill>
                    <w14:schemeClr w14:val="tx1"/>
                  </w14:solidFill>
                </w14:textFill>
              </w:rPr>
              <w:t>，应</w:t>
            </w:r>
            <w:r>
              <w:rPr>
                <w:rFonts w:hint="default" w:ascii="Times New Roman" w:hAnsi="Times New Roman" w:cs="Times New Roman"/>
                <w:bCs/>
                <w:color w:val="000000" w:themeColor="text1"/>
                <w:spacing w:val="0"/>
                <w:sz w:val="24"/>
                <w:szCs w:val="24"/>
                <w:highlight w:val="none"/>
                <w14:textFill>
                  <w14:solidFill>
                    <w14:schemeClr w14:val="tx1"/>
                  </w14:solidFill>
                </w14:textFill>
              </w:rPr>
              <w:t>申领排污许可</w:t>
            </w:r>
            <w:r>
              <w:rPr>
                <w:rFonts w:hint="eastAsia" w:ascii="Times New Roman" w:hAnsi="Times New Roman" w:cs="Times New Roman"/>
                <w:bCs/>
                <w:color w:val="000000" w:themeColor="text1"/>
                <w:spacing w:val="0"/>
                <w:sz w:val="24"/>
                <w:szCs w:val="24"/>
                <w:highlight w:val="none"/>
                <w:lang w:eastAsia="zh-CN"/>
                <w14:textFill>
                  <w14:solidFill>
                    <w14:schemeClr w14:val="tx1"/>
                  </w14:solidFill>
                </w14:textFill>
              </w:rPr>
              <w:t>登记。</w:t>
            </w:r>
          </w:p>
          <w:p w14:paraId="6F083679">
            <w:pPr>
              <w:keepNext w:val="0"/>
              <w:keepLines w:val="0"/>
              <w:pageBreakBefore w:val="0"/>
              <w:kinsoku/>
              <w:wordWrap/>
              <w:overflowPunct/>
              <w:topLinePunct w:val="0"/>
              <w:autoSpaceDE/>
              <w:autoSpaceDN/>
              <w:bidi w:val="0"/>
              <w:snapToGrid/>
              <w:spacing w:line="360" w:lineRule="auto"/>
              <w:rPr>
                <w:rFonts w:hint="eastAsia" w:ascii="Times New Roman" w:hAnsi="Times New Roman" w:cs="Times New Roman"/>
                <w:lang w:val="en-US" w:eastAsia="zh-CN"/>
              </w:rPr>
            </w:pPr>
          </w:p>
          <w:p w14:paraId="5BAB9347">
            <w:pPr>
              <w:keepNext w:val="0"/>
              <w:keepLines w:val="0"/>
              <w:pageBreakBefore w:val="0"/>
              <w:kinsoku/>
              <w:wordWrap/>
              <w:overflowPunct/>
              <w:topLinePunct w:val="0"/>
              <w:autoSpaceDE/>
              <w:autoSpaceDN/>
              <w:bidi w:val="0"/>
              <w:snapToGrid/>
              <w:spacing w:line="360" w:lineRule="auto"/>
              <w:rPr>
                <w:rFonts w:hint="eastAsia" w:ascii="Times New Roman" w:hAnsi="Times New Roman" w:cs="Times New Roman"/>
                <w:lang w:val="en-US" w:eastAsia="zh-CN"/>
              </w:rPr>
            </w:pPr>
          </w:p>
          <w:p w14:paraId="087A293C">
            <w:pPr>
              <w:keepNext w:val="0"/>
              <w:keepLines w:val="0"/>
              <w:pageBreakBefore w:val="0"/>
              <w:kinsoku/>
              <w:wordWrap/>
              <w:overflowPunct/>
              <w:topLinePunct w:val="0"/>
              <w:autoSpaceDE/>
              <w:autoSpaceDN/>
              <w:bidi w:val="0"/>
              <w:snapToGrid/>
              <w:spacing w:line="360" w:lineRule="auto"/>
              <w:rPr>
                <w:rFonts w:hint="eastAsia" w:ascii="Times New Roman" w:hAnsi="Times New Roman" w:cs="Times New Roman"/>
                <w:lang w:val="en-US" w:eastAsia="zh-CN"/>
              </w:rPr>
            </w:pPr>
          </w:p>
          <w:p w14:paraId="55A0BFD8">
            <w:pPr>
              <w:keepNext w:val="0"/>
              <w:keepLines w:val="0"/>
              <w:pageBreakBefore w:val="0"/>
              <w:kinsoku/>
              <w:wordWrap/>
              <w:overflowPunct/>
              <w:topLinePunct w:val="0"/>
              <w:autoSpaceDE/>
              <w:autoSpaceDN/>
              <w:bidi w:val="0"/>
              <w:snapToGrid/>
              <w:spacing w:line="360" w:lineRule="auto"/>
              <w:rPr>
                <w:rFonts w:hint="default" w:ascii="Times New Roman" w:hAnsi="Times New Roman" w:cs="Times New Roman" w:eastAsiaTheme="minorEastAsia"/>
                <w:lang w:val="en-US" w:eastAsia="zh-CN"/>
              </w:rPr>
            </w:pPr>
          </w:p>
        </w:tc>
      </w:tr>
    </w:tbl>
    <w:p w14:paraId="115C5E60">
      <w:pPr>
        <w:sectPr>
          <w:pgSz w:w="16838" w:h="11906" w:orient="landscape"/>
          <w:pgMar w:top="1417" w:right="1417" w:bottom="1417" w:left="1417" w:header="851" w:footer="992" w:gutter="0"/>
          <w:pgNumType w:fmt="decimal"/>
          <w:cols w:space="425" w:num="1"/>
          <w:docGrid w:type="lines" w:linePitch="312" w:charSpace="0"/>
        </w:sectPr>
      </w:pPr>
    </w:p>
    <w:p w14:paraId="0591A01D">
      <w:pPr>
        <w:numPr>
          <w:ilvl w:val="0"/>
          <w:numId w:val="0"/>
        </w:numPr>
        <w:spacing w:line="360" w:lineRule="auto"/>
        <w:ind w:left="0" w:leftChars="0" w:firstLine="0" w:firstLineChars="0"/>
        <w:jc w:val="left"/>
        <w:outlineLvl w:val="0"/>
        <w:rPr>
          <w:rFonts w:hint="default" w:ascii="Times New Roman" w:hAnsi="Times New Roman" w:eastAsia="黑体" w:cs="Times New Roman"/>
          <w:b w:val="0"/>
          <w:bCs w:val="0"/>
          <w:sz w:val="30"/>
          <w:szCs w:val="30"/>
        </w:rPr>
      </w:pPr>
      <w:r>
        <w:rPr>
          <w:rFonts w:hint="default" w:ascii="Times New Roman" w:hAnsi="Times New Roman" w:eastAsia="黑体" w:cs="Times New Roman"/>
          <w:b w:val="0"/>
          <w:bCs w:val="0"/>
          <w:sz w:val="30"/>
          <w:szCs w:val="30"/>
          <w:lang w:val="en-US" w:eastAsia="zh-CN"/>
        </w:rPr>
        <w:t>六、</w:t>
      </w:r>
      <w:r>
        <w:rPr>
          <w:rFonts w:hint="default" w:ascii="Times New Roman" w:hAnsi="Times New Roman" w:eastAsia="黑体" w:cs="Times New Roman"/>
          <w:b w:val="0"/>
          <w:bCs w:val="0"/>
          <w:sz w:val="30"/>
          <w:szCs w:val="30"/>
        </w:rPr>
        <w:t>结论</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394A3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6DB82E2A">
            <w:pPr>
              <w:adjustRightInd w:val="0"/>
              <w:snapToGrid w:val="0"/>
              <w:spacing w:line="360" w:lineRule="auto"/>
              <w:ind w:firstLine="480" w:firstLineChars="200"/>
              <w:rPr>
                <w:rFonts w:hint="default" w:ascii="Times New Roman" w:hAnsi="Times New Roman" w:eastAsia="宋体" w:cs="Times New Roman"/>
                <w:sz w:val="24"/>
              </w:rPr>
            </w:pPr>
          </w:p>
          <w:p w14:paraId="626253E5">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本项目符合国家产业政策；选址合理；项目拟采取的各项污染防治措施可行，可确保项目的各类污染物均做到稳定达标排放。因此，在严格执行操作规范、保证各项环保设施和措施正常运行的条件下，不会对当地的环境质量造成大的不利影响。因此，从环境影响角度分析，本项目的建设是可行的。</w:t>
            </w:r>
          </w:p>
          <w:p w14:paraId="722850BC">
            <w:pPr>
              <w:tabs>
                <w:tab w:val="left" w:pos="1183"/>
              </w:tabs>
              <w:spacing w:line="360" w:lineRule="auto"/>
              <w:jc w:val="left"/>
              <w:rPr>
                <w:rFonts w:hint="eastAsia" w:ascii="Times New Roman" w:hAnsi="Times New Roman" w:eastAsia="宋体" w:cs="Times New Roman"/>
                <w:lang w:eastAsia="zh-CN"/>
              </w:rPr>
            </w:pPr>
          </w:p>
          <w:p w14:paraId="75C0B1C0">
            <w:pPr>
              <w:tabs>
                <w:tab w:val="left" w:pos="1183"/>
              </w:tabs>
              <w:spacing w:line="360" w:lineRule="auto"/>
              <w:jc w:val="left"/>
              <w:rPr>
                <w:rFonts w:hint="eastAsia" w:ascii="Times New Roman" w:hAnsi="Times New Roman" w:eastAsia="宋体" w:cs="Times New Roman"/>
                <w:lang w:eastAsia="zh-CN"/>
              </w:rPr>
            </w:pPr>
          </w:p>
          <w:p w14:paraId="7F7B1AE5">
            <w:pPr>
              <w:tabs>
                <w:tab w:val="left" w:pos="1183"/>
              </w:tabs>
              <w:spacing w:line="360" w:lineRule="auto"/>
              <w:jc w:val="left"/>
              <w:rPr>
                <w:rFonts w:hint="eastAsia" w:ascii="Times New Roman" w:hAnsi="Times New Roman" w:eastAsia="宋体" w:cs="Times New Roman"/>
                <w:lang w:eastAsia="zh-CN"/>
              </w:rPr>
            </w:pPr>
          </w:p>
          <w:p w14:paraId="5FDC1D1A">
            <w:pPr>
              <w:tabs>
                <w:tab w:val="left" w:pos="1183"/>
              </w:tabs>
              <w:spacing w:line="360" w:lineRule="auto"/>
              <w:jc w:val="left"/>
              <w:rPr>
                <w:rFonts w:hint="default" w:ascii="Times New Roman" w:hAnsi="Times New Roman" w:eastAsia="宋体" w:cs="Times New Roman"/>
              </w:rPr>
            </w:pPr>
          </w:p>
          <w:p w14:paraId="534D5FF4">
            <w:pPr>
              <w:tabs>
                <w:tab w:val="left" w:pos="1183"/>
              </w:tabs>
              <w:spacing w:line="360" w:lineRule="auto"/>
              <w:jc w:val="left"/>
              <w:rPr>
                <w:rFonts w:hint="default" w:ascii="Times New Roman" w:hAnsi="Times New Roman" w:eastAsia="宋体" w:cs="Times New Roman"/>
              </w:rPr>
            </w:pPr>
          </w:p>
          <w:p w14:paraId="6DB985BD">
            <w:pPr>
              <w:tabs>
                <w:tab w:val="left" w:pos="1183"/>
              </w:tabs>
              <w:spacing w:line="360" w:lineRule="auto"/>
              <w:jc w:val="left"/>
              <w:rPr>
                <w:rFonts w:hint="default" w:ascii="Times New Roman" w:hAnsi="Times New Roman" w:eastAsia="宋体" w:cs="Times New Roman"/>
              </w:rPr>
            </w:pPr>
          </w:p>
          <w:p w14:paraId="57179B32">
            <w:pPr>
              <w:tabs>
                <w:tab w:val="left" w:pos="1183"/>
              </w:tabs>
              <w:spacing w:line="360" w:lineRule="auto"/>
              <w:jc w:val="left"/>
              <w:rPr>
                <w:rFonts w:hint="default" w:ascii="Times New Roman" w:hAnsi="Times New Roman" w:eastAsia="宋体" w:cs="Times New Roman"/>
              </w:rPr>
            </w:pPr>
          </w:p>
          <w:p w14:paraId="0FBFBD68">
            <w:pPr>
              <w:tabs>
                <w:tab w:val="left" w:pos="1183"/>
              </w:tabs>
              <w:spacing w:line="360" w:lineRule="auto"/>
              <w:jc w:val="left"/>
              <w:rPr>
                <w:rFonts w:hint="default" w:ascii="Times New Roman" w:hAnsi="Times New Roman" w:eastAsia="宋体" w:cs="Times New Roman"/>
              </w:rPr>
            </w:pPr>
          </w:p>
          <w:p w14:paraId="6D751361">
            <w:pPr>
              <w:tabs>
                <w:tab w:val="left" w:pos="1183"/>
              </w:tabs>
              <w:spacing w:line="360" w:lineRule="auto"/>
              <w:jc w:val="left"/>
              <w:rPr>
                <w:rFonts w:hint="default" w:ascii="Times New Roman" w:hAnsi="Times New Roman" w:eastAsia="宋体" w:cs="Times New Roman"/>
              </w:rPr>
            </w:pPr>
          </w:p>
          <w:p w14:paraId="1F5563BB">
            <w:pPr>
              <w:tabs>
                <w:tab w:val="left" w:pos="1183"/>
              </w:tabs>
              <w:spacing w:line="360" w:lineRule="auto"/>
              <w:jc w:val="left"/>
              <w:rPr>
                <w:rFonts w:hint="default" w:ascii="Times New Roman" w:hAnsi="Times New Roman" w:eastAsia="宋体" w:cs="Times New Roman"/>
              </w:rPr>
            </w:pPr>
          </w:p>
          <w:p w14:paraId="2A8FD36D">
            <w:pPr>
              <w:tabs>
                <w:tab w:val="left" w:pos="1183"/>
              </w:tabs>
              <w:spacing w:line="360" w:lineRule="auto"/>
              <w:jc w:val="left"/>
              <w:rPr>
                <w:rFonts w:hint="default" w:ascii="Times New Roman" w:hAnsi="Times New Roman" w:eastAsia="宋体" w:cs="Times New Roman"/>
              </w:rPr>
            </w:pPr>
          </w:p>
          <w:p w14:paraId="06C45234">
            <w:pPr>
              <w:tabs>
                <w:tab w:val="left" w:pos="1183"/>
              </w:tabs>
              <w:spacing w:line="360" w:lineRule="auto"/>
              <w:jc w:val="left"/>
              <w:rPr>
                <w:rFonts w:hint="default" w:ascii="Times New Roman" w:hAnsi="Times New Roman" w:eastAsia="宋体" w:cs="Times New Roman"/>
              </w:rPr>
            </w:pPr>
          </w:p>
          <w:p w14:paraId="4EADB419">
            <w:pPr>
              <w:tabs>
                <w:tab w:val="left" w:pos="1183"/>
              </w:tabs>
              <w:spacing w:line="360" w:lineRule="auto"/>
              <w:jc w:val="left"/>
              <w:rPr>
                <w:rFonts w:hint="default" w:ascii="Times New Roman" w:hAnsi="Times New Roman" w:eastAsia="宋体" w:cs="Times New Roman"/>
              </w:rPr>
            </w:pPr>
          </w:p>
          <w:p w14:paraId="0BF2410E">
            <w:pPr>
              <w:tabs>
                <w:tab w:val="left" w:pos="1183"/>
              </w:tabs>
              <w:spacing w:line="360" w:lineRule="auto"/>
              <w:jc w:val="left"/>
              <w:rPr>
                <w:rFonts w:hint="default" w:ascii="Times New Roman" w:hAnsi="Times New Roman" w:eastAsia="宋体" w:cs="Times New Roman"/>
              </w:rPr>
            </w:pPr>
          </w:p>
          <w:p w14:paraId="5033037C">
            <w:pPr>
              <w:tabs>
                <w:tab w:val="left" w:pos="1183"/>
              </w:tabs>
              <w:spacing w:line="360" w:lineRule="auto"/>
              <w:jc w:val="left"/>
              <w:rPr>
                <w:rFonts w:hint="default" w:ascii="Times New Roman" w:hAnsi="Times New Roman" w:eastAsia="宋体" w:cs="Times New Roman"/>
              </w:rPr>
            </w:pPr>
          </w:p>
          <w:p w14:paraId="2EC8DA35">
            <w:pPr>
              <w:tabs>
                <w:tab w:val="left" w:pos="1183"/>
              </w:tabs>
              <w:spacing w:line="360" w:lineRule="auto"/>
              <w:jc w:val="left"/>
              <w:rPr>
                <w:rFonts w:hint="default" w:ascii="Times New Roman" w:hAnsi="Times New Roman" w:eastAsia="宋体" w:cs="Times New Roman"/>
              </w:rPr>
            </w:pPr>
          </w:p>
          <w:p w14:paraId="48690830">
            <w:pPr>
              <w:tabs>
                <w:tab w:val="left" w:pos="1183"/>
              </w:tabs>
              <w:spacing w:line="360" w:lineRule="auto"/>
              <w:jc w:val="left"/>
              <w:rPr>
                <w:rFonts w:hint="default" w:ascii="Times New Roman" w:hAnsi="Times New Roman" w:eastAsia="宋体" w:cs="Times New Roman"/>
              </w:rPr>
            </w:pPr>
          </w:p>
          <w:p w14:paraId="00A453AC">
            <w:pPr>
              <w:tabs>
                <w:tab w:val="left" w:pos="1183"/>
              </w:tabs>
              <w:spacing w:line="360" w:lineRule="auto"/>
              <w:jc w:val="left"/>
              <w:rPr>
                <w:rFonts w:hint="default" w:ascii="Times New Roman" w:hAnsi="Times New Roman" w:eastAsia="宋体" w:cs="Times New Roman"/>
              </w:rPr>
            </w:pPr>
          </w:p>
          <w:p w14:paraId="3E88E82A">
            <w:pPr>
              <w:tabs>
                <w:tab w:val="left" w:pos="1183"/>
              </w:tabs>
              <w:spacing w:line="360" w:lineRule="auto"/>
              <w:jc w:val="left"/>
              <w:rPr>
                <w:rFonts w:hint="default" w:ascii="Times New Roman" w:hAnsi="Times New Roman" w:eastAsia="宋体" w:cs="Times New Roman"/>
              </w:rPr>
            </w:pPr>
          </w:p>
          <w:p w14:paraId="7A5BBF1D">
            <w:pPr>
              <w:tabs>
                <w:tab w:val="left" w:pos="1183"/>
              </w:tabs>
              <w:spacing w:line="360" w:lineRule="auto"/>
              <w:jc w:val="left"/>
              <w:rPr>
                <w:rFonts w:hint="default" w:ascii="Times New Roman" w:hAnsi="Times New Roman" w:eastAsia="宋体" w:cs="Times New Roman"/>
              </w:rPr>
            </w:pPr>
          </w:p>
          <w:p w14:paraId="7DD2B132">
            <w:pPr>
              <w:tabs>
                <w:tab w:val="left" w:pos="1183"/>
              </w:tabs>
              <w:spacing w:line="360" w:lineRule="auto"/>
              <w:jc w:val="left"/>
              <w:rPr>
                <w:rFonts w:hint="default" w:ascii="Times New Roman" w:hAnsi="Times New Roman" w:eastAsia="宋体" w:cs="Times New Roman"/>
              </w:rPr>
            </w:pPr>
          </w:p>
          <w:p w14:paraId="710BA261">
            <w:pPr>
              <w:tabs>
                <w:tab w:val="left" w:pos="1183"/>
              </w:tabs>
              <w:spacing w:line="360" w:lineRule="auto"/>
              <w:jc w:val="left"/>
              <w:rPr>
                <w:rFonts w:hint="eastAsia" w:ascii="Times New Roman" w:hAnsi="Times New Roman" w:eastAsia="宋体" w:cs="Times New Roman"/>
                <w:lang w:val="en-US" w:eastAsia="zh-CN"/>
              </w:rPr>
            </w:pPr>
          </w:p>
          <w:p w14:paraId="3FCF8C07">
            <w:pPr>
              <w:tabs>
                <w:tab w:val="left" w:pos="1183"/>
              </w:tabs>
              <w:spacing w:line="360" w:lineRule="auto"/>
              <w:jc w:val="left"/>
              <w:rPr>
                <w:rFonts w:hint="eastAsia" w:ascii="Times New Roman" w:hAnsi="Times New Roman" w:eastAsia="宋体" w:cs="Times New Roman"/>
                <w:lang w:val="en-US" w:eastAsia="zh-CN"/>
              </w:rPr>
            </w:pPr>
          </w:p>
        </w:tc>
      </w:tr>
    </w:tbl>
    <w:p w14:paraId="0664A1B8">
      <w:pPr>
        <w:tabs>
          <w:tab w:val="left" w:pos="1183"/>
        </w:tabs>
        <w:jc w:val="left"/>
        <w:sectPr>
          <w:pgSz w:w="11906" w:h="16838"/>
          <w:pgMar w:top="1417" w:right="1417" w:bottom="1417" w:left="1417" w:header="851" w:footer="992" w:gutter="0"/>
          <w:pgNumType w:fmt="decimal"/>
          <w:cols w:space="425" w:num="1"/>
          <w:docGrid w:type="lines" w:linePitch="312" w:charSpace="0"/>
        </w:sectPr>
      </w:pPr>
    </w:p>
    <w:p w14:paraId="0E6A2D44">
      <w:pPr>
        <w:adjustRightInd w:val="0"/>
        <w:snapToGrid w:val="0"/>
        <w:spacing w:line="552" w:lineRule="auto"/>
        <w:ind w:firstLine="760" w:firstLineChars="0"/>
        <w:jc w:val="center"/>
        <w:outlineLvl w:val="9"/>
        <w:rPr>
          <w:rFonts w:ascii="方正小标宋_GBK" w:hAnsi="黑体" w:eastAsia="方正小标宋_GBK"/>
          <w:snapToGrid w:val="0"/>
          <w:sz w:val="38"/>
          <w:szCs w:val="38"/>
        </w:rPr>
      </w:pPr>
      <w:r>
        <w:rPr>
          <w:rFonts w:hint="eastAsia" w:ascii="方正小标宋_GBK" w:hAnsi="黑体" w:eastAsia="方正小标宋_GBK"/>
          <w:snapToGrid w:val="0"/>
          <w:sz w:val="38"/>
          <w:szCs w:val="38"/>
        </w:rPr>
        <w:t>建设项目污染物排放量汇总表</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576"/>
        <w:gridCol w:w="1607"/>
        <w:gridCol w:w="1489"/>
        <w:gridCol w:w="1261"/>
        <w:gridCol w:w="1695"/>
        <w:gridCol w:w="1548"/>
        <w:gridCol w:w="1756"/>
        <w:gridCol w:w="1953"/>
        <w:gridCol w:w="1175"/>
      </w:tblGrid>
      <w:tr w14:paraId="43D92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560" w:type="pct"/>
            <w:tcBorders>
              <w:tl2br w:val="single" w:color="auto" w:sz="4" w:space="0"/>
            </w:tcBorders>
            <w:tcMar>
              <w:top w:w="0" w:type="dxa"/>
              <w:left w:w="28" w:type="dxa"/>
              <w:bottom w:w="0" w:type="dxa"/>
              <w:right w:w="28" w:type="dxa"/>
            </w:tcMar>
            <w:vAlign w:val="center"/>
          </w:tcPr>
          <w:p w14:paraId="25966A81">
            <w:pPr>
              <w:spacing w:before="32" w:after="32"/>
              <w:jc w:val="center"/>
              <w:rPr>
                <w:rFonts w:hint="default" w:ascii="Times New Roman" w:hAnsi="Times New Roman" w:eastAsia="黑体" w:cs="Times New Roman"/>
                <w:snapToGrid w:val="0"/>
                <w:spacing w:val="-6"/>
                <w:kern w:val="21"/>
                <w:szCs w:val="21"/>
              </w:rPr>
            </w:pPr>
            <w:r>
              <w:rPr>
                <w:rFonts w:hint="default" w:ascii="Times New Roman" w:hAnsi="Times New Roman" w:eastAsia="黑体" w:cs="Times New Roman"/>
                <w:snapToGrid w:val="0"/>
                <w:spacing w:val="-6"/>
                <w:kern w:val="21"/>
                <w:szCs w:val="21"/>
              </w:rPr>
              <w:t xml:space="preserve">       项目</w:t>
            </w:r>
          </w:p>
          <w:p w14:paraId="476D071C">
            <w:pPr>
              <w:spacing w:before="32" w:after="32"/>
              <w:rPr>
                <w:rFonts w:hint="default" w:ascii="Times New Roman" w:hAnsi="Times New Roman" w:eastAsia="黑体" w:cs="Times New Roman"/>
                <w:snapToGrid w:val="0"/>
                <w:spacing w:val="-6"/>
                <w:kern w:val="21"/>
                <w:szCs w:val="21"/>
              </w:rPr>
            </w:pPr>
            <w:r>
              <w:rPr>
                <w:rFonts w:hint="default" w:ascii="Times New Roman" w:hAnsi="Times New Roman" w:eastAsia="黑体" w:cs="Times New Roman"/>
                <w:snapToGrid w:val="0"/>
                <w:spacing w:val="-6"/>
                <w:kern w:val="21"/>
                <w:szCs w:val="21"/>
              </w:rPr>
              <w:t>分类</w:t>
            </w:r>
          </w:p>
        </w:tc>
        <w:tc>
          <w:tcPr>
            <w:tcW w:w="571" w:type="pct"/>
            <w:tcMar>
              <w:top w:w="0" w:type="dxa"/>
              <w:left w:w="28" w:type="dxa"/>
              <w:bottom w:w="0" w:type="dxa"/>
              <w:right w:w="28" w:type="dxa"/>
            </w:tcMar>
            <w:vAlign w:val="center"/>
          </w:tcPr>
          <w:p w14:paraId="3828EEB5">
            <w:pPr>
              <w:spacing w:before="32" w:after="32"/>
              <w:jc w:val="center"/>
              <w:rPr>
                <w:rFonts w:hint="default" w:ascii="Times New Roman" w:hAnsi="Times New Roman" w:eastAsia="黑体" w:cs="Times New Roman"/>
                <w:snapToGrid w:val="0"/>
                <w:spacing w:val="-6"/>
                <w:kern w:val="21"/>
                <w:szCs w:val="21"/>
              </w:rPr>
            </w:pPr>
            <w:r>
              <w:rPr>
                <w:rFonts w:hint="default" w:ascii="Times New Roman" w:hAnsi="Times New Roman" w:eastAsia="黑体" w:cs="Times New Roman"/>
                <w:snapToGrid w:val="0"/>
                <w:spacing w:val="-6"/>
                <w:kern w:val="21"/>
                <w:szCs w:val="21"/>
              </w:rPr>
              <w:t>污染物名称</w:t>
            </w:r>
          </w:p>
        </w:tc>
        <w:tc>
          <w:tcPr>
            <w:tcW w:w="529" w:type="pct"/>
            <w:tcMar>
              <w:top w:w="0" w:type="dxa"/>
              <w:left w:w="28" w:type="dxa"/>
              <w:bottom w:w="0" w:type="dxa"/>
              <w:right w:w="28" w:type="dxa"/>
            </w:tcMar>
            <w:vAlign w:val="center"/>
          </w:tcPr>
          <w:p w14:paraId="28217ECF">
            <w:pPr>
              <w:spacing w:before="32" w:after="32"/>
              <w:jc w:val="center"/>
              <w:rPr>
                <w:rFonts w:hint="default" w:ascii="Times New Roman" w:hAnsi="Times New Roman" w:eastAsia="黑体" w:cs="Times New Roman"/>
                <w:snapToGrid w:val="0"/>
                <w:spacing w:val="-6"/>
                <w:kern w:val="21"/>
                <w:szCs w:val="21"/>
              </w:rPr>
            </w:pPr>
            <w:r>
              <w:rPr>
                <w:rFonts w:hint="default" w:ascii="Times New Roman" w:hAnsi="Times New Roman" w:eastAsia="黑体" w:cs="Times New Roman"/>
                <w:snapToGrid w:val="0"/>
                <w:spacing w:val="-6"/>
                <w:kern w:val="21"/>
                <w:szCs w:val="21"/>
              </w:rPr>
              <w:t>现有工程</w:t>
            </w:r>
          </w:p>
          <w:p w14:paraId="02BB1774">
            <w:pPr>
              <w:spacing w:before="32" w:after="32"/>
              <w:jc w:val="center"/>
              <w:rPr>
                <w:rFonts w:hint="default" w:ascii="Times New Roman" w:hAnsi="Times New Roman" w:eastAsia="黑体" w:cs="Times New Roman"/>
                <w:snapToGrid w:val="0"/>
                <w:spacing w:val="-6"/>
                <w:kern w:val="21"/>
                <w:szCs w:val="21"/>
              </w:rPr>
            </w:pPr>
            <w:r>
              <w:rPr>
                <w:rFonts w:hint="default" w:ascii="Times New Roman" w:hAnsi="Times New Roman" w:eastAsia="黑体" w:cs="Times New Roman"/>
                <w:snapToGrid w:val="0"/>
                <w:spacing w:val="-6"/>
                <w:kern w:val="21"/>
                <w:szCs w:val="21"/>
              </w:rPr>
              <w:t>排放量（固体废物产生量）</w:t>
            </w:r>
            <w:r>
              <w:rPr>
                <w:rFonts w:hint="default" w:ascii="Times New Roman" w:hAnsi="Times New Roman" w:eastAsia="宋体" w:cs="Times New Roman"/>
                <w:snapToGrid w:val="0"/>
                <w:spacing w:val="-6"/>
                <w:kern w:val="21"/>
                <w:szCs w:val="21"/>
              </w:rPr>
              <w:t>①</w:t>
            </w:r>
          </w:p>
        </w:tc>
        <w:tc>
          <w:tcPr>
            <w:tcW w:w="448" w:type="pct"/>
            <w:tcMar>
              <w:top w:w="0" w:type="dxa"/>
              <w:left w:w="28" w:type="dxa"/>
              <w:bottom w:w="0" w:type="dxa"/>
              <w:right w:w="28" w:type="dxa"/>
            </w:tcMar>
            <w:vAlign w:val="center"/>
          </w:tcPr>
          <w:p w14:paraId="35AB8405">
            <w:pPr>
              <w:spacing w:before="32" w:after="32"/>
              <w:jc w:val="center"/>
              <w:rPr>
                <w:rFonts w:hint="default" w:ascii="Times New Roman" w:hAnsi="Times New Roman" w:eastAsia="黑体" w:cs="Times New Roman"/>
                <w:snapToGrid w:val="0"/>
                <w:spacing w:val="-6"/>
                <w:kern w:val="21"/>
                <w:szCs w:val="21"/>
              </w:rPr>
            </w:pPr>
            <w:r>
              <w:rPr>
                <w:rFonts w:hint="default" w:ascii="Times New Roman" w:hAnsi="Times New Roman" w:eastAsia="黑体" w:cs="Times New Roman"/>
                <w:snapToGrid w:val="0"/>
                <w:spacing w:val="-6"/>
                <w:kern w:val="21"/>
                <w:szCs w:val="21"/>
              </w:rPr>
              <w:t>现有工程</w:t>
            </w:r>
          </w:p>
          <w:p w14:paraId="24492635">
            <w:pPr>
              <w:spacing w:before="32" w:after="32"/>
              <w:jc w:val="center"/>
              <w:rPr>
                <w:rFonts w:hint="default" w:ascii="Times New Roman" w:hAnsi="Times New Roman" w:eastAsia="黑体" w:cs="Times New Roman"/>
                <w:snapToGrid w:val="0"/>
                <w:spacing w:val="-6"/>
                <w:kern w:val="21"/>
                <w:szCs w:val="21"/>
              </w:rPr>
            </w:pPr>
            <w:r>
              <w:rPr>
                <w:rFonts w:hint="default" w:ascii="Times New Roman" w:hAnsi="Times New Roman" w:eastAsia="黑体" w:cs="Times New Roman"/>
                <w:snapToGrid w:val="0"/>
                <w:spacing w:val="-6"/>
                <w:kern w:val="21"/>
                <w:szCs w:val="21"/>
              </w:rPr>
              <w:t>许可排放量</w:t>
            </w:r>
          </w:p>
          <w:p w14:paraId="5183983D">
            <w:pPr>
              <w:spacing w:before="32" w:after="32"/>
              <w:jc w:val="center"/>
              <w:rPr>
                <w:rFonts w:hint="default" w:ascii="Times New Roman" w:hAnsi="Times New Roman" w:eastAsia="黑体" w:cs="Times New Roman"/>
                <w:snapToGrid w:val="0"/>
                <w:spacing w:val="-6"/>
                <w:kern w:val="21"/>
                <w:szCs w:val="21"/>
              </w:rPr>
            </w:pPr>
            <w:r>
              <w:rPr>
                <w:rFonts w:hint="default" w:ascii="Times New Roman" w:hAnsi="Times New Roman" w:eastAsia="宋体" w:cs="Times New Roman"/>
                <w:snapToGrid w:val="0"/>
                <w:spacing w:val="-6"/>
                <w:kern w:val="21"/>
                <w:szCs w:val="21"/>
              </w:rPr>
              <w:t>②</w:t>
            </w:r>
          </w:p>
        </w:tc>
        <w:tc>
          <w:tcPr>
            <w:tcW w:w="602" w:type="pct"/>
            <w:tcMar>
              <w:top w:w="0" w:type="dxa"/>
              <w:left w:w="28" w:type="dxa"/>
              <w:bottom w:w="0" w:type="dxa"/>
              <w:right w:w="28" w:type="dxa"/>
            </w:tcMar>
            <w:vAlign w:val="center"/>
          </w:tcPr>
          <w:p w14:paraId="725D023A">
            <w:pPr>
              <w:spacing w:before="32" w:after="32"/>
              <w:jc w:val="center"/>
              <w:rPr>
                <w:rFonts w:hint="default" w:ascii="Times New Roman" w:hAnsi="Times New Roman" w:eastAsia="黑体" w:cs="Times New Roman"/>
                <w:snapToGrid w:val="0"/>
                <w:spacing w:val="-6"/>
                <w:kern w:val="21"/>
                <w:szCs w:val="21"/>
              </w:rPr>
            </w:pPr>
            <w:r>
              <w:rPr>
                <w:rFonts w:hint="default" w:ascii="Times New Roman" w:hAnsi="Times New Roman" w:eastAsia="黑体" w:cs="Times New Roman"/>
                <w:snapToGrid w:val="0"/>
                <w:spacing w:val="-6"/>
                <w:kern w:val="21"/>
                <w:szCs w:val="21"/>
              </w:rPr>
              <w:t>在建工程</w:t>
            </w:r>
          </w:p>
          <w:p w14:paraId="1E14B482">
            <w:pPr>
              <w:spacing w:before="32" w:after="32"/>
              <w:jc w:val="center"/>
              <w:rPr>
                <w:rFonts w:hint="default" w:ascii="Times New Roman" w:hAnsi="Times New Roman" w:eastAsia="黑体" w:cs="Times New Roman"/>
                <w:snapToGrid w:val="0"/>
                <w:spacing w:val="-6"/>
                <w:kern w:val="21"/>
                <w:szCs w:val="21"/>
              </w:rPr>
            </w:pPr>
            <w:r>
              <w:rPr>
                <w:rFonts w:hint="default" w:ascii="Times New Roman" w:hAnsi="Times New Roman" w:eastAsia="黑体" w:cs="Times New Roman"/>
                <w:snapToGrid w:val="0"/>
                <w:spacing w:val="-6"/>
                <w:kern w:val="21"/>
                <w:szCs w:val="21"/>
              </w:rPr>
              <w:t>排放量（固体废物产生量）</w:t>
            </w:r>
            <w:r>
              <w:rPr>
                <w:rFonts w:hint="default" w:ascii="Times New Roman" w:hAnsi="Times New Roman" w:eastAsia="黑体" w:cs="Times New Roman"/>
                <w:snapToGrid w:val="0"/>
                <w:spacing w:val="-6"/>
                <w:kern w:val="21"/>
                <w:szCs w:val="21"/>
              </w:rPr>
              <w:fldChar w:fldCharType="begin"/>
            </w:r>
            <w:r>
              <w:rPr>
                <w:rFonts w:hint="default" w:ascii="Times New Roman" w:hAnsi="Times New Roman" w:eastAsia="黑体" w:cs="Times New Roman"/>
                <w:snapToGrid w:val="0"/>
                <w:spacing w:val="-6"/>
                <w:kern w:val="21"/>
                <w:szCs w:val="21"/>
              </w:rPr>
              <w:instrText xml:space="preserve"> = 3 \* GB3 \* MERGEFORMAT </w:instrText>
            </w:r>
            <w:r>
              <w:rPr>
                <w:rFonts w:hint="default" w:ascii="Times New Roman" w:hAnsi="Times New Roman" w:eastAsia="黑体" w:cs="Times New Roman"/>
                <w:snapToGrid w:val="0"/>
                <w:spacing w:val="-6"/>
                <w:kern w:val="21"/>
                <w:szCs w:val="21"/>
              </w:rPr>
              <w:fldChar w:fldCharType="separate"/>
            </w:r>
            <w:r>
              <w:rPr>
                <w:rFonts w:hint="default" w:ascii="Times New Roman" w:hAnsi="Times New Roman" w:eastAsia="黑体" w:cs="Times New Roman"/>
                <w:szCs w:val="21"/>
              </w:rPr>
              <w:t>③</w:t>
            </w:r>
            <w:r>
              <w:rPr>
                <w:rFonts w:hint="default" w:ascii="Times New Roman" w:hAnsi="Times New Roman" w:eastAsia="黑体" w:cs="Times New Roman"/>
                <w:snapToGrid w:val="0"/>
                <w:spacing w:val="-6"/>
                <w:kern w:val="21"/>
                <w:szCs w:val="21"/>
              </w:rPr>
              <w:fldChar w:fldCharType="end"/>
            </w:r>
          </w:p>
        </w:tc>
        <w:tc>
          <w:tcPr>
            <w:tcW w:w="550" w:type="pct"/>
            <w:tcMar>
              <w:top w:w="0" w:type="dxa"/>
              <w:left w:w="28" w:type="dxa"/>
              <w:bottom w:w="0" w:type="dxa"/>
              <w:right w:w="28" w:type="dxa"/>
            </w:tcMar>
            <w:vAlign w:val="center"/>
          </w:tcPr>
          <w:p w14:paraId="18470F5E">
            <w:pPr>
              <w:spacing w:before="32" w:after="32"/>
              <w:jc w:val="center"/>
              <w:rPr>
                <w:rFonts w:hint="default" w:ascii="Times New Roman" w:hAnsi="Times New Roman" w:eastAsia="黑体" w:cs="Times New Roman"/>
                <w:snapToGrid w:val="0"/>
                <w:spacing w:val="-6"/>
                <w:kern w:val="21"/>
                <w:szCs w:val="21"/>
              </w:rPr>
            </w:pPr>
            <w:r>
              <w:rPr>
                <w:rFonts w:hint="default" w:ascii="Times New Roman" w:hAnsi="Times New Roman" w:eastAsia="黑体" w:cs="Times New Roman"/>
                <w:snapToGrid w:val="0"/>
                <w:spacing w:val="-6"/>
                <w:kern w:val="21"/>
                <w:szCs w:val="21"/>
              </w:rPr>
              <w:t>本项目</w:t>
            </w:r>
          </w:p>
          <w:p w14:paraId="39522CB6">
            <w:pPr>
              <w:spacing w:before="32" w:after="32"/>
              <w:jc w:val="center"/>
              <w:rPr>
                <w:rFonts w:hint="default" w:ascii="Times New Roman" w:hAnsi="Times New Roman" w:eastAsia="黑体" w:cs="Times New Roman"/>
                <w:snapToGrid w:val="0"/>
                <w:spacing w:val="-6"/>
                <w:kern w:val="21"/>
                <w:szCs w:val="21"/>
              </w:rPr>
            </w:pPr>
            <w:r>
              <w:rPr>
                <w:rFonts w:hint="default" w:ascii="Times New Roman" w:hAnsi="Times New Roman" w:eastAsia="黑体" w:cs="Times New Roman"/>
                <w:snapToGrid w:val="0"/>
                <w:spacing w:val="-6"/>
                <w:kern w:val="21"/>
                <w:szCs w:val="21"/>
              </w:rPr>
              <w:t>排放量（固体废物产生量）</w:t>
            </w:r>
            <w:r>
              <w:rPr>
                <w:rFonts w:hint="default" w:ascii="Times New Roman" w:hAnsi="Times New Roman" w:eastAsia="黑体" w:cs="Times New Roman"/>
                <w:snapToGrid w:val="0"/>
                <w:spacing w:val="-6"/>
                <w:kern w:val="21"/>
                <w:szCs w:val="21"/>
              </w:rPr>
              <w:fldChar w:fldCharType="begin"/>
            </w:r>
            <w:r>
              <w:rPr>
                <w:rFonts w:hint="default" w:ascii="Times New Roman" w:hAnsi="Times New Roman" w:eastAsia="黑体" w:cs="Times New Roman"/>
                <w:snapToGrid w:val="0"/>
                <w:spacing w:val="-6"/>
                <w:kern w:val="21"/>
                <w:szCs w:val="21"/>
              </w:rPr>
              <w:instrText xml:space="preserve"> = 4 \* GB3 \* MERGEFORMAT </w:instrText>
            </w:r>
            <w:r>
              <w:rPr>
                <w:rFonts w:hint="default" w:ascii="Times New Roman" w:hAnsi="Times New Roman" w:eastAsia="黑体" w:cs="Times New Roman"/>
                <w:snapToGrid w:val="0"/>
                <w:spacing w:val="-6"/>
                <w:kern w:val="21"/>
                <w:szCs w:val="21"/>
              </w:rPr>
              <w:fldChar w:fldCharType="separate"/>
            </w:r>
            <w:r>
              <w:rPr>
                <w:rFonts w:hint="default" w:ascii="Times New Roman" w:hAnsi="Times New Roman" w:eastAsia="黑体" w:cs="Times New Roman"/>
                <w:szCs w:val="21"/>
              </w:rPr>
              <w:t>④</w:t>
            </w:r>
            <w:r>
              <w:rPr>
                <w:rFonts w:hint="default" w:ascii="Times New Roman" w:hAnsi="Times New Roman" w:eastAsia="黑体" w:cs="Times New Roman"/>
                <w:snapToGrid w:val="0"/>
                <w:spacing w:val="-6"/>
                <w:kern w:val="21"/>
                <w:szCs w:val="21"/>
              </w:rPr>
              <w:fldChar w:fldCharType="end"/>
            </w:r>
          </w:p>
        </w:tc>
        <w:tc>
          <w:tcPr>
            <w:tcW w:w="624" w:type="pct"/>
            <w:tcMar>
              <w:top w:w="0" w:type="dxa"/>
              <w:left w:w="28" w:type="dxa"/>
              <w:bottom w:w="0" w:type="dxa"/>
              <w:right w:w="28" w:type="dxa"/>
            </w:tcMar>
            <w:vAlign w:val="center"/>
          </w:tcPr>
          <w:p w14:paraId="71A29D18">
            <w:pPr>
              <w:spacing w:before="32" w:after="32"/>
              <w:jc w:val="center"/>
              <w:rPr>
                <w:rFonts w:hint="default" w:ascii="Times New Roman" w:hAnsi="Times New Roman" w:eastAsia="黑体" w:cs="Times New Roman"/>
                <w:snapToGrid w:val="0"/>
                <w:spacing w:val="-16"/>
                <w:kern w:val="21"/>
                <w:szCs w:val="21"/>
              </w:rPr>
            </w:pPr>
            <w:r>
              <w:rPr>
                <w:rFonts w:hint="default" w:ascii="Times New Roman" w:hAnsi="Times New Roman" w:eastAsia="黑体" w:cs="Times New Roman"/>
                <w:snapToGrid w:val="0"/>
                <w:spacing w:val="-16"/>
                <w:kern w:val="21"/>
                <w:szCs w:val="21"/>
              </w:rPr>
              <w:t>以新带老削减量</w:t>
            </w:r>
          </w:p>
          <w:p w14:paraId="7D3C5764">
            <w:pPr>
              <w:spacing w:before="32" w:after="32"/>
              <w:jc w:val="center"/>
              <w:rPr>
                <w:rFonts w:hint="default" w:ascii="Times New Roman" w:hAnsi="Times New Roman" w:eastAsia="黑体" w:cs="Times New Roman"/>
                <w:snapToGrid w:val="0"/>
                <w:spacing w:val="-16"/>
                <w:kern w:val="21"/>
                <w:szCs w:val="21"/>
              </w:rPr>
            </w:pPr>
            <w:r>
              <w:rPr>
                <w:rFonts w:hint="default" w:ascii="Times New Roman" w:hAnsi="Times New Roman" w:eastAsia="黑体" w:cs="Times New Roman"/>
                <w:snapToGrid w:val="0"/>
                <w:spacing w:val="-16"/>
                <w:kern w:val="21"/>
                <w:szCs w:val="21"/>
              </w:rPr>
              <w:t>（新建项目不填）</w:t>
            </w:r>
            <w:r>
              <w:rPr>
                <w:rFonts w:hint="default" w:ascii="Times New Roman" w:hAnsi="Times New Roman" w:eastAsia="黑体" w:cs="Times New Roman"/>
                <w:snapToGrid w:val="0"/>
                <w:spacing w:val="-16"/>
                <w:kern w:val="21"/>
                <w:szCs w:val="21"/>
              </w:rPr>
              <w:fldChar w:fldCharType="begin"/>
            </w:r>
            <w:r>
              <w:rPr>
                <w:rFonts w:hint="default" w:ascii="Times New Roman" w:hAnsi="Times New Roman" w:eastAsia="黑体" w:cs="Times New Roman"/>
                <w:snapToGrid w:val="0"/>
                <w:spacing w:val="-16"/>
                <w:kern w:val="21"/>
                <w:szCs w:val="21"/>
              </w:rPr>
              <w:instrText xml:space="preserve"> = 5 \* GB3 \* MERGEFORMAT </w:instrText>
            </w:r>
            <w:r>
              <w:rPr>
                <w:rFonts w:hint="default" w:ascii="Times New Roman" w:hAnsi="Times New Roman" w:eastAsia="黑体" w:cs="Times New Roman"/>
                <w:snapToGrid w:val="0"/>
                <w:spacing w:val="-16"/>
                <w:kern w:val="21"/>
                <w:szCs w:val="21"/>
              </w:rPr>
              <w:fldChar w:fldCharType="separate"/>
            </w:r>
            <w:r>
              <w:rPr>
                <w:rFonts w:hint="default" w:ascii="Times New Roman" w:hAnsi="Times New Roman" w:eastAsia="黑体" w:cs="Times New Roman"/>
                <w:szCs w:val="21"/>
              </w:rPr>
              <w:t>⑤</w:t>
            </w:r>
            <w:r>
              <w:rPr>
                <w:rFonts w:hint="default" w:ascii="Times New Roman" w:hAnsi="Times New Roman" w:eastAsia="黑体" w:cs="Times New Roman"/>
                <w:snapToGrid w:val="0"/>
                <w:spacing w:val="-16"/>
                <w:kern w:val="21"/>
                <w:szCs w:val="21"/>
              </w:rPr>
              <w:fldChar w:fldCharType="end"/>
            </w:r>
          </w:p>
        </w:tc>
        <w:tc>
          <w:tcPr>
            <w:tcW w:w="694" w:type="pct"/>
            <w:tcMar>
              <w:top w:w="0" w:type="dxa"/>
              <w:left w:w="28" w:type="dxa"/>
              <w:bottom w:w="0" w:type="dxa"/>
              <w:right w:w="28" w:type="dxa"/>
            </w:tcMar>
            <w:vAlign w:val="center"/>
          </w:tcPr>
          <w:p w14:paraId="0E31262C">
            <w:pPr>
              <w:spacing w:before="32" w:after="32"/>
              <w:jc w:val="center"/>
              <w:rPr>
                <w:rFonts w:hint="default" w:ascii="Times New Roman" w:hAnsi="Times New Roman" w:eastAsia="黑体" w:cs="Times New Roman"/>
                <w:snapToGrid w:val="0"/>
                <w:spacing w:val="-16"/>
                <w:kern w:val="21"/>
                <w:szCs w:val="21"/>
              </w:rPr>
            </w:pPr>
            <w:r>
              <w:rPr>
                <w:rFonts w:hint="default" w:ascii="Times New Roman" w:hAnsi="Times New Roman" w:eastAsia="黑体" w:cs="Times New Roman"/>
                <w:snapToGrid w:val="0"/>
                <w:spacing w:val="-16"/>
                <w:kern w:val="21"/>
                <w:szCs w:val="21"/>
              </w:rPr>
              <w:t>本项目建成后</w:t>
            </w:r>
          </w:p>
          <w:p w14:paraId="48E54D7F">
            <w:pPr>
              <w:spacing w:before="32" w:after="32"/>
              <w:jc w:val="center"/>
              <w:rPr>
                <w:rFonts w:hint="default" w:ascii="Times New Roman" w:hAnsi="Times New Roman" w:eastAsia="黑体" w:cs="Times New Roman"/>
                <w:snapToGrid w:val="0"/>
                <w:spacing w:val="-16"/>
                <w:kern w:val="21"/>
                <w:szCs w:val="21"/>
              </w:rPr>
            </w:pPr>
            <w:r>
              <w:rPr>
                <w:rFonts w:hint="default" w:ascii="Times New Roman" w:hAnsi="Times New Roman" w:eastAsia="黑体" w:cs="Times New Roman"/>
                <w:snapToGrid w:val="0"/>
                <w:spacing w:val="-16"/>
                <w:kern w:val="21"/>
                <w:szCs w:val="21"/>
              </w:rPr>
              <w:t>全厂排放量（固体废物产生量）</w:t>
            </w:r>
            <w:r>
              <w:rPr>
                <w:rFonts w:hint="default" w:ascii="Times New Roman" w:hAnsi="Times New Roman" w:eastAsia="黑体" w:cs="Times New Roman"/>
                <w:snapToGrid w:val="0"/>
                <w:spacing w:val="-16"/>
                <w:kern w:val="21"/>
                <w:szCs w:val="21"/>
              </w:rPr>
              <w:fldChar w:fldCharType="begin"/>
            </w:r>
            <w:r>
              <w:rPr>
                <w:rFonts w:hint="default" w:ascii="Times New Roman" w:hAnsi="Times New Roman" w:eastAsia="黑体" w:cs="Times New Roman"/>
                <w:snapToGrid w:val="0"/>
                <w:spacing w:val="-16"/>
                <w:kern w:val="21"/>
                <w:szCs w:val="21"/>
              </w:rPr>
              <w:instrText xml:space="preserve"> = 6 \* GB3 \* MERGEFORMAT </w:instrText>
            </w:r>
            <w:r>
              <w:rPr>
                <w:rFonts w:hint="default" w:ascii="Times New Roman" w:hAnsi="Times New Roman" w:eastAsia="黑体" w:cs="Times New Roman"/>
                <w:snapToGrid w:val="0"/>
                <w:spacing w:val="-16"/>
                <w:kern w:val="21"/>
                <w:szCs w:val="21"/>
              </w:rPr>
              <w:fldChar w:fldCharType="separate"/>
            </w:r>
            <w:r>
              <w:rPr>
                <w:rFonts w:hint="default" w:ascii="Times New Roman" w:hAnsi="Times New Roman" w:eastAsia="黑体" w:cs="Times New Roman"/>
                <w:szCs w:val="21"/>
              </w:rPr>
              <w:t>⑥</w:t>
            </w:r>
            <w:r>
              <w:rPr>
                <w:rFonts w:hint="default" w:ascii="Times New Roman" w:hAnsi="Times New Roman" w:eastAsia="黑体" w:cs="Times New Roman"/>
                <w:snapToGrid w:val="0"/>
                <w:spacing w:val="-16"/>
                <w:kern w:val="21"/>
                <w:szCs w:val="21"/>
              </w:rPr>
              <w:fldChar w:fldCharType="end"/>
            </w:r>
          </w:p>
        </w:tc>
        <w:tc>
          <w:tcPr>
            <w:tcW w:w="417" w:type="pct"/>
            <w:tcMar>
              <w:top w:w="0" w:type="dxa"/>
              <w:left w:w="28" w:type="dxa"/>
              <w:bottom w:w="0" w:type="dxa"/>
              <w:right w:w="28" w:type="dxa"/>
            </w:tcMar>
            <w:vAlign w:val="center"/>
          </w:tcPr>
          <w:p w14:paraId="7695D745">
            <w:pPr>
              <w:spacing w:before="32" w:after="32"/>
              <w:jc w:val="center"/>
              <w:rPr>
                <w:rFonts w:hint="default" w:ascii="Times New Roman" w:hAnsi="Times New Roman" w:eastAsia="黑体" w:cs="Times New Roman"/>
                <w:snapToGrid w:val="0"/>
                <w:spacing w:val="-6"/>
                <w:kern w:val="21"/>
                <w:szCs w:val="21"/>
              </w:rPr>
            </w:pPr>
            <w:r>
              <w:rPr>
                <w:rFonts w:hint="default" w:ascii="Times New Roman" w:hAnsi="Times New Roman" w:eastAsia="黑体" w:cs="Times New Roman"/>
                <w:snapToGrid w:val="0"/>
                <w:spacing w:val="-6"/>
                <w:kern w:val="21"/>
                <w:szCs w:val="21"/>
              </w:rPr>
              <w:t>变化量</w:t>
            </w:r>
          </w:p>
          <w:p w14:paraId="49FF6F88">
            <w:pPr>
              <w:spacing w:before="32" w:after="32"/>
              <w:jc w:val="center"/>
              <w:rPr>
                <w:rFonts w:hint="default" w:ascii="Times New Roman" w:hAnsi="Times New Roman" w:eastAsia="黑体" w:cs="Times New Roman"/>
                <w:snapToGrid w:val="0"/>
                <w:spacing w:val="-6"/>
                <w:kern w:val="21"/>
                <w:szCs w:val="21"/>
              </w:rPr>
            </w:pPr>
            <w:r>
              <w:rPr>
                <w:rFonts w:hint="default" w:ascii="Times New Roman" w:hAnsi="Times New Roman" w:eastAsia="黑体" w:cs="Times New Roman"/>
                <w:snapToGrid w:val="0"/>
                <w:spacing w:val="-6"/>
                <w:kern w:val="21"/>
                <w:szCs w:val="21"/>
              </w:rPr>
              <w:fldChar w:fldCharType="begin"/>
            </w:r>
            <w:r>
              <w:rPr>
                <w:rFonts w:hint="default" w:ascii="Times New Roman" w:hAnsi="Times New Roman" w:eastAsia="黑体" w:cs="Times New Roman"/>
                <w:snapToGrid w:val="0"/>
                <w:spacing w:val="-6"/>
                <w:kern w:val="21"/>
                <w:szCs w:val="21"/>
              </w:rPr>
              <w:instrText xml:space="preserve"> = 7 \* GB3 \* MERGEFORMAT </w:instrText>
            </w:r>
            <w:r>
              <w:rPr>
                <w:rFonts w:hint="default" w:ascii="Times New Roman" w:hAnsi="Times New Roman" w:eastAsia="黑体" w:cs="Times New Roman"/>
                <w:snapToGrid w:val="0"/>
                <w:spacing w:val="-6"/>
                <w:kern w:val="21"/>
                <w:szCs w:val="21"/>
              </w:rPr>
              <w:fldChar w:fldCharType="separate"/>
            </w:r>
            <w:r>
              <w:rPr>
                <w:rFonts w:hint="default" w:ascii="Times New Roman" w:hAnsi="Times New Roman" w:eastAsia="黑体" w:cs="Times New Roman"/>
                <w:szCs w:val="21"/>
              </w:rPr>
              <w:t>⑦</w:t>
            </w:r>
            <w:r>
              <w:rPr>
                <w:rFonts w:hint="default" w:ascii="Times New Roman" w:hAnsi="Times New Roman" w:eastAsia="黑体" w:cs="Times New Roman"/>
                <w:snapToGrid w:val="0"/>
                <w:spacing w:val="-6"/>
                <w:kern w:val="21"/>
                <w:szCs w:val="21"/>
              </w:rPr>
              <w:fldChar w:fldCharType="end"/>
            </w:r>
          </w:p>
        </w:tc>
      </w:tr>
      <w:tr w14:paraId="492BB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560" w:type="pct"/>
            <w:vMerge w:val="restart"/>
            <w:vAlign w:val="center"/>
          </w:tcPr>
          <w:p w14:paraId="1C65ADC9">
            <w:pPr>
              <w:widowControl/>
              <w:spacing w:beforeAutospacing="1" w:afterAutospacing="1"/>
              <w:jc w:val="center"/>
              <w:rPr>
                <w:rFonts w:hint="default" w:ascii="Times New Roman" w:hAnsi="Times New Roman" w:cs="Times New Roman" w:eastAsiaTheme="minorEastAsia"/>
                <w:b/>
                <w:snapToGrid w:val="0"/>
                <w:kern w:val="21"/>
                <w:szCs w:val="21"/>
                <w:lang w:val="en-US" w:eastAsia="zh-CN"/>
              </w:rPr>
            </w:pPr>
            <w:r>
              <w:rPr>
                <w:rFonts w:hint="default" w:ascii="Times New Roman" w:hAnsi="Times New Roman" w:cs="Times New Roman"/>
                <w:b/>
                <w:snapToGrid w:val="0"/>
                <w:kern w:val="21"/>
                <w:szCs w:val="21"/>
                <w:lang w:val="en-US" w:eastAsia="zh-CN"/>
              </w:rPr>
              <w:t>废气</w:t>
            </w:r>
          </w:p>
        </w:tc>
        <w:tc>
          <w:tcPr>
            <w:tcW w:w="571" w:type="pct"/>
            <w:vAlign w:val="center"/>
          </w:tcPr>
          <w:p w14:paraId="0BDF01BF">
            <w:pPr>
              <w:spacing w:before="32" w:after="32"/>
              <w:jc w:val="center"/>
              <w:rPr>
                <w:rFonts w:hint="default" w:ascii="Times New Roman" w:hAnsi="Times New Roman" w:cs="Times New Roman" w:eastAsiaTheme="minorEastAsia"/>
                <w:snapToGrid w:val="0"/>
                <w:kern w:val="21"/>
                <w:szCs w:val="21"/>
                <w:lang w:val="en-US" w:eastAsia="zh-CN"/>
              </w:rPr>
            </w:pPr>
            <w:r>
              <w:rPr>
                <w:rFonts w:hint="eastAsia" w:ascii="Times New Roman" w:hAnsi="Times New Roman" w:cs="Times New Roman"/>
                <w:snapToGrid w:val="0"/>
                <w:kern w:val="21"/>
                <w:szCs w:val="21"/>
                <w:lang w:val="en-US" w:eastAsia="zh-CN"/>
              </w:rPr>
              <w:t>颗粒物</w:t>
            </w:r>
          </w:p>
        </w:tc>
        <w:tc>
          <w:tcPr>
            <w:tcW w:w="529" w:type="pct"/>
            <w:vAlign w:val="center"/>
          </w:tcPr>
          <w:p w14:paraId="6607B40E">
            <w:pPr>
              <w:spacing w:before="32" w:after="32"/>
              <w:jc w:val="center"/>
              <w:rPr>
                <w:rFonts w:hint="default" w:ascii="Times New Roman" w:hAnsi="Times New Roman" w:cs="Times New Roman" w:eastAsiaTheme="minorEastAsia"/>
                <w:snapToGrid w:val="0"/>
                <w:kern w:val="21"/>
                <w:szCs w:val="21"/>
                <w:lang w:val="en-US" w:eastAsia="zh-CN"/>
              </w:rPr>
            </w:pPr>
            <w:r>
              <w:rPr>
                <w:rFonts w:hint="default" w:ascii="Times New Roman" w:hAnsi="Times New Roman" w:cs="Times New Roman"/>
                <w:snapToGrid w:val="0"/>
                <w:kern w:val="21"/>
                <w:szCs w:val="21"/>
                <w:lang w:val="en-US" w:eastAsia="zh-CN"/>
              </w:rPr>
              <w:t>0</w:t>
            </w:r>
          </w:p>
        </w:tc>
        <w:tc>
          <w:tcPr>
            <w:tcW w:w="448" w:type="pct"/>
            <w:vAlign w:val="center"/>
          </w:tcPr>
          <w:p w14:paraId="15B910FC">
            <w:pPr>
              <w:spacing w:before="32" w:after="32"/>
              <w:jc w:val="center"/>
              <w:rPr>
                <w:rFonts w:hint="default" w:ascii="Times New Roman" w:hAnsi="Times New Roman" w:cs="Times New Roman" w:eastAsiaTheme="minorEastAsia"/>
                <w:snapToGrid w:val="0"/>
                <w:kern w:val="21"/>
                <w:szCs w:val="21"/>
                <w:lang w:val="en-US" w:eastAsia="zh-CN"/>
              </w:rPr>
            </w:pPr>
            <w:r>
              <w:rPr>
                <w:rFonts w:hint="default" w:ascii="Times New Roman" w:hAnsi="Times New Roman" w:cs="Times New Roman"/>
                <w:snapToGrid w:val="0"/>
                <w:kern w:val="21"/>
                <w:szCs w:val="21"/>
                <w:lang w:val="en-US" w:eastAsia="zh-CN"/>
              </w:rPr>
              <w:t>/</w:t>
            </w:r>
          </w:p>
        </w:tc>
        <w:tc>
          <w:tcPr>
            <w:tcW w:w="602" w:type="pct"/>
            <w:vAlign w:val="center"/>
          </w:tcPr>
          <w:p w14:paraId="161FFAE6">
            <w:pPr>
              <w:spacing w:before="32" w:after="32"/>
              <w:jc w:val="center"/>
              <w:rPr>
                <w:rFonts w:hint="default" w:ascii="Times New Roman" w:hAnsi="Times New Roman" w:cs="Times New Roman" w:eastAsiaTheme="minorEastAsia"/>
                <w:snapToGrid w:val="0"/>
                <w:kern w:val="21"/>
                <w:szCs w:val="21"/>
                <w:lang w:val="en-US" w:eastAsia="zh-CN"/>
              </w:rPr>
            </w:pPr>
            <w:r>
              <w:rPr>
                <w:rFonts w:hint="default" w:ascii="Times New Roman" w:hAnsi="Times New Roman" w:cs="Times New Roman"/>
                <w:snapToGrid w:val="0"/>
                <w:kern w:val="21"/>
                <w:szCs w:val="21"/>
                <w:lang w:val="en-US" w:eastAsia="zh-CN"/>
              </w:rPr>
              <w:t>0</w:t>
            </w:r>
          </w:p>
        </w:tc>
        <w:tc>
          <w:tcPr>
            <w:tcW w:w="550" w:type="pct"/>
            <w:vAlign w:val="center"/>
          </w:tcPr>
          <w:p w14:paraId="5502954C">
            <w:pPr>
              <w:spacing w:before="32" w:after="32"/>
              <w:jc w:val="center"/>
              <w:rPr>
                <w:rFonts w:hint="default" w:ascii="Times New Roman" w:hAnsi="Times New Roman" w:eastAsia="宋体" w:cs="Times New Roman"/>
                <w:snapToGrid w:val="0"/>
                <w:kern w:val="21"/>
                <w:szCs w:val="21"/>
                <w:lang w:val="en-US" w:eastAsia="zh-CN"/>
              </w:rPr>
            </w:pPr>
            <w:r>
              <w:rPr>
                <w:rFonts w:hint="default" w:ascii="Times New Roman" w:hAnsi="Times New Roman" w:eastAsia="宋体" w:cs="Times New Roman"/>
                <w:snapToGrid w:val="0"/>
                <w:kern w:val="21"/>
                <w:szCs w:val="21"/>
                <w:lang w:val="en-US" w:eastAsia="zh-CN"/>
              </w:rPr>
              <w:t>0.0000</w:t>
            </w:r>
            <w:r>
              <w:rPr>
                <w:rFonts w:hint="eastAsia" w:ascii="Times New Roman" w:hAnsi="Times New Roman" w:eastAsia="宋体" w:cs="Times New Roman"/>
                <w:snapToGrid w:val="0"/>
                <w:kern w:val="21"/>
                <w:szCs w:val="21"/>
                <w:lang w:val="en-US" w:eastAsia="zh-CN"/>
              </w:rPr>
              <w:t>21</w:t>
            </w:r>
          </w:p>
        </w:tc>
        <w:tc>
          <w:tcPr>
            <w:tcW w:w="624" w:type="pct"/>
            <w:vAlign w:val="center"/>
          </w:tcPr>
          <w:p w14:paraId="26C5E00E">
            <w:pPr>
              <w:spacing w:before="32" w:after="32"/>
              <w:jc w:val="center"/>
              <w:rPr>
                <w:rFonts w:hint="default" w:ascii="Times New Roman" w:hAnsi="Times New Roman" w:cs="Times New Roman" w:eastAsiaTheme="minorEastAsia"/>
                <w:snapToGrid w:val="0"/>
                <w:kern w:val="21"/>
                <w:szCs w:val="21"/>
                <w:lang w:val="en-US" w:eastAsia="zh-CN"/>
              </w:rPr>
            </w:pPr>
            <w:r>
              <w:rPr>
                <w:rFonts w:hint="default" w:ascii="Times New Roman" w:hAnsi="Times New Roman" w:cs="Times New Roman"/>
                <w:snapToGrid w:val="0"/>
                <w:kern w:val="21"/>
                <w:szCs w:val="21"/>
                <w:lang w:val="en-US" w:eastAsia="zh-CN"/>
              </w:rPr>
              <w:t>0</w:t>
            </w:r>
          </w:p>
        </w:tc>
        <w:tc>
          <w:tcPr>
            <w:tcW w:w="1953" w:type="dxa"/>
            <w:shd w:val="clear" w:color="auto" w:fill="auto"/>
            <w:vAlign w:val="center"/>
          </w:tcPr>
          <w:p w14:paraId="755EAEF4">
            <w:pPr>
              <w:spacing w:before="32" w:after="32"/>
              <w:jc w:val="center"/>
              <w:rPr>
                <w:rFonts w:hint="default" w:ascii="Times New Roman" w:hAnsi="Times New Roman" w:eastAsia="宋体" w:cs="Times New Roman"/>
                <w:snapToGrid w:val="0"/>
                <w:kern w:val="21"/>
                <w:sz w:val="21"/>
                <w:szCs w:val="21"/>
                <w:lang w:val="en-US" w:eastAsia="zh-CN" w:bidi="ar-SA"/>
              </w:rPr>
            </w:pPr>
            <w:r>
              <w:rPr>
                <w:rFonts w:hint="default" w:ascii="Times New Roman" w:hAnsi="Times New Roman" w:eastAsia="宋体" w:cs="Times New Roman"/>
                <w:snapToGrid w:val="0"/>
                <w:kern w:val="21"/>
                <w:szCs w:val="21"/>
                <w:lang w:val="en-US" w:eastAsia="zh-CN"/>
              </w:rPr>
              <w:t>0.0000</w:t>
            </w:r>
            <w:r>
              <w:rPr>
                <w:rFonts w:hint="eastAsia" w:ascii="Times New Roman" w:hAnsi="Times New Roman" w:eastAsia="宋体" w:cs="Times New Roman"/>
                <w:snapToGrid w:val="0"/>
                <w:kern w:val="21"/>
                <w:szCs w:val="21"/>
                <w:lang w:val="en-US" w:eastAsia="zh-CN"/>
              </w:rPr>
              <w:t>21</w:t>
            </w:r>
          </w:p>
        </w:tc>
        <w:tc>
          <w:tcPr>
            <w:tcW w:w="1175" w:type="dxa"/>
            <w:shd w:val="clear" w:color="auto" w:fill="auto"/>
            <w:vAlign w:val="center"/>
          </w:tcPr>
          <w:p w14:paraId="5CBC3D71">
            <w:pPr>
              <w:spacing w:before="32" w:after="32"/>
              <w:jc w:val="center"/>
              <w:rPr>
                <w:rFonts w:hint="default" w:ascii="Times New Roman" w:hAnsi="Times New Roman" w:eastAsia="宋体" w:cs="Times New Roman"/>
                <w:snapToGrid w:val="0"/>
                <w:kern w:val="21"/>
                <w:sz w:val="21"/>
                <w:szCs w:val="21"/>
                <w:lang w:val="en-US" w:eastAsia="zh-CN" w:bidi="ar-SA"/>
              </w:rPr>
            </w:pPr>
            <w:r>
              <w:rPr>
                <w:rFonts w:hint="eastAsia" w:ascii="Times New Roman" w:hAnsi="Times New Roman" w:eastAsia="宋体" w:cs="Times New Roman"/>
                <w:snapToGrid w:val="0"/>
                <w:kern w:val="21"/>
                <w:szCs w:val="21"/>
                <w:lang w:val="en-US" w:eastAsia="zh-CN"/>
              </w:rPr>
              <w:t>+</w:t>
            </w:r>
            <w:r>
              <w:rPr>
                <w:rFonts w:hint="default" w:ascii="Times New Roman" w:hAnsi="Times New Roman" w:eastAsia="宋体" w:cs="Times New Roman"/>
                <w:snapToGrid w:val="0"/>
                <w:kern w:val="21"/>
                <w:szCs w:val="21"/>
                <w:lang w:val="en-US" w:eastAsia="zh-CN"/>
              </w:rPr>
              <w:t>0.0000</w:t>
            </w:r>
            <w:r>
              <w:rPr>
                <w:rFonts w:hint="eastAsia" w:ascii="Times New Roman" w:hAnsi="Times New Roman" w:eastAsia="宋体" w:cs="Times New Roman"/>
                <w:snapToGrid w:val="0"/>
                <w:kern w:val="21"/>
                <w:szCs w:val="21"/>
                <w:lang w:val="en-US" w:eastAsia="zh-CN"/>
              </w:rPr>
              <w:t>21</w:t>
            </w:r>
          </w:p>
        </w:tc>
      </w:tr>
      <w:tr w14:paraId="2D8C7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560" w:type="pct"/>
            <w:vMerge w:val="continue"/>
            <w:vAlign w:val="center"/>
          </w:tcPr>
          <w:p w14:paraId="43F7829E">
            <w:pPr>
              <w:widowControl/>
              <w:spacing w:beforeAutospacing="1" w:afterAutospacing="1"/>
              <w:jc w:val="center"/>
              <w:rPr>
                <w:rFonts w:hint="default" w:ascii="Times New Roman" w:hAnsi="Times New Roman" w:cs="Times New Roman"/>
                <w:b/>
                <w:snapToGrid w:val="0"/>
                <w:kern w:val="21"/>
                <w:szCs w:val="21"/>
                <w:lang w:val="en-US" w:eastAsia="zh-CN"/>
              </w:rPr>
            </w:pPr>
          </w:p>
        </w:tc>
        <w:tc>
          <w:tcPr>
            <w:tcW w:w="571" w:type="pct"/>
            <w:vAlign w:val="center"/>
          </w:tcPr>
          <w:p w14:paraId="448F8737">
            <w:pPr>
              <w:spacing w:before="32" w:after="32"/>
              <w:jc w:val="center"/>
              <w:rPr>
                <w:rFonts w:hint="default" w:ascii="Times New Roman" w:hAnsi="Times New Roman" w:eastAsia="宋体" w:cs="Times New Roman"/>
                <w:b w:val="0"/>
                <w:bCs w:val="0"/>
                <w:kern w:val="0"/>
                <w:sz w:val="21"/>
                <w:szCs w:val="21"/>
                <w:lang w:val="en-US" w:eastAsia="zh-CN"/>
              </w:rPr>
            </w:pPr>
            <w:r>
              <w:rPr>
                <w:rFonts w:hint="default" w:ascii="Times New Roman" w:hAnsi="Times New Roman" w:eastAsia="宋体" w:cs="Times New Roman"/>
                <w:b w:val="0"/>
                <w:bCs w:val="0"/>
                <w:kern w:val="0"/>
                <w:sz w:val="21"/>
                <w:szCs w:val="21"/>
                <w:lang w:val="en-US" w:eastAsia="zh-CN"/>
              </w:rPr>
              <w:t>锡及其化合物</w:t>
            </w:r>
          </w:p>
        </w:tc>
        <w:tc>
          <w:tcPr>
            <w:tcW w:w="529" w:type="pct"/>
            <w:vAlign w:val="center"/>
          </w:tcPr>
          <w:p w14:paraId="5AAE1693">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0</w:t>
            </w:r>
          </w:p>
        </w:tc>
        <w:tc>
          <w:tcPr>
            <w:tcW w:w="448" w:type="pct"/>
            <w:vAlign w:val="center"/>
          </w:tcPr>
          <w:p w14:paraId="495C43C6">
            <w:pPr>
              <w:spacing w:before="32" w:after="32"/>
              <w:jc w:val="center"/>
              <w:rPr>
                <w:rFonts w:hint="default" w:ascii="Times New Roman" w:hAnsi="Times New Roman" w:cs="Times New Roman"/>
                <w:snapToGrid w:val="0"/>
                <w:kern w:val="21"/>
                <w:szCs w:val="21"/>
                <w:lang w:val="en-US" w:eastAsia="zh-CN"/>
              </w:rPr>
            </w:pPr>
            <w:r>
              <w:rPr>
                <w:rFonts w:hint="default" w:ascii="Times New Roman" w:hAnsi="Times New Roman" w:cs="Times New Roman"/>
                <w:snapToGrid w:val="0"/>
                <w:kern w:val="21"/>
                <w:szCs w:val="21"/>
                <w:lang w:val="en-US" w:eastAsia="zh-CN"/>
              </w:rPr>
              <w:t>/</w:t>
            </w:r>
          </w:p>
        </w:tc>
        <w:tc>
          <w:tcPr>
            <w:tcW w:w="602" w:type="pct"/>
            <w:vAlign w:val="center"/>
          </w:tcPr>
          <w:p w14:paraId="74661615">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0</w:t>
            </w:r>
          </w:p>
        </w:tc>
        <w:tc>
          <w:tcPr>
            <w:tcW w:w="550" w:type="pct"/>
            <w:vAlign w:val="center"/>
          </w:tcPr>
          <w:p w14:paraId="7DBCEB9B">
            <w:pPr>
              <w:spacing w:before="32" w:after="32"/>
              <w:jc w:val="center"/>
              <w:rPr>
                <w:rFonts w:hint="default" w:ascii="Times New Roman" w:hAnsi="Times New Roman" w:eastAsia="宋体" w:cs="Times New Roman"/>
                <w:snapToGrid w:val="0"/>
                <w:kern w:val="21"/>
                <w:szCs w:val="21"/>
                <w:lang w:val="en-US" w:eastAsia="zh-CN"/>
              </w:rPr>
            </w:pPr>
            <w:r>
              <w:rPr>
                <w:rFonts w:hint="eastAsia" w:ascii="Times New Roman" w:hAnsi="Times New Roman" w:eastAsia="宋体" w:cs="Times New Roman"/>
                <w:snapToGrid w:val="0"/>
                <w:kern w:val="21"/>
                <w:szCs w:val="21"/>
                <w:lang w:val="en-US" w:eastAsia="zh-CN"/>
              </w:rPr>
              <w:t>0.000019</w:t>
            </w:r>
          </w:p>
        </w:tc>
        <w:tc>
          <w:tcPr>
            <w:tcW w:w="624" w:type="pct"/>
            <w:vAlign w:val="center"/>
          </w:tcPr>
          <w:p w14:paraId="7C0D4250">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0</w:t>
            </w:r>
          </w:p>
        </w:tc>
        <w:tc>
          <w:tcPr>
            <w:tcW w:w="1953" w:type="dxa"/>
            <w:shd w:val="clear" w:color="auto" w:fill="auto"/>
            <w:vAlign w:val="center"/>
          </w:tcPr>
          <w:p w14:paraId="5D9B7271">
            <w:pPr>
              <w:spacing w:before="32" w:after="32"/>
              <w:jc w:val="center"/>
              <w:rPr>
                <w:rFonts w:hint="default" w:ascii="Times New Roman" w:hAnsi="Times New Roman" w:eastAsia="宋体" w:cs="Times New Roman"/>
                <w:snapToGrid w:val="0"/>
                <w:kern w:val="21"/>
                <w:sz w:val="21"/>
                <w:szCs w:val="21"/>
                <w:lang w:val="en-US" w:eastAsia="zh-CN" w:bidi="ar-SA"/>
              </w:rPr>
            </w:pPr>
            <w:r>
              <w:rPr>
                <w:rFonts w:hint="eastAsia" w:ascii="Times New Roman" w:hAnsi="Times New Roman" w:eastAsia="宋体" w:cs="Times New Roman"/>
                <w:snapToGrid w:val="0"/>
                <w:kern w:val="21"/>
                <w:szCs w:val="21"/>
                <w:lang w:val="en-US" w:eastAsia="zh-CN"/>
              </w:rPr>
              <w:t>0.000019</w:t>
            </w:r>
          </w:p>
        </w:tc>
        <w:tc>
          <w:tcPr>
            <w:tcW w:w="1175" w:type="dxa"/>
            <w:shd w:val="clear" w:color="auto" w:fill="auto"/>
            <w:vAlign w:val="center"/>
          </w:tcPr>
          <w:p w14:paraId="0C1AC633">
            <w:pPr>
              <w:spacing w:before="32" w:after="32"/>
              <w:jc w:val="center"/>
              <w:rPr>
                <w:rFonts w:hint="default" w:ascii="Times New Roman" w:hAnsi="Times New Roman" w:eastAsia="宋体" w:cs="Times New Roman"/>
                <w:snapToGrid w:val="0"/>
                <w:kern w:val="21"/>
                <w:sz w:val="21"/>
                <w:szCs w:val="21"/>
                <w:lang w:val="en-US" w:eastAsia="zh-CN" w:bidi="ar-SA"/>
              </w:rPr>
            </w:pPr>
            <w:r>
              <w:rPr>
                <w:rFonts w:hint="eastAsia" w:ascii="Times New Roman" w:hAnsi="Times New Roman" w:eastAsia="宋体" w:cs="Times New Roman"/>
                <w:snapToGrid w:val="0"/>
                <w:kern w:val="21"/>
                <w:szCs w:val="21"/>
                <w:lang w:val="en-US" w:eastAsia="zh-CN"/>
              </w:rPr>
              <w:t>+0.000019</w:t>
            </w:r>
          </w:p>
        </w:tc>
      </w:tr>
      <w:tr w14:paraId="6310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560" w:type="pct"/>
            <w:vMerge w:val="continue"/>
            <w:vAlign w:val="center"/>
          </w:tcPr>
          <w:p w14:paraId="5743E0AF">
            <w:pPr>
              <w:widowControl/>
              <w:spacing w:beforeAutospacing="1" w:afterAutospacing="1"/>
              <w:jc w:val="center"/>
              <w:rPr>
                <w:rFonts w:hint="default" w:ascii="Times New Roman" w:hAnsi="Times New Roman" w:cs="Times New Roman"/>
                <w:b/>
                <w:snapToGrid w:val="0"/>
                <w:kern w:val="21"/>
                <w:szCs w:val="21"/>
                <w:lang w:val="en-US" w:eastAsia="zh-CN"/>
              </w:rPr>
            </w:pPr>
          </w:p>
        </w:tc>
        <w:tc>
          <w:tcPr>
            <w:tcW w:w="571" w:type="pct"/>
            <w:vAlign w:val="center"/>
          </w:tcPr>
          <w:p w14:paraId="652563B2">
            <w:pPr>
              <w:spacing w:before="32" w:after="32"/>
              <w:jc w:val="center"/>
              <w:rPr>
                <w:rFonts w:hint="default" w:ascii="Times New Roman" w:hAnsi="Times New Roman" w:eastAsia="宋体" w:cs="Times New Roman"/>
                <w:b w:val="0"/>
                <w:bCs w:val="0"/>
                <w:kern w:val="0"/>
                <w:sz w:val="21"/>
                <w:szCs w:val="21"/>
                <w:lang w:val="en-US" w:eastAsia="zh-CN"/>
              </w:rPr>
            </w:pPr>
            <w:r>
              <w:rPr>
                <w:rFonts w:hint="default" w:ascii="Times New Roman" w:hAnsi="Times New Roman" w:eastAsia="宋体" w:cs="Times New Roman"/>
                <w:b w:val="0"/>
                <w:bCs w:val="0"/>
                <w:kern w:val="0"/>
                <w:sz w:val="21"/>
                <w:szCs w:val="21"/>
                <w:lang w:val="en-US" w:eastAsia="zh-CN"/>
              </w:rPr>
              <w:t>非甲烷总烃</w:t>
            </w:r>
          </w:p>
        </w:tc>
        <w:tc>
          <w:tcPr>
            <w:tcW w:w="529" w:type="pct"/>
            <w:vAlign w:val="center"/>
          </w:tcPr>
          <w:p w14:paraId="0D0FFC91">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0</w:t>
            </w:r>
          </w:p>
        </w:tc>
        <w:tc>
          <w:tcPr>
            <w:tcW w:w="448" w:type="pct"/>
            <w:vAlign w:val="center"/>
          </w:tcPr>
          <w:p w14:paraId="4F2E400D">
            <w:pPr>
              <w:spacing w:before="32" w:after="32"/>
              <w:jc w:val="center"/>
              <w:rPr>
                <w:rFonts w:hint="default" w:ascii="Times New Roman" w:hAnsi="Times New Roman" w:cs="Times New Roman"/>
                <w:snapToGrid w:val="0"/>
                <w:kern w:val="21"/>
                <w:szCs w:val="21"/>
                <w:lang w:val="en-US" w:eastAsia="zh-CN"/>
              </w:rPr>
            </w:pPr>
            <w:r>
              <w:rPr>
                <w:rFonts w:hint="default" w:ascii="Times New Roman" w:hAnsi="Times New Roman" w:cs="Times New Roman"/>
                <w:snapToGrid w:val="0"/>
                <w:kern w:val="21"/>
                <w:szCs w:val="21"/>
                <w:lang w:val="en-US" w:eastAsia="zh-CN"/>
              </w:rPr>
              <w:t>/</w:t>
            </w:r>
          </w:p>
        </w:tc>
        <w:tc>
          <w:tcPr>
            <w:tcW w:w="602" w:type="pct"/>
            <w:vAlign w:val="center"/>
          </w:tcPr>
          <w:p w14:paraId="71E99C0F">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0</w:t>
            </w:r>
          </w:p>
        </w:tc>
        <w:tc>
          <w:tcPr>
            <w:tcW w:w="550" w:type="pct"/>
            <w:vAlign w:val="center"/>
          </w:tcPr>
          <w:p w14:paraId="52F0AC12">
            <w:pPr>
              <w:spacing w:before="32" w:after="32"/>
              <w:jc w:val="center"/>
              <w:rPr>
                <w:rFonts w:hint="default" w:ascii="Times New Roman" w:hAnsi="Times New Roman" w:eastAsia="宋体" w:cs="Times New Roman"/>
                <w:snapToGrid w:val="0"/>
                <w:kern w:val="21"/>
                <w:szCs w:val="21"/>
                <w:lang w:val="en-US" w:eastAsia="zh-CN"/>
              </w:rPr>
            </w:pPr>
            <w:r>
              <w:rPr>
                <w:rFonts w:hint="eastAsia" w:ascii="Times New Roman" w:hAnsi="Times New Roman" w:eastAsia="宋体" w:cs="Times New Roman"/>
                <w:snapToGrid w:val="0"/>
                <w:kern w:val="21"/>
                <w:szCs w:val="21"/>
                <w:lang w:val="en-US" w:eastAsia="zh-CN"/>
              </w:rPr>
              <w:t>0.006458</w:t>
            </w:r>
          </w:p>
        </w:tc>
        <w:tc>
          <w:tcPr>
            <w:tcW w:w="624" w:type="pct"/>
            <w:vAlign w:val="center"/>
          </w:tcPr>
          <w:p w14:paraId="4AF886C7">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0</w:t>
            </w:r>
          </w:p>
        </w:tc>
        <w:tc>
          <w:tcPr>
            <w:tcW w:w="1953" w:type="dxa"/>
            <w:shd w:val="clear" w:color="auto" w:fill="auto"/>
            <w:vAlign w:val="center"/>
          </w:tcPr>
          <w:p w14:paraId="0C8691D5">
            <w:pPr>
              <w:spacing w:before="32" w:after="32"/>
              <w:jc w:val="center"/>
              <w:rPr>
                <w:rFonts w:hint="default" w:ascii="Times New Roman" w:hAnsi="Times New Roman" w:eastAsia="宋体" w:cs="Times New Roman"/>
                <w:snapToGrid w:val="0"/>
                <w:kern w:val="21"/>
                <w:sz w:val="21"/>
                <w:szCs w:val="21"/>
                <w:lang w:val="en-US" w:eastAsia="zh-CN" w:bidi="ar-SA"/>
              </w:rPr>
            </w:pPr>
            <w:r>
              <w:rPr>
                <w:rFonts w:hint="eastAsia" w:ascii="Times New Roman" w:hAnsi="Times New Roman" w:eastAsia="宋体" w:cs="Times New Roman"/>
                <w:snapToGrid w:val="0"/>
                <w:kern w:val="21"/>
                <w:szCs w:val="21"/>
                <w:lang w:val="en-US" w:eastAsia="zh-CN"/>
              </w:rPr>
              <w:t>0.006458</w:t>
            </w:r>
          </w:p>
        </w:tc>
        <w:tc>
          <w:tcPr>
            <w:tcW w:w="1175" w:type="dxa"/>
            <w:shd w:val="clear" w:color="auto" w:fill="auto"/>
            <w:vAlign w:val="center"/>
          </w:tcPr>
          <w:p w14:paraId="02B879D3">
            <w:pPr>
              <w:spacing w:before="32" w:after="32"/>
              <w:jc w:val="center"/>
              <w:rPr>
                <w:rFonts w:hint="default" w:ascii="Times New Roman" w:hAnsi="Times New Roman" w:eastAsia="宋体" w:cs="Times New Roman"/>
                <w:snapToGrid w:val="0"/>
                <w:kern w:val="21"/>
                <w:sz w:val="21"/>
                <w:szCs w:val="21"/>
                <w:lang w:val="en-US" w:eastAsia="zh-CN" w:bidi="ar-SA"/>
              </w:rPr>
            </w:pPr>
            <w:r>
              <w:rPr>
                <w:rFonts w:hint="eastAsia" w:ascii="Times New Roman" w:hAnsi="Times New Roman" w:eastAsia="宋体" w:cs="Times New Roman"/>
                <w:snapToGrid w:val="0"/>
                <w:kern w:val="21"/>
                <w:szCs w:val="21"/>
                <w:lang w:val="en-US" w:eastAsia="zh-CN"/>
              </w:rPr>
              <w:t>+0.006458</w:t>
            </w:r>
          </w:p>
        </w:tc>
      </w:tr>
      <w:tr w14:paraId="085F2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560" w:type="pct"/>
            <w:vMerge w:val="restart"/>
            <w:vAlign w:val="center"/>
          </w:tcPr>
          <w:p w14:paraId="364FF98B">
            <w:pPr>
              <w:spacing w:before="32" w:after="32"/>
              <w:jc w:val="center"/>
              <w:rPr>
                <w:rFonts w:hint="default" w:ascii="Times New Roman" w:hAnsi="Times New Roman" w:cs="Times New Roman"/>
                <w:b/>
                <w:snapToGrid w:val="0"/>
                <w:kern w:val="21"/>
                <w:szCs w:val="21"/>
              </w:rPr>
            </w:pPr>
            <w:r>
              <w:rPr>
                <w:rFonts w:hint="default" w:ascii="Times New Roman" w:hAnsi="Times New Roman" w:cs="Times New Roman"/>
                <w:b/>
                <w:snapToGrid w:val="0"/>
                <w:kern w:val="21"/>
                <w:szCs w:val="21"/>
              </w:rPr>
              <w:t>废水</w:t>
            </w:r>
          </w:p>
          <w:p w14:paraId="00D394EF">
            <w:pPr>
              <w:spacing w:before="32" w:after="32"/>
              <w:jc w:val="center"/>
              <w:rPr>
                <w:rFonts w:hint="eastAsia" w:ascii="Times New Roman" w:hAnsi="Times New Roman" w:cs="Times New Roman" w:eastAsiaTheme="minorEastAsia"/>
                <w:b/>
                <w:snapToGrid w:val="0"/>
                <w:kern w:val="21"/>
                <w:szCs w:val="21"/>
                <w:lang w:eastAsia="zh-CN"/>
              </w:rPr>
            </w:pPr>
            <w:r>
              <w:rPr>
                <w:rFonts w:hint="eastAsia" w:ascii="Times New Roman" w:hAnsi="Times New Roman" w:cs="Times New Roman"/>
                <w:b/>
                <w:snapToGrid w:val="0"/>
                <w:kern w:val="21"/>
                <w:szCs w:val="21"/>
                <w:lang w:eastAsia="zh-CN"/>
              </w:rPr>
              <w:t>（</w:t>
            </w:r>
            <w:r>
              <w:rPr>
                <w:rFonts w:hint="eastAsia" w:ascii="Times New Roman" w:hAnsi="Times New Roman" w:cs="Times New Roman"/>
                <w:b/>
                <w:snapToGrid w:val="0"/>
                <w:kern w:val="21"/>
                <w:szCs w:val="21"/>
                <w:lang w:val="en-US" w:eastAsia="zh-CN"/>
              </w:rPr>
              <w:t>360t/a</w:t>
            </w:r>
            <w:r>
              <w:rPr>
                <w:rFonts w:hint="eastAsia" w:ascii="Times New Roman" w:hAnsi="Times New Roman" w:cs="Times New Roman"/>
                <w:b/>
                <w:snapToGrid w:val="0"/>
                <w:kern w:val="21"/>
                <w:szCs w:val="21"/>
                <w:lang w:eastAsia="zh-CN"/>
              </w:rPr>
              <w:t>）</w:t>
            </w:r>
          </w:p>
        </w:tc>
        <w:tc>
          <w:tcPr>
            <w:tcW w:w="571" w:type="pct"/>
            <w:vAlign w:val="center"/>
          </w:tcPr>
          <w:p w14:paraId="6BF6320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inorEastAsia"/>
                <w:snapToGrid w:val="0"/>
                <w:kern w:val="21"/>
                <w:szCs w:val="21"/>
                <w:lang w:val="en-US" w:eastAsia="zh-CN"/>
              </w:rPr>
            </w:pPr>
            <w:r>
              <w:rPr>
                <w:rFonts w:hint="eastAsia" w:ascii="Times New Roman" w:hAnsi="Times New Roman" w:eastAsia="宋体" w:cs="Times New Roman"/>
                <w:b w:val="0"/>
                <w:bCs w:val="0"/>
                <w:kern w:val="0"/>
                <w:sz w:val="21"/>
                <w:szCs w:val="21"/>
                <w:vertAlign w:val="baseline"/>
                <w:lang w:val="en-US" w:eastAsia="zh-CN"/>
              </w:rPr>
              <w:t>COD</w:t>
            </w:r>
          </w:p>
        </w:tc>
        <w:tc>
          <w:tcPr>
            <w:tcW w:w="529" w:type="pct"/>
            <w:vAlign w:val="center"/>
          </w:tcPr>
          <w:p w14:paraId="418AEF63">
            <w:pPr>
              <w:spacing w:before="32" w:after="32"/>
              <w:jc w:val="center"/>
              <w:rPr>
                <w:rFonts w:hint="default" w:ascii="Times New Roman" w:hAnsi="Times New Roman" w:eastAsia="宋体" w:cs="Times New Roman"/>
                <w:spacing w:val="-2"/>
                <w:sz w:val="21"/>
                <w:szCs w:val="21"/>
                <w:lang w:val="en-US" w:eastAsia="zh-CN"/>
              </w:rPr>
            </w:pPr>
            <w:r>
              <w:rPr>
                <w:rFonts w:hint="eastAsia" w:ascii="Times New Roman" w:hAnsi="Times New Roman" w:eastAsia="宋体" w:cs="Times New Roman"/>
                <w:spacing w:val="-2"/>
                <w:sz w:val="21"/>
                <w:szCs w:val="21"/>
                <w:lang w:val="en-US" w:eastAsia="zh-CN"/>
              </w:rPr>
              <w:t>0</w:t>
            </w:r>
          </w:p>
        </w:tc>
        <w:tc>
          <w:tcPr>
            <w:tcW w:w="448" w:type="pct"/>
            <w:vAlign w:val="center"/>
          </w:tcPr>
          <w:p w14:paraId="3ED263BD">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w:t>
            </w:r>
          </w:p>
        </w:tc>
        <w:tc>
          <w:tcPr>
            <w:tcW w:w="602" w:type="pct"/>
            <w:vAlign w:val="center"/>
          </w:tcPr>
          <w:p w14:paraId="214ACA08">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0</w:t>
            </w:r>
          </w:p>
        </w:tc>
        <w:tc>
          <w:tcPr>
            <w:tcW w:w="550" w:type="pct"/>
            <w:shd w:val="clear" w:color="auto" w:fill="auto"/>
            <w:vAlign w:val="center"/>
          </w:tcPr>
          <w:p w14:paraId="23E8C44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rPr>
              <w:t>0.0972</w:t>
            </w:r>
          </w:p>
        </w:tc>
        <w:tc>
          <w:tcPr>
            <w:tcW w:w="624" w:type="pct"/>
            <w:vAlign w:val="center"/>
          </w:tcPr>
          <w:p w14:paraId="16BA08F7">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0</w:t>
            </w:r>
          </w:p>
        </w:tc>
        <w:tc>
          <w:tcPr>
            <w:tcW w:w="694" w:type="pct"/>
            <w:shd w:val="clear" w:color="auto" w:fill="auto"/>
            <w:vAlign w:val="center"/>
          </w:tcPr>
          <w:p w14:paraId="6A38161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rPr>
              <w:t>0.0972</w:t>
            </w:r>
          </w:p>
        </w:tc>
        <w:tc>
          <w:tcPr>
            <w:tcW w:w="417" w:type="pct"/>
            <w:shd w:val="clear" w:color="auto" w:fill="auto"/>
            <w:vAlign w:val="center"/>
          </w:tcPr>
          <w:p w14:paraId="415F9AF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rPr>
              <w:t>+0.0972</w:t>
            </w:r>
          </w:p>
        </w:tc>
      </w:tr>
      <w:tr w14:paraId="31D3B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560" w:type="pct"/>
            <w:vMerge w:val="continue"/>
            <w:vAlign w:val="center"/>
          </w:tcPr>
          <w:p w14:paraId="70F9DE63">
            <w:pPr>
              <w:spacing w:before="32" w:after="32"/>
              <w:jc w:val="center"/>
              <w:rPr>
                <w:rFonts w:hint="default" w:ascii="Times New Roman" w:hAnsi="Times New Roman" w:cs="Times New Roman"/>
                <w:b/>
                <w:snapToGrid w:val="0"/>
                <w:kern w:val="21"/>
                <w:szCs w:val="21"/>
              </w:rPr>
            </w:pPr>
          </w:p>
        </w:tc>
        <w:tc>
          <w:tcPr>
            <w:tcW w:w="571" w:type="pct"/>
            <w:vAlign w:val="center"/>
          </w:tcPr>
          <w:p w14:paraId="1EE9F65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snapToGrid w:val="0"/>
                <w:kern w:val="21"/>
                <w:szCs w:val="21"/>
              </w:rPr>
            </w:pPr>
            <w:r>
              <w:rPr>
                <w:rFonts w:hint="eastAsia" w:ascii="Times New Roman" w:hAnsi="Times New Roman" w:eastAsia="宋体" w:cs="Times New Roman"/>
                <w:kern w:val="0"/>
                <w:sz w:val="21"/>
                <w:szCs w:val="21"/>
                <w:vertAlign w:val="baseline"/>
                <w:lang w:val="en-US" w:eastAsia="zh-CN"/>
              </w:rPr>
              <w:t>BOD</w:t>
            </w:r>
            <w:r>
              <w:rPr>
                <w:rFonts w:hint="eastAsia" w:ascii="Times New Roman" w:hAnsi="Times New Roman" w:eastAsia="宋体" w:cs="Times New Roman"/>
                <w:kern w:val="0"/>
                <w:sz w:val="21"/>
                <w:szCs w:val="21"/>
                <w:vertAlign w:val="subscript"/>
                <w:lang w:val="en-US" w:eastAsia="zh-CN"/>
              </w:rPr>
              <w:t>5</w:t>
            </w:r>
          </w:p>
        </w:tc>
        <w:tc>
          <w:tcPr>
            <w:tcW w:w="529" w:type="pct"/>
            <w:vAlign w:val="center"/>
          </w:tcPr>
          <w:p w14:paraId="159BC078">
            <w:pPr>
              <w:spacing w:before="32" w:after="32"/>
              <w:jc w:val="center"/>
              <w:rPr>
                <w:rFonts w:hint="default" w:ascii="Times New Roman" w:hAnsi="Times New Roman" w:cs="Times New Roman" w:eastAsiaTheme="minorEastAsia"/>
                <w:snapToGrid w:val="0"/>
                <w:kern w:val="21"/>
                <w:szCs w:val="21"/>
                <w:lang w:val="en-US" w:eastAsia="zh-CN"/>
              </w:rPr>
            </w:pPr>
            <w:r>
              <w:rPr>
                <w:rFonts w:hint="default" w:ascii="Times New Roman" w:hAnsi="Times New Roman" w:eastAsia="宋体" w:cs="Times New Roman"/>
                <w:spacing w:val="-2"/>
                <w:sz w:val="21"/>
                <w:szCs w:val="21"/>
                <w:lang w:val="en-US" w:eastAsia="zh-CN"/>
              </w:rPr>
              <w:t>0</w:t>
            </w:r>
          </w:p>
        </w:tc>
        <w:tc>
          <w:tcPr>
            <w:tcW w:w="448" w:type="pct"/>
            <w:vAlign w:val="center"/>
          </w:tcPr>
          <w:p w14:paraId="22F8766B">
            <w:pPr>
              <w:spacing w:before="32" w:after="32"/>
              <w:jc w:val="center"/>
              <w:rPr>
                <w:rFonts w:hint="default" w:ascii="Times New Roman" w:hAnsi="Times New Roman" w:cs="Times New Roman" w:eastAsiaTheme="minorEastAsia"/>
                <w:snapToGrid w:val="0"/>
                <w:kern w:val="21"/>
                <w:szCs w:val="21"/>
                <w:lang w:val="en-US" w:eastAsia="zh-CN"/>
              </w:rPr>
            </w:pPr>
            <w:r>
              <w:rPr>
                <w:rFonts w:hint="default" w:ascii="Times New Roman" w:hAnsi="Times New Roman" w:cs="Times New Roman"/>
                <w:snapToGrid w:val="0"/>
                <w:kern w:val="21"/>
                <w:szCs w:val="21"/>
                <w:lang w:val="en-US" w:eastAsia="zh-CN"/>
              </w:rPr>
              <w:t>/</w:t>
            </w:r>
          </w:p>
        </w:tc>
        <w:tc>
          <w:tcPr>
            <w:tcW w:w="602" w:type="pct"/>
            <w:vAlign w:val="center"/>
          </w:tcPr>
          <w:p w14:paraId="2993BECB">
            <w:pPr>
              <w:spacing w:before="32" w:after="32"/>
              <w:jc w:val="center"/>
              <w:rPr>
                <w:rFonts w:hint="default" w:ascii="Times New Roman" w:hAnsi="Times New Roman" w:cs="Times New Roman"/>
                <w:snapToGrid w:val="0"/>
                <w:kern w:val="21"/>
                <w:szCs w:val="21"/>
              </w:rPr>
            </w:pPr>
            <w:r>
              <w:rPr>
                <w:rFonts w:hint="default" w:ascii="Times New Roman" w:hAnsi="Times New Roman" w:cs="Times New Roman"/>
                <w:snapToGrid w:val="0"/>
                <w:kern w:val="21"/>
                <w:szCs w:val="21"/>
                <w:lang w:val="en-US" w:eastAsia="zh-CN"/>
              </w:rPr>
              <w:t>0</w:t>
            </w:r>
          </w:p>
        </w:tc>
        <w:tc>
          <w:tcPr>
            <w:tcW w:w="550" w:type="pct"/>
            <w:shd w:val="clear" w:color="auto" w:fill="auto"/>
            <w:vAlign w:val="center"/>
          </w:tcPr>
          <w:p w14:paraId="4C3A233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0.0432</w:t>
            </w:r>
          </w:p>
        </w:tc>
        <w:tc>
          <w:tcPr>
            <w:tcW w:w="624" w:type="pct"/>
            <w:vAlign w:val="center"/>
          </w:tcPr>
          <w:p w14:paraId="78739AD7">
            <w:pPr>
              <w:spacing w:before="32" w:after="32"/>
              <w:jc w:val="center"/>
              <w:rPr>
                <w:rFonts w:hint="default" w:ascii="Times New Roman" w:hAnsi="Times New Roman" w:cs="Times New Roman" w:eastAsiaTheme="minorEastAsia"/>
                <w:snapToGrid w:val="0"/>
                <w:kern w:val="21"/>
                <w:szCs w:val="21"/>
                <w:lang w:val="en-US" w:eastAsia="zh-CN"/>
              </w:rPr>
            </w:pPr>
            <w:r>
              <w:rPr>
                <w:rFonts w:hint="default" w:ascii="Times New Roman" w:hAnsi="Times New Roman" w:cs="Times New Roman"/>
                <w:snapToGrid w:val="0"/>
                <w:kern w:val="21"/>
                <w:szCs w:val="21"/>
                <w:lang w:val="en-US" w:eastAsia="zh-CN"/>
              </w:rPr>
              <w:t>0</w:t>
            </w:r>
          </w:p>
        </w:tc>
        <w:tc>
          <w:tcPr>
            <w:tcW w:w="694" w:type="pct"/>
            <w:shd w:val="clear" w:color="auto" w:fill="auto"/>
            <w:vAlign w:val="center"/>
          </w:tcPr>
          <w:p w14:paraId="2747508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0.0432</w:t>
            </w:r>
          </w:p>
        </w:tc>
        <w:tc>
          <w:tcPr>
            <w:tcW w:w="417" w:type="pct"/>
            <w:shd w:val="clear" w:color="auto" w:fill="auto"/>
            <w:vAlign w:val="center"/>
          </w:tcPr>
          <w:p w14:paraId="7C5DB86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+0.0432</w:t>
            </w:r>
          </w:p>
        </w:tc>
      </w:tr>
      <w:tr w14:paraId="65410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560" w:type="pct"/>
            <w:vMerge w:val="continue"/>
            <w:vAlign w:val="center"/>
          </w:tcPr>
          <w:p w14:paraId="356E523D">
            <w:pPr>
              <w:spacing w:before="32" w:after="32"/>
              <w:jc w:val="center"/>
              <w:rPr>
                <w:rFonts w:hint="default" w:ascii="Times New Roman" w:hAnsi="Times New Roman" w:cs="Times New Roman"/>
                <w:b/>
                <w:snapToGrid w:val="0"/>
                <w:kern w:val="21"/>
                <w:szCs w:val="21"/>
              </w:rPr>
            </w:pPr>
          </w:p>
        </w:tc>
        <w:tc>
          <w:tcPr>
            <w:tcW w:w="571" w:type="pct"/>
            <w:vAlign w:val="center"/>
          </w:tcPr>
          <w:p w14:paraId="3832ED0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snapToGrid w:val="0"/>
                <w:kern w:val="21"/>
                <w:szCs w:val="21"/>
              </w:rPr>
            </w:pPr>
            <w:r>
              <w:rPr>
                <w:rFonts w:hint="eastAsia" w:ascii="Times New Roman" w:hAnsi="Times New Roman" w:eastAsia="宋体" w:cs="Times New Roman"/>
                <w:kern w:val="0"/>
                <w:sz w:val="21"/>
                <w:szCs w:val="21"/>
                <w:vertAlign w:val="baseline"/>
                <w:lang w:val="en-US" w:eastAsia="zh-CN"/>
              </w:rPr>
              <w:t>SS</w:t>
            </w:r>
          </w:p>
        </w:tc>
        <w:tc>
          <w:tcPr>
            <w:tcW w:w="529" w:type="pct"/>
            <w:vAlign w:val="center"/>
          </w:tcPr>
          <w:p w14:paraId="2B32EDC2">
            <w:pPr>
              <w:spacing w:before="32" w:after="32"/>
              <w:jc w:val="center"/>
              <w:rPr>
                <w:rFonts w:hint="default" w:ascii="Times New Roman" w:hAnsi="Times New Roman" w:cs="Times New Roman" w:eastAsiaTheme="minorEastAsia"/>
                <w:snapToGrid w:val="0"/>
                <w:kern w:val="21"/>
                <w:szCs w:val="21"/>
                <w:lang w:val="en-US" w:eastAsia="zh-CN"/>
              </w:rPr>
            </w:pPr>
            <w:r>
              <w:rPr>
                <w:rFonts w:hint="eastAsia" w:ascii="Times New Roman" w:hAnsi="Times New Roman" w:cs="Times New Roman"/>
                <w:snapToGrid w:val="0"/>
                <w:kern w:val="21"/>
                <w:szCs w:val="21"/>
                <w:lang w:val="en-US" w:eastAsia="zh-CN"/>
              </w:rPr>
              <w:t>0</w:t>
            </w:r>
          </w:p>
        </w:tc>
        <w:tc>
          <w:tcPr>
            <w:tcW w:w="448" w:type="pct"/>
            <w:vAlign w:val="center"/>
          </w:tcPr>
          <w:p w14:paraId="126ABAC2">
            <w:pPr>
              <w:spacing w:before="32" w:after="32"/>
              <w:jc w:val="center"/>
              <w:rPr>
                <w:rFonts w:hint="default" w:ascii="Times New Roman" w:hAnsi="Times New Roman" w:cs="Times New Roman" w:eastAsiaTheme="minorEastAsia"/>
                <w:snapToGrid w:val="0"/>
                <w:kern w:val="21"/>
                <w:szCs w:val="21"/>
                <w:lang w:val="en-US" w:eastAsia="zh-CN"/>
              </w:rPr>
            </w:pPr>
            <w:r>
              <w:rPr>
                <w:rFonts w:hint="default" w:ascii="Times New Roman" w:hAnsi="Times New Roman" w:cs="Times New Roman"/>
                <w:snapToGrid w:val="0"/>
                <w:kern w:val="21"/>
                <w:szCs w:val="21"/>
                <w:lang w:val="en-US" w:eastAsia="zh-CN"/>
              </w:rPr>
              <w:t>/</w:t>
            </w:r>
          </w:p>
        </w:tc>
        <w:tc>
          <w:tcPr>
            <w:tcW w:w="602" w:type="pct"/>
            <w:vAlign w:val="center"/>
          </w:tcPr>
          <w:p w14:paraId="5E5B49D3">
            <w:pPr>
              <w:spacing w:before="32" w:after="32"/>
              <w:jc w:val="center"/>
              <w:rPr>
                <w:rFonts w:hint="default" w:ascii="Times New Roman" w:hAnsi="Times New Roman" w:cs="Times New Roman"/>
                <w:snapToGrid w:val="0"/>
                <w:kern w:val="21"/>
                <w:szCs w:val="21"/>
              </w:rPr>
            </w:pPr>
            <w:r>
              <w:rPr>
                <w:rFonts w:hint="default" w:ascii="Times New Roman" w:hAnsi="Times New Roman" w:cs="Times New Roman"/>
                <w:snapToGrid w:val="0"/>
                <w:kern w:val="21"/>
                <w:szCs w:val="21"/>
                <w:lang w:val="en-US" w:eastAsia="zh-CN"/>
              </w:rPr>
              <w:t>0</w:t>
            </w:r>
          </w:p>
        </w:tc>
        <w:tc>
          <w:tcPr>
            <w:tcW w:w="550" w:type="pct"/>
            <w:shd w:val="clear" w:color="auto" w:fill="auto"/>
            <w:vAlign w:val="center"/>
          </w:tcPr>
          <w:p w14:paraId="4C05B05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0.0504</w:t>
            </w:r>
          </w:p>
        </w:tc>
        <w:tc>
          <w:tcPr>
            <w:tcW w:w="624" w:type="pct"/>
            <w:vAlign w:val="center"/>
          </w:tcPr>
          <w:p w14:paraId="74F807B4">
            <w:pPr>
              <w:spacing w:before="32" w:after="32"/>
              <w:jc w:val="center"/>
              <w:rPr>
                <w:rFonts w:hint="default" w:ascii="Times New Roman" w:hAnsi="Times New Roman" w:cs="Times New Roman" w:eastAsiaTheme="minorEastAsia"/>
                <w:snapToGrid w:val="0"/>
                <w:kern w:val="21"/>
                <w:szCs w:val="21"/>
                <w:lang w:val="en-US" w:eastAsia="zh-CN"/>
              </w:rPr>
            </w:pPr>
            <w:r>
              <w:rPr>
                <w:rFonts w:hint="default" w:ascii="Times New Roman" w:hAnsi="Times New Roman" w:cs="Times New Roman"/>
                <w:snapToGrid w:val="0"/>
                <w:kern w:val="21"/>
                <w:szCs w:val="21"/>
                <w:lang w:val="en-US" w:eastAsia="zh-CN"/>
              </w:rPr>
              <w:t>0</w:t>
            </w:r>
          </w:p>
        </w:tc>
        <w:tc>
          <w:tcPr>
            <w:tcW w:w="694" w:type="pct"/>
            <w:shd w:val="clear" w:color="auto" w:fill="auto"/>
            <w:vAlign w:val="center"/>
          </w:tcPr>
          <w:p w14:paraId="3068336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0.0504</w:t>
            </w:r>
          </w:p>
        </w:tc>
        <w:tc>
          <w:tcPr>
            <w:tcW w:w="417" w:type="pct"/>
            <w:shd w:val="clear" w:color="auto" w:fill="auto"/>
            <w:vAlign w:val="center"/>
          </w:tcPr>
          <w:p w14:paraId="1A7A29B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+0.0504</w:t>
            </w:r>
          </w:p>
        </w:tc>
      </w:tr>
      <w:tr w14:paraId="42801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560" w:type="pct"/>
            <w:vMerge w:val="continue"/>
            <w:vAlign w:val="center"/>
          </w:tcPr>
          <w:p w14:paraId="05308E08">
            <w:pPr>
              <w:widowControl/>
              <w:spacing w:beforeAutospacing="1" w:afterAutospacing="1"/>
              <w:jc w:val="center"/>
              <w:rPr>
                <w:rFonts w:hint="default" w:ascii="Times New Roman" w:hAnsi="Times New Roman" w:cs="Times New Roman"/>
                <w:b/>
                <w:snapToGrid w:val="0"/>
                <w:kern w:val="21"/>
                <w:szCs w:val="21"/>
              </w:rPr>
            </w:pPr>
          </w:p>
        </w:tc>
        <w:tc>
          <w:tcPr>
            <w:tcW w:w="571" w:type="pct"/>
            <w:vAlign w:val="center"/>
          </w:tcPr>
          <w:p w14:paraId="1740B91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snapToGrid w:val="0"/>
                <w:kern w:val="21"/>
                <w:szCs w:val="21"/>
              </w:rPr>
            </w:pPr>
            <w:r>
              <w:rPr>
                <w:rFonts w:hint="eastAsia" w:ascii="Times New Roman" w:hAnsi="Times New Roman" w:eastAsia="宋体" w:cs="Times New Roman"/>
                <w:kern w:val="0"/>
                <w:sz w:val="21"/>
                <w:szCs w:val="21"/>
                <w:vertAlign w:val="baseline"/>
                <w:lang w:val="en-US" w:eastAsia="zh-CN"/>
              </w:rPr>
              <w:t>NH</w:t>
            </w:r>
            <w:r>
              <w:rPr>
                <w:rFonts w:hint="eastAsia" w:ascii="Times New Roman" w:hAnsi="Times New Roman" w:eastAsia="宋体" w:cs="Times New Roman"/>
                <w:kern w:val="0"/>
                <w:sz w:val="21"/>
                <w:szCs w:val="21"/>
                <w:vertAlign w:val="subscript"/>
                <w:lang w:val="en-US" w:eastAsia="zh-CN"/>
              </w:rPr>
              <w:t>3</w:t>
            </w:r>
            <w:r>
              <w:rPr>
                <w:rFonts w:hint="eastAsia" w:ascii="Times New Roman" w:hAnsi="Times New Roman" w:eastAsia="宋体" w:cs="Times New Roman"/>
                <w:kern w:val="0"/>
                <w:sz w:val="21"/>
                <w:szCs w:val="21"/>
                <w:vertAlign w:val="baseline"/>
                <w:lang w:val="en-US" w:eastAsia="zh-CN"/>
              </w:rPr>
              <w:t>-N</w:t>
            </w:r>
          </w:p>
        </w:tc>
        <w:tc>
          <w:tcPr>
            <w:tcW w:w="529" w:type="pct"/>
            <w:vAlign w:val="center"/>
          </w:tcPr>
          <w:p w14:paraId="6F9B4E26">
            <w:pPr>
              <w:spacing w:before="32" w:after="32"/>
              <w:jc w:val="center"/>
              <w:rPr>
                <w:rFonts w:hint="default" w:ascii="Times New Roman" w:hAnsi="Times New Roman" w:cs="Times New Roman" w:eastAsiaTheme="minorEastAsia"/>
                <w:snapToGrid w:val="0"/>
                <w:kern w:val="21"/>
                <w:szCs w:val="21"/>
                <w:lang w:val="en-US" w:eastAsia="zh-CN"/>
              </w:rPr>
            </w:pPr>
            <w:r>
              <w:rPr>
                <w:rFonts w:hint="default" w:ascii="Times New Roman" w:hAnsi="Times New Roman" w:eastAsia="宋体" w:cs="Times New Roman"/>
                <w:spacing w:val="-1"/>
                <w:sz w:val="21"/>
                <w:szCs w:val="21"/>
                <w:lang w:val="en-US" w:eastAsia="zh-CN"/>
              </w:rPr>
              <w:t>0</w:t>
            </w:r>
          </w:p>
        </w:tc>
        <w:tc>
          <w:tcPr>
            <w:tcW w:w="448" w:type="pct"/>
            <w:vAlign w:val="center"/>
          </w:tcPr>
          <w:p w14:paraId="24C02DAE">
            <w:pPr>
              <w:spacing w:before="32" w:after="32"/>
              <w:jc w:val="center"/>
              <w:rPr>
                <w:rFonts w:hint="default" w:ascii="Times New Roman" w:hAnsi="Times New Roman" w:cs="Times New Roman" w:eastAsiaTheme="minorEastAsia"/>
                <w:snapToGrid w:val="0"/>
                <w:kern w:val="21"/>
                <w:szCs w:val="21"/>
                <w:lang w:val="en-US" w:eastAsia="zh-CN"/>
              </w:rPr>
            </w:pPr>
            <w:r>
              <w:rPr>
                <w:rFonts w:hint="default" w:ascii="Times New Roman" w:hAnsi="Times New Roman" w:cs="Times New Roman"/>
                <w:snapToGrid w:val="0"/>
                <w:kern w:val="21"/>
                <w:szCs w:val="21"/>
                <w:lang w:val="en-US" w:eastAsia="zh-CN"/>
              </w:rPr>
              <w:t>/</w:t>
            </w:r>
          </w:p>
        </w:tc>
        <w:tc>
          <w:tcPr>
            <w:tcW w:w="602" w:type="pct"/>
            <w:vAlign w:val="center"/>
          </w:tcPr>
          <w:p w14:paraId="67CDCE5D">
            <w:pPr>
              <w:spacing w:before="32" w:after="32"/>
              <w:jc w:val="center"/>
              <w:rPr>
                <w:rFonts w:hint="default" w:ascii="Times New Roman" w:hAnsi="Times New Roman" w:cs="Times New Roman"/>
                <w:snapToGrid w:val="0"/>
                <w:kern w:val="21"/>
                <w:szCs w:val="21"/>
              </w:rPr>
            </w:pPr>
            <w:r>
              <w:rPr>
                <w:rFonts w:hint="default" w:ascii="Times New Roman" w:hAnsi="Times New Roman" w:cs="Times New Roman"/>
                <w:snapToGrid w:val="0"/>
                <w:kern w:val="21"/>
                <w:szCs w:val="21"/>
                <w:lang w:val="en-US" w:eastAsia="zh-CN"/>
              </w:rPr>
              <w:t>0</w:t>
            </w:r>
          </w:p>
        </w:tc>
        <w:tc>
          <w:tcPr>
            <w:tcW w:w="550" w:type="pct"/>
            <w:shd w:val="clear" w:color="auto" w:fill="auto"/>
            <w:vAlign w:val="center"/>
          </w:tcPr>
          <w:p w14:paraId="30FBA63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0.0072</w:t>
            </w:r>
          </w:p>
        </w:tc>
        <w:tc>
          <w:tcPr>
            <w:tcW w:w="624" w:type="pct"/>
            <w:vAlign w:val="center"/>
          </w:tcPr>
          <w:p w14:paraId="16CDE579">
            <w:pPr>
              <w:spacing w:before="32" w:after="32"/>
              <w:jc w:val="center"/>
              <w:rPr>
                <w:rFonts w:hint="default" w:ascii="Times New Roman" w:hAnsi="Times New Roman" w:cs="Times New Roman" w:eastAsiaTheme="minorEastAsia"/>
                <w:snapToGrid w:val="0"/>
                <w:kern w:val="21"/>
                <w:szCs w:val="21"/>
                <w:lang w:val="en-US" w:eastAsia="zh-CN"/>
              </w:rPr>
            </w:pPr>
            <w:r>
              <w:rPr>
                <w:rFonts w:hint="default" w:ascii="Times New Roman" w:hAnsi="Times New Roman" w:cs="Times New Roman"/>
                <w:snapToGrid w:val="0"/>
                <w:kern w:val="21"/>
                <w:szCs w:val="21"/>
                <w:lang w:val="en-US" w:eastAsia="zh-CN"/>
              </w:rPr>
              <w:t>0</w:t>
            </w:r>
          </w:p>
        </w:tc>
        <w:tc>
          <w:tcPr>
            <w:tcW w:w="694" w:type="pct"/>
            <w:shd w:val="clear" w:color="auto" w:fill="auto"/>
            <w:vAlign w:val="center"/>
          </w:tcPr>
          <w:p w14:paraId="1A3A88F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0.0072</w:t>
            </w:r>
          </w:p>
        </w:tc>
        <w:tc>
          <w:tcPr>
            <w:tcW w:w="417" w:type="pct"/>
            <w:shd w:val="clear" w:color="auto" w:fill="auto"/>
            <w:vAlign w:val="center"/>
          </w:tcPr>
          <w:p w14:paraId="6E29D40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+0.0072</w:t>
            </w:r>
          </w:p>
        </w:tc>
      </w:tr>
      <w:tr w14:paraId="4E6AB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560" w:type="pct"/>
            <w:vMerge w:val="continue"/>
            <w:vAlign w:val="center"/>
          </w:tcPr>
          <w:p w14:paraId="016CA455">
            <w:pPr>
              <w:widowControl/>
              <w:spacing w:beforeAutospacing="1" w:afterAutospacing="1"/>
              <w:jc w:val="center"/>
              <w:rPr>
                <w:rFonts w:hint="default" w:ascii="Times New Roman" w:hAnsi="Times New Roman" w:cs="Times New Roman"/>
                <w:b/>
                <w:snapToGrid w:val="0"/>
                <w:kern w:val="21"/>
                <w:szCs w:val="21"/>
              </w:rPr>
            </w:pPr>
          </w:p>
        </w:tc>
        <w:tc>
          <w:tcPr>
            <w:tcW w:w="571" w:type="pct"/>
            <w:vAlign w:val="center"/>
          </w:tcPr>
          <w:p w14:paraId="08089FC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eastAsiaTheme="minorEastAsia"/>
                <w:snapToGrid w:val="0"/>
                <w:kern w:val="21"/>
                <w:szCs w:val="21"/>
                <w:lang w:val="en-US" w:eastAsia="zh-CN"/>
              </w:rPr>
            </w:pPr>
            <w:r>
              <w:rPr>
                <w:rFonts w:hint="eastAsia" w:ascii="Times New Roman" w:hAnsi="Times New Roman" w:eastAsia="宋体" w:cs="Times New Roman"/>
                <w:kern w:val="0"/>
                <w:sz w:val="21"/>
                <w:szCs w:val="21"/>
                <w:vertAlign w:val="baseline"/>
                <w:lang w:val="en-US" w:eastAsia="zh-CN"/>
              </w:rPr>
              <w:t>TP</w:t>
            </w:r>
          </w:p>
        </w:tc>
        <w:tc>
          <w:tcPr>
            <w:tcW w:w="529" w:type="pct"/>
            <w:shd w:val="clear" w:color="auto" w:fill="auto"/>
            <w:vAlign w:val="center"/>
          </w:tcPr>
          <w:p w14:paraId="4D4EF6B6">
            <w:pPr>
              <w:spacing w:before="32" w:after="32"/>
              <w:jc w:val="center"/>
              <w:rPr>
                <w:rFonts w:hint="default" w:ascii="Times New Roman" w:hAnsi="Times New Roman" w:cs="Times New Roman" w:eastAsiaTheme="minorEastAsia"/>
                <w:snapToGrid w:val="0"/>
                <w:kern w:val="21"/>
                <w:sz w:val="21"/>
                <w:szCs w:val="21"/>
                <w:lang w:val="en-US" w:eastAsia="zh-CN" w:bidi="ar-SA"/>
              </w:rPr>
            </w:pPr>
            <w:r>
              <w:rPr>
                <w:rFonts w:hint="default" w:ascii="Times New Roman" w:hAnsi="Times New Roman" w:eastAsia="宋体" w:cs="Times New Roman"/>
                <w:spacing w:val="-1"/>
                <w:sz w:val="21"/>
                <w:szCs w:val="21"/>
                <w:lang w:val="en-US" w:eastAsia="zh-CN"/>
              </w:rPr>
              <w:t>0</w:t>
            </w:r>
          </w:p>
        </w:tc>
        <w:tc>
          <w:tcPr>
            <w:tcW w:w="448" w:type="pct"/>
            <w:shd w:val="clear" w:color="auto" w:fill="auto"/>
            <w:vAlign w:val="center"/>
          </w:tcPr>
          <w:p w14:paraId="52881247">
            <w:pPr>
              <w:spacing w:before="32" w:after="32"/>
              <w:jc w:val="center"/>
              <w:rPr>
                <w:rFonts w:hint="default" w:ascii="Times New Roman" w:hAnsi="Times New Roman" w:cs="Times New Roman" w:eastAsiaTheme="minorEastAsia"/>
                <w:snapToGrid w:val="0"/>
                <w:kern w:val="21"/>
                <w:sz w:val="21"/>
                <w:szCs w:val="21"/>
                <w:lang w:val="en-US" w:eastAsia="zh-CN" w:bidi="ar-SA"/>
              </w:rPr>
            </w:pPr>
            <w:r>
              <w:rPr>
                <w:rFonts w:hint="default" w:ascii="Times New Roman" w:hAnsi="Times New Roman" w:cs="Times New Roman"/>
                <w:snapToGrid w:val="0"/>
                <w:kern w:val="21"/>
                <w:szCs w:val="21"/>
                <w:lang w:val="en-US" w:eastAsia="zh-CN"/>
              </w:rPr>
              <w:t>/</w:t>
            </w:r>
          </w:p>
        </w:tc>
        <w:tc>
          <w:tcPr>
            <w:tcW w:w="602" w:type="pct"/>
            <w:shd w:val="clear" w:color="auto" w:fill="auto"/>
            <w:vAlign w:val="center"/>
          </w:tcPr>
          <w:p w14:paraId="119F41C3">
            <w:pPr>
              <w:spacing w:before="32" w:after="32"/>
              <w:jc w:val="center"/>
              <w:rPr>
                <w:rFonts w:hint="default" w:ascii="Times New Roman" w:hAnsi="Times New Roman" w:cs="Times New Roman" w:eastAsiaTheme="minorEastAsia"/>
                <w:snapToGrid w:val="0"/>
                <w:kern w:val="21"/>
                <w:sz w:val="21"/>
                <w:szCs w:val="21"/>
                <w:lang w:val="en-US" w:eastAsia="zh-CN" w:bidi="ar-SA"/>
              </w:rPr>
            </w:pPr>
            <w:r>
              <w:rPr>
                <w:rFonts w:hint="default" w:ascii="Times New Roman" w:hAnsi="Times New Roman" w:cs="Times New Roman"/>
                <w:snapToGrid w:val="0"/>
                <w:kern w:val="21"/>
                <w:szCs w:val="21"/>
                <w:lang w:val="en-US" w:eastAsia="zh-CN"/>
              </w:rPr>
              <w:t>0</w:t>
            </w:r>
          </w:p>
        </w:tc>
        <w:tc>
          <w:tcPr>
            <w:tcW w:w="550" w:type="pct"/>
            <w:shd w:val="clear" w:color="auto" w:fill="auto"/>
            <w:vAlign w:val="center"/>
          </w:tcPr>
          <w:p w14:paraId="01C6BDE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0.0009</w:t>
            </w:r>
          </w:p>
        </w:tc>
        <w:tc>
          <w:tcPr>
            <w:tcW w:w="624" w:type="pct"/>
            <w:vAlign w:val="center"/>
          </w:tcPr>
          <w:p w14:paraId="65178AB5">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0</w:t>
            </w:r>
          </w:p>
        </w:tc>
        <w:tc>
          <w:tcPr>
            <w:tcW w:w="694" w:type="pct"/>
            <w:shd w:val="clear" w:color="auto" w:fill="auto"/>
            <w:vAlign w:val="center"/>
          </w:tcPr>
          <w:p w14:paraId="3A9703B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0.0009</w:t>
            </w:r>
          </w:p>
        </w:tc>
        <w:tc>
          <w:tcPr>
            <w:tcW w:w="417" w:type="pct"/>
            <w:shd w:val="clear" w:color="auto" w:fill="auto"/>
            <w:vAlign w:val="center"/>
          </w:tcPr>
          <w:p w14:paraId="68C65EB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+0.0009</w:t>
            </w:r>
          </w:p>
        </w:tc>
      </w:tr>
      <w:tr w14:paraId="14BBE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rPr>
        <w:tc>
          <w:tcPr>
            <w:tcW w:w="560" w:type="pct"/>
            <w:vMerge w:val="continue"/>
            <w:vAlign w:val="center"/>
          </w:tcPr>
          <w:p w14:paraId="1FB28FDD">
            <w:pPr>
              <w:widowControl/>
              <w:spacing w:beforeAutospacing="1" w:afterAutospacing="1"/>
              <w:jc w:val="center"/>
              <w:rPr>
                <w:rFonts w:hint="default" w:ascii="Times New Roman" w:hAnsi="Times New Roman" w:cs="Times New Roman"/>
                <w:b/>
                <w:snapToGrid w:val="0"/>
                <w:kern w:val="21"/>
                <w:szCs w:val="21"/>
              </w:rPr>
            </w:pPr>
          </w:p>
        </w:tc>
        <w:tc>
          <w:tcPr>
            <w:tcW w:w="571" w:type="pct"/>
            <w:vAlign w:val="center"/>
          </w:tcPr>
          <w:p w14:paraId="0977E35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vertAlign w:val="baseline"/>
                <w:lang w:val="en-US" w:eastAsia="zh-CN"/>
              </w:rPr>
            </w:pPr>
            <w:r>
              <w:rPr>
                <w:rFonts w:hint="eastAsia" w:ascii="Times New Roman" w:hAnsi="Times New Roman" w:eastAsia="宋体" w:cs="Times New Roman"/>
                <w:kern w:val="0"/>
                <w:sz w:val="21"/>
                <w:szCs w:val="21"/>
                <w:vertAlign w:val="baseline"/>
                <w:lang w:val="en-US" w:eastAsia="zh-CN"/>
              </w:rPr>
              <w:t>TN</w:t>
            </w:r>
          </w:p>
        </w:tc>
        <w:tc>
          <w:tcPr>
            <w:tcW w:w="529" w:type="pct"/>
            <w:shd w:val="clear" w:color="auto" w:fill="auto"/>
            <w:vAlign w:val="center"/>
          </w:tcPr>
          <w:p w14:paraId="646052E2">
            <w:pPr>
              <w:spacing w:before="32" w:after="32"/>
              <w:jc w:val="center"/>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0</w:t>
            </w:r>
          </w:p>
        </w:tc>
        <w:tc>
          <w:tcPr>
            <w:tcW w:w="448" w:type="pct"/>
            <w:shd w:val="clear" w:color="auto" w:fill="auto"/>
            <w:vAlign w:val="center"/>
          </w:tcPr>
          <w:p w14:paraId="1B18E600">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w:t>
            </w:r>
          </w:p>
        </w:tc>
        <w:tc>
          <w:tcPr>
            <w:tcW w:w="602" w:type="pct"/>
            <w:shd w:val="clear" w:color="auto" w:fill="auto"/>
            <w:vAlign w:val="center"/>
          </w:tcPr>
          <w:p w14:paraId="7802A10C">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0</w:t>
            </w:r>
          </w:p>
        </w:tc>
        <w:tc>
          <w:tcPr>
            <w:tcW w:w="550" w:type="pct"/>
            <w:shd w:val="clear" w:color="auto" w:fill="auto"/>
            <w:vAlign w:val="center"/>
          </w:tcPr>
          <w:p w14:paraId="4068804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0.0108</w:t>
            </w:r>
          </w:p>
        </w:tc>
        <w:tc>
          <w:tcPr>
            <w:tcW w:w="624" w:type="pct"/>
            <w:vAlign w:val="center"/>
          </w:tcPr>
          <w:p w14:paraId="4AA5CFF8">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0</w:t>
            </w:r>
          </w:p>
        </w:tc>
        <w:tc>
          <w:tcPr>
            <w:tcW w:w="694" w:type="pct"/>
            <w:shd w:val="clear" w:color="auto" w:fill="auto"/>
            <w:vAlign w:val="center"/>
          </w:tcPr>
          <w:p w14:paraId="5F2BF32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0.0108</w:t>
            </w:r>
          </w:p>
        </w:tc>
        <w:tc>
          <w:tcPr>
            <w:tcW w:w="417" w:type="pct"/>
            <w:shd w:val="clear" w:color="auto" w:fill="auto"/>
            <w:vAlign w:val="center"/>
          </w:tcPr>
          <w:p w14:paraId="6BD1FD6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+0.0108</w:t>
            </w:r>
          </w:p>
        </w:tc>
      </w:tr>
      <w:tr w14:paraId="6C9F1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0" w:hRule="atLeast"/>
        </w:trPr>
        <w:tc>
          <w:tcPr>
            <w:tcW w:w="560" w:type="pct"/>
            <w:vMerge w:val="restart"/>
            <w:vAlign w:val="center"/>
          </w:tcPr>
          <w:p w14:paraId="65952F86">
            <w:pPr>
              <w:spacing w:before="32" w:after="32"/>
              <w:jc w:val="center"/>
              <w:rPr>
                <w:rFonts w:hint="default" w:ascii="Times New Roman" w:hAnsi="Times New Roman" w:cs="Times New Roman"/>
                <w:b/>
                <w:snapToGrid w:val="0"/>
                <w:kern w:val="21"/>
                <w:szCs w:val="21"/>
              </w:rPr>
            </w:pPr>
            <w:r>
              <w:rPr>
                <w:rFonts w:hint="default" w:ascii="Times New Roman" w:hAnsi="Times New Roman" w:cs="Times New Roman"/>
                <w:b/>
                <w:snapToGrid w:val="0"/>
                <w:kern w:val="21"/>
                <w:szCs w:val="21"/>
              </w:rPr>
              <w:t>一般工业</w:t>
            </w:r>
          </w:p>
          <w:p w14:paraId="50A758A6">
            <w:pPr>
              <w:spacing w:before="32" w:after="32"/>
              <w:jc w:val="center"/>
              <w:rPr>
                <w:rFonts w:hint="default" w:ascii="Times New Roman" w:hAnsi="Times New Roman" w:cs="Times New Roman"/>
                <w:b/>
                <w:snapToGrid w:val="0"/>
                <w:kern w:val="21"/>
                <w:szCs w:val="21"/>
              </w:rPr>
            </w:pPr>
            <w:r>
              <w:rPr>
                <w:rFonts w:hint="default" w:ascii="Times New Roman" w:hAnsi="Times New Roman" w:cs="Times New Roman"/>
                <w:b/>
                <w:snapToGrid w:val="0"/>
                <w:kern w:val="21"/>
                <w:szCs w:val="21"/>
              </w:rPr>
              <w:t>固体废物</w:t>
            </w:r>
          </w:p>
        </w:tc>
        <w:tc>
          <w:tcPr>
            <w:tcW w:w="571" w:type="pct"/>
            <w:shd w:val="clear" w:color="auto" w:fill="auto"/>
            <w:vAlign w:val="center"/>
          </w:tcPr>
          <w:p w14:paraId="11AB2DB6">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生活垃圾</w:t>
            </w:r>
          </w:p>
        </w:tc>
        <w:tc>
          <w:tcPr>
            <w:tcW w:w="529" w:type="pct"/>
            <w:vAlign w:val="center"/>
          </w:tcPr>
          <w:p w14:paraId="5C8CD2A0">
            <w:pPr>
              <w:spacing w:before="32" w:after="32"/>
              <w:jc w:val="center"/>
              <w:rPr>
                <w:rFonts w:hint="default" w:ascii="Times New Roman" w:hAnsi="Times New Roman" w:cs="Times New Roman" w:eastAsiaTheme="minorEastAsia"/>
                <w:snapToGrid w:val="0"/>
                <w:kern w:val="21"/>
                <w:szCs w:val="21"/>
                <w:lang w:val="en-US" w:eastAsia="zh-CN"/>
              </w:rPr>
            </w:pPr>
            <w:r>
              <w:rPr>
                <w:rFonts w:hint="default" w:ascii="Times New Roman" w:hAnsi="Times New Roman" w:cs="Times New Roman"/>
                <w:snapToGrid w:val="0"/>
                <w:kern w:val="21"/>
                <w:szCs w:val="21"/>
                <w:lang w:val="en-US" w:eastAsia="zh-CN"/>
              </w:rPr>
              <w:t>0</w:t>
            </w:r>
          </w:p>
        </w:tc>
        <w:tc>
          <w:tcPr>
            <w:tcW w:w="448" w:type="pct"/>
            <w:vAlign w:val="center"/>
          </w:tcPr>
          <w:p w14:paraId="2F731BDE">
            <w:pPr>
              <w:spacing w:before="32" w:after="32"/>
              <w:jc w:val="center"/>
              <w:rPr>
                <w:rFonts w:hint="default" w:ascii="Times New Roman" w:hAnsi="Times New Roman" w:cs="Times New Roman" w:eastAsiaTheme="minorEastAsia"/>
                <w:snapToGrid w:val="0"/>
                <w:kern w:val="21"/>
                <w:sz w:val="21"/>
                <w:szCs w:val="21"/>
                <w:lang w:val="en-US" w:eastAsia="zh-CN" w:bidi="ar-SA"/>
              </w:rPr>
            </w:pPr>
            <w:r>
              <w:rPr>
                <w:rFonts w:hint="default" w:ascii="Times New Roman" w:hAnsi="Times New Roman" w:cs="Times New Roman"/>
                <w:snapToGrid w:val="0"/>
                <w:kern w:val="21"/>
                <w:sz w:val="21"/>
                <w:szCs w:val="21"/>
                <w:lang w:val="en-US" w:eastAsia="zh-CN" w:bidi="ar-SA"/>
              </w:rPr>
              <w:t>/</w:t>
            </w:r>
          </w:p>
        </w:tc>
        <w:tc>
          <w:tcPr>
            <w:tcW w:w="602" w:type="pct"/>
            <w:vAlign w:val="center"/>
          </w:tcPr>
          <w:p w14:paraId="50B60E17">
            <w:pPr>
              <w:spacing w:before="32" w:after="32"/>
              <w:jc w:val="center"/>
              <w:rPr>
                <w:rFonts w:hint="default" w:ascii="Times New Roman" w:hAnsi="Times New Roman" w:cs="Times New Roman"/>
                <w:snapToGrid w:val="0"/>
                <w:kern w:val="21"/>
                <w:szCs w:val="21"/>
              </w:rPr>
            </w:pPr>
            <w:r>
              <w:rPr>
                <w:rFonts w:hint="default" w:ascii="Times New Roman" w:hAnsi="Times New Roman" w:cs="Times New Roman"/>
                <w:snapToGrid w:val="0"/>
                <w:kern w:val="21"/>
                <w:szCs w:val="21"/>
                <w:lang w:val="en-US" w:eastAsia="zh-CN"/>
              </w:rPr>
              <w:t>0</w:t>
            </w:r>
          </w:p>
        </w:tc>
        <w:tc>
          <w:tcPr>
            <w:tcW w:w="550" w:type="pct"/>
            <w:shd w:val="clear" w:color="auto" w:fill="auto"/>
            <w:vAlign w:val="center"/>
          </w:tcPr>
          <w:p w14:paraId="5F704CEF">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4.5</w:t>
            </w:r>
          </w:p>
        </w:tc>
        <w:tc>
          <w:tcPr>
            <w:tcW w:w="624" w:type="pct"/>
            <w:vAlign w:val="center"/>
          </w:tcPr>
          <w:p w14:paraId="2C936209">
            <w:pPr>
              <w:spacing w:before="32" w:after="32"/>
              <w:jc w:val="center"/>
              <w:rPr>
                <w:rFonts w:hint="default" w:ascii="Times New Roman" w:hAnsi="Times New Roman" w:cs="Times New Roman" w:eastAsiaTheme="minorEastAsia"/>
                <w:snapToGrid w:val="0"/>
                <w:kern w:val="21"/>
                <w:szCs w:val="21"/>
                <w:lang w:val="en-US" w:eastAsia="zh-CN"/>
              </w:rPr>
            </w:pPr>
            <w:r>
              <w:rPr>
                <w:rFonts w:hint="default" w:ascii="Times New Roman" w:hAnsi="Times New Roman" w:cs="Times New Roman"/>
                <w:snapToGrid w:val="0"/>
                <w:kern w:val="21"/>
                <w:szCs w:val="21"/>
                <w:lang w:val="en-US" w:eastAsia="zh-CN"/>
              </w:rPr>
              <w:t>0</w:t>
            </w:r>
          </w:p>
        </w:tc>
        <w:tc>
          <w:tcPr>
            <w:tcW w:w="694" w:type="pct"/>
            <w:shd w:val="clear" w:color="auto" w:fill="auto"/>
            <w:vAlign w:val="center"/>
          </w:tcPr>
          <w:p w14:paraId="135CDDD4">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4.5</w:t>
            </w:r>
          </w:p>
        </w:tc>
        <w:tc>
          <w:tcPr>
            <w:tcW w:w="417" w:type="pct"/>
            <w:shd w:val="clear" w:color="auto" w:fill="auto"/>
            <w:vAlign w:val="center"/>
          </w:tcPr>
          <w:p w14:paraId="52CE4299">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w:t>
            </w:r>
            <w:r>
              <w:rPr>
                <w:rFonts w:hint="default" w:ascii="Times New Roman" w:hAnsi="Times New Roman" w:eastAsia="宋体" w:cs="Times New Roman"/>
                <w:b w:val="0"/>
                <w:bCs/>
                <w:sz w:val="21"/>
                <w:szCs w:val="21"/>
                <w:lang w:val="en-US" w:eastAsia="zh-CN"/>
              </w:rPr>
              <w:t>4.5</w:t>
            </w:r>
          </w:p>
        </w:tc>
      </w:tr>
      <w:tr w14:paraId="53E8F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0" w:hRule="atLeast"/>
        </w:trPr>
        <w:tc>
          <w:tcPr>
            <w:tcW w:w="560" w:type="pct"/>
            <w:vMerge w:val="continue"/>
            <w:vAlign w:val="center"/>
          </w:tcPr>
          <w:p w14:paraId="5DC1B65B">
            <w:pPr>
              <w:spacing w:before="32" w:after="32"/>
              <w:jc w:val="center"/>
              <w:rPr>
                <w:rFonts w:hint="default" w:ascii="Times New Roman" w:hAnsi="Times New Roman" w:cs="Times New Roman"/>
              </w:rPr>
            </w:pPr>
          </w:p>
        </w:tc>
        <w:tc>
          <w:tcPr>
            <w:tcW w:w="571" w:type="pct"/>
            <w:shd w:val="clear" w:color="auto" w:fill="auto"/>
            <w:vAlign w:val="center"/>
          </w:tcPr>
          <w:p w14:paraId="21396F57">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废外包装材料</w:t>
            </w:r>
          </w:p>
        </w:tc>
        <w:tc>
          <w:tcPr>
            <w:tcW w:w="529" w:type="pct"/>
            <w:vAlign w:val="center"/>
          </w:tcPr>
          <w:p w14:paraId="0E8790EA">
            <w:pPr>
              <w:spacing w:before="32" w:after="32"/>
              <w:jc w:val="center"/>
              <w:rPr>
                <w:rFonts w:hint="default" w:ascii="Times New Roman" w:hAnsi="Times New Roman" w:cs="Times New Roman" w:eastAsiaTheme="minorEastAsia"/>
                <w:snapToGrid w:val="0"/>
                <w:kern w:val="21"/>
                <w:sz w:val="21"/>
                <w:szCs w:val="21"/>
                <w:lang w:val="en-US" w:eastAsia="zh-CN" w:bidi="ar-SA"/>
              </w:rPr>
            </w:pPr>
            <w:r>
              <w:rPr>
                <w:rFonts w:hint="default" w:ascii="Times New Roman" w:hAnsi="Times New Roman" w:cs="Times New Roman"/>
                <w:snapToGrid w:val="0"/>
                <w:kern w:val="21"/>
                <w:szCs w:val="21"/>
                <w:lang w:val="en-US" w:eastAsia="zh-CN"/>
              </w:rPr>
              <w:t>0</w:t>
            </w:r>
          </w:p>
        </w:tc>
        <w:tc>
          <w:tcPr>
            <w:tcW w:w="448" w:type="pct"/>
            <w:vAlign w:val="center"/>
          </w:tcPr>
          <w:p w14:paraId="4F5D5345">
            <w:pPr>
              <w:spacing w:before="32" w:after="32"/>
              <w:jc w:val="center"/>
              <w:rPr>
                <w:rFonts w:hint="default" w:ascii="Times New Roman" w:hAnsi="Times New Roman" w:cs="Times New Roman" w:eastAsiaTheme="minorEastAsia"/>
                <w:snapToGrid w:val="0"/>
                <w:kern w:val="21"/>
                <w:sz w:val="21"/>
                <w:szCs w:val="21"/>
                <w:lang w:val="en-US" w:eastAsia="zh-CN" w:bidi="ar-SA"/>
              </w:rPr>
            </w:pPr>
            <w:r>
              <w:rPr>
                <w:rFonts w:hint="default" w:ascii="Times New Roman" w:hAnsi="Times New Roman" w:cs="Times New Roman"/>
                <w:snapToGrid w:val="0"/>
                <w:kern w:val="21"/>
                <w:sz w:val="21"/>
                <w:szCs w:val="21"/>
                <w:lang w:val="en-US" w:eastAsia="zh-CN" w:bidi="ar-SA"/>
              </w:rPr>
              <w:t>/</w:t>
            </w:r>
          </w:p>
        </w:tc>
        <w:tc>
          <w:tcPr>
            <w:tcW w:w="602" w:type="pct"/>
            <w:vAlign w:val="center"/>
          </w:tcPr>
          <w:p w14:paraId="121E84D3">
            <w:pPr>
              <w:spacing w:before="32" w:after="32"/>
              <w:jc w:val="center"/>
              <w:rPr>
                <w:rFonts w:hint="default" w:ascii="Times New Roman" w:hAnsi="Times New Roman" w:cs="Times New Roman" w:eastAsiaTheme="minorEastAsia"/>
                <w:snapToGrid w:val="0"/>
                <w:kern w:val="21"/>
                <w:sz w:val="21"/>
                <w:szCs w:val="21"/>
                <w:lang w:val="en-US" w:eastAsia="zh-CN" w:bidi="ar-SA"/>
              </w:rPr>
            </w:pPr>
            <w:r>
              <w:rPr>
                <w:rFonts w:hint="default" w:ascii="Times New Roman" w:hAnsi="Times New Roman" w:cs="Times New Roman"/>
                <w:snapToGrid w:val="0"/>
                <w:kern w:val="21"/>
                <w:szCs w:val="21"/>
                <w:lang w:val="en-US" w:eastAsia="zh-CN"/>
              </w:rPr>
              <w:t>0</w:t>
            </w:r>
          </w:p>
        </w:tc>
        <w:tc>
          <w:tcPr>
            <w:tcW w:w="550" w:type="pct"/>
            <w:shd w:val="clear" w:color="auto" w:fill="auto"/>
            <w:vAlign w:val="center"/>
          </w:tcPr>
          <w:p w14:paraId="05FC5BE3">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0.5</w:t>
            </w:r>
          </w:p>
        </w:tc>
        <w:tc>
          <w:tcPr>
            <w:tcW w:w="624" w:type="pct"/>
            <w:vAlign w:val="center"/>
          </w:tcPr>
          <w:p w14:paraId="2144673A">
            <w:pPr>
              <w:spacing w:before="32" w:after="32"/>
              <w:jc w:val="center"/>
              <w:rPr>
                <w:rFonts w:hint="default" w:ascii="Times New Roman" w:hAnsi="Times New Roman" w:eastAsia="宋体" w:cs="Times New Roman"/>
                <w:snapToGrid w:val="0"/>
                <w:kern w:val="21"/>
                <w:szCs w:val="21"/>
                <w:lang w:val="en-US" w:eastAsia="zh-CN"/>
              </w:rPr>
            </w:pPr>
            <w:r>
              <w:rPr>
                <w:rFonts w:hint="eastAsia" w:ascii="Times New Roman" w:hAnsi="Times New Roman" w:eastAsia="宋体" w:cs="Times New Roman"/>
                <w:snapToGrid w:val="0"/>
                <w:kern w:val="21"/>
                <w:szCs w:val="21"/>
                <w:lang w:val="en-US" w:eastAsia="zh-CN"/>
              </w:rPr>
              <w:t>0</w:t>
            </w:r>
          </w:p>
        </w:tc>
        <w:tc>
          <w:tcPr>
            <w:tcW w:w="694" w:type="pct"/>
            <w:shd w:val="clear" w:color="auto" w:fill="auto"/>
            <w:vAlign w:val="center"/>
          </w:tcPr>
          <w:p w14:paraId="255B4C3C">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0.5</w:t>
            </w:r>
          </w:p>
        </w:tc>
        <w:tc>
          <w:tcPr>
            <w:tcW w:w="417" w:type="pct"/>
            <w:shd w:val="clear" w:color="auto" w:fill="auto"/>
            <w:vAlign w:val="center"/>
          </w:tcPr>
          <w:p w14:paraId="255B94FA">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w:t>
            </w:r>
            <w:r>
              <w:rPr>
                <w:rFonts w:hint="default" w:ascii="Times New Roman" w:hAnsi="Times New Roman" w:eastAsia="宋体" w:cs="Times New Roman"/>
                <w:b w:val="0"/>
                <w:bCs/>
                <w:sz w:val="21"/>
                <w:szCs w:val="21"/>
                <w:lang w:val="en-US" w:eastAsia="zh-CN"/>
              </w:rPr>
              <w:t>0.5</w:t>
            </w:r>
          </w:p>
        </w:tc>
      </w:tr>
      <w:tr w14:paraId="7C809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0" w:hRule="atLeast"/>
        </w:trPr>
        <w:tc>
          <w:tcPr>
            <w:tcW w:w="560" w:type="pct"/>
            <w:vMerge w:val="continue"/>
            <w:vAlign w:val="center"/>
          </w:tcPr>
          <w:p w14:paraId="4994D90A">
            <w:pPr>
              <w:spacing w:before="32" w:after="32"/>
              <w:jc w:val="center"/>
              <w:rPr>
                <w:rFonts w:hint="default" w:ascii="Times New Roman" w:hAnsi="Times New Roman" w:cs="Times New Roman"/>
              </w:rPr>
            </w:pPr>
          </w:p>
        </w:tc>
        <w:tc>
          <w:tcPr>
            <w:tcW w:w="571" w:type="pct"/>
            <w:shd w:val="clear" w:color="auto" w:fill="auto"/>
            <w:vAlign w:val="center"/>
          </w:tcPr>
          <w:p w14:paraId="78B448F7">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锡渣</w:t>
            </w:r>
          </w:p>
        </w:tc>
        <w:tc>
          <w:tcPr>
            <w:tcW w:w="529" w:type="pct"/>
            <w:vAlign w:val="center"/>
          </w:tcPr>
          <w:p w14:paraId="586C5845">
            <w:pPr>
              <w:spacing w:before="32" w:after="32"/>
              <w:jc w:val="center"/>
              <w:rPr>
                <w:rFonts w:hint="default" w:ascii="Times New Roman" w:hAnsi="Times New Roman" w:cs="Times New Roman"/>
                <w:snapToGrid w:val="0"/>
                <w:kern w:val="21"/>
                <w:szCs w:val="21"/>
                <w:lang w:val="en-US" w:eastAsia="zh-CN"/>
              </w:rPr>
            </w:pPr>
            <w:r>
              <w:rPr>
                <w:rFonts w:hint="default" w:ascii="Times New Roman" w:hAnsi="Times New Roman" w:eastAsia="宋体" w:cs="Times New Roman"/>
                <w:spacing w:val="-1"/>
                <w:sz w:val="21"/>
                <w:szCs w:val="21"/>
                <w:lang w:val="en-US" w:eastAsia="zh-CN"/>
              </w:rPr>
              <w:t>0</w:t>
            </w:r>
          </w:p>
        </w:tc>
        <w:tc>
          <w:tcPr>
            <w:tcW w:w="448" w:type="pct"/>
            <w:vAlign w:val="center"/>
          </w:tcPr>
          <w:p w14:paraId="02A306E0">
            <w:pPr>
              <w:spacing w:before="32" w:after="32"/>
              <w:jc w:val="center"/>
              <w:rPr>
                <w:rFonts w:hint="default" w:ascii="Times New Roman" w:hAnsi="Times New Roman" w:cs="Times New Roman"/>
                <w:snapToGrid w:val="0"/>
                <w:kern w:val="21"/>
                <w:sz w:val="21"/>
                <w:szCs w:val="21"/>
                <w:lang w:val="en-US" w:eastAsia="zh-CN" w:bidi="ar-SA"/>
              </w:rPr>
            </w:pPr>
            <w:r>
              <w:rPr>
                <w:rFonts w:hint="default" w:ascii="Times New Roman" w:hAnsi="Times New Roman" w:cs="Times New Roman"/>
                <w:snapToGrid w:val="0"/>
                <w:kern w:val="21"/>
                <w:szCs w:val="21"/>
                <w:lang w:val="en-US" w:eastAsia="zh-CN"/>
              </w:rPr>
              <w:t>/</w:t>
            </w:r>
          </w:p>
        </w:tc>
        <w:tc>
          <w:tcPr>
            <w:tcW w:w="602" w:type="pct"/>
            <w:vAlign w:val="center"/>
          </w:tcPr>
          <w:p w14:paraId="4D3B97F1">
            <w:pPr>
              <w:spacing w:before="32" w:after="32"/>
              <w:jc w:val="center"/>
              <w:rPr>
                <w:rFonts w:hint="default" w:ascii="Times New Roman" w:hAnsi="Times New Roman" w:cs="Times New Roman"/>
                <w:snapToGrid w:val="0"/>
                <w:kern w:val="21"/>
                <w:szCs w:val="21"/>
                <w:lang w:val="en-US" w:eastAsia="zh-CN"/>
              </w:rPr>
            </w:pPr>
            <w:r>
              <w:rPr>
                <w:rFonts w:hint="default" w:ascii="Times New Roman" w:hAnsi="Times New Roman" w:cs="Times New Roman"/>
                <w:snapToGrid w:val="0"/>
                <w:kern w:val="21"/>
                <w:szCs w:val="21"/>
                <w:lang w:val="en-US" w:eastAsia="zh-CN"/>
              </w:rPr>
              <w:t>0</w:t>
            </w:r>
          </w:p>
        </w:tc>
        <w:tc>
          <w:tcPr>
            <w:tcW w:w="550" w:type="pct"/>
            <w:shd w:val="clear" w:color="auto" w:fill="auto"/>
            <w:vAlign w:val="center"/>
          </w:tcPr>
          <w:p w14:paraId="330FDE46">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0.001</w:t>
            </w:r>
          </w:p>
        </w:tc>
        <w:tc>
          <w:tcPr>
            <w:tcW w:w="624" w:type="pct"/>
            <w:vAlign w:val="center"/>
          </w:tcPr>
          <w:p w14:paraId="565AB49E">
            <w:pPr>
              <w:spacing w:before="32" w:after="32"/>
              <w:jc w:val="center"/>
              <w:rPr>
                <w:rFonts w:hint="eastAsia" w:ascii="Times New Roman" w:hAnsi="Times New Roman" w:eastAsia="宋体" w:cs="Times New Roman"/>
                <w:snapToGrid w:val="0"/>
                <w:kern w:val="21"/>
                <w:szCs w:val="21"/>
                <w:lang w:val="en-US" w:eastAsia="zh-CN"/>
              </w:rPr>
            </w:pPr>
            <w:r>
              <w:rPr>
                <w:rFonts w:hint="eastAsia" w:ascii="Times New Roman" w:hAnsi="Times New Roman" w:eastAsia="宋体" w:cs="Times New Roman"/>
                <w:snapToGrid w:val="0"/>
                <w:kern w:val="21"/>
                <w:szCs w:val="21"/>
                <w:lang w:val="en-US" w:eastAsia="zh-CN"/>
              </w:rPr>
              <w:t>0</w:t>
            </w:r>
          </w:p>
        </w:tc>
        <w:tc>
          <w:tcPr>
            <w:tcW w:w="694" w:type="pct"/>
            <w:shd w:val="clear" w:color="auto" w:fill="auto"/>
            <w:vAlign w:val="center"/>
          </w:tcPr>
          <w:p w14:paraId="70D7C319">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0.001</w:t>
            </w:r>
          </w:p>
        </w:tc>
        <w:tc>
          <w:tcPr>
            <w:tcW w:w="417" w:type="pct"/>
            <w:shd w:val="clear" w:color="auto" w:fill="auto"/>
            <w:vAlign w:val="center"/>
          </w:tcPr>
          <w:p w14:paraId="211E9CEC">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w:t>
            </w:r>
            <w:r>
              <w:rPr>
                <w:rFonts w:hint="default" w:ascii="Times New Roman" w:hAnsi="Times New Roman" w:eastAsia="宋体" w:cs="Times New Roman"/>
                <w:b w:val="0"/>
                <w:bCs/>
                <w:sz w:val="21"/>
                <w:szCs w:val="21"/>
                <w:lang w:val="en-US" w:eastAsia="zh-CN"/>
              </w:rPr>
              <w:t>0.001</w:t>
            </w:r>
          </w:p>
        </w:tc>
      </w:tr>
      <w:tr w14:paraId="74AC3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0" w:hRule="atLeast"/>
        </w:trPr>
        <w:tc>
          <w:tcPr>
            <w:tcW w:w="560" w:type="pct"/>
            <w:vMerge w:val="continue"/>
            <w:vAlign w:val="center"/>
          </w:tcPr>
          <w:p w14:paraId="35631C08">
            <w:pPr>
              <w:spacing w:before="32" w:after="32"/>
              <w:jc w:val="center"/>
              <w:rPr>
                <w:rFonts w:hint="default" w:ascii="Times New Roman" w:hAnsi="Times New Roman" w:cs="Times New Roman"/>
              </w:rPr>
            </w:pPr>
          </w:p>
        </w:tc>
        <w:tc>
          <w:tcPr>
            <w:tcW w:w="571" w:type="pct"/>
            <w:shd w:val="clear" w:color="auto" w:fill="auto"/>
            <w:vAlign w:val="center"/>
          </w:tcPr>
          <w:p w14:paraId="1D77DC2C">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除尘器捕捉粉尘</w:t>
            </w:r>
          </w:p>
        </w:tc>
        <w:tc>
          <w:tcPr>
            <w:tcW w:w="529" w:type="pct"/>
            <w:vAlign w:val="center"/>
          </w:tcPr>
          <w:p w14:paraId="063B5050">
            <w:pPr>
              <w:spacing w:before="32" w:after="32"/>
              <w:jc w:val="center"/>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0</w:t>
            </w:r>
          </w:p>
        </w:tc>
        <w:tc>
          <w:tcPr>
            <w:tcW w:w="448" w:type="pct"/>
            <w:vAlign w:val="center"/>
          </w:tcPr>
          <w:p w14:paraId="255653C7">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w:t>
            </w:r>
          </w:p>
        </w:tc>
        <w:tc>
          <w:tcPr>
            <w:tcW w:w="602" w:type="pct"/>
            <w:vAlign w:val="center"/>
          </w:tcPr>
          <w:p w14:paraId="74C0FB8F">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0</w:t>
            </w:r>
          </w:p>
        </w:tc>
        <w:tc>
          <w:tcPr>
            <w:tcW w:w="550" w:type="pct"/>
            <w:shd w:val="clear" w:color="auto" w:fill="auto"/>
            <w:vAlign w:val="center"/>
          </w:tcPr>
          <w:p w14:paraId="40CB8143">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0.00019</w:t>
            </w:r>
          </w:p>
        </w:tc>
        <w:tc>
          <w:tcPr>
            <w:tcW w:w="624" w:type="pct"/>
            <w:vAlign w:val="center"/>
          </w:tcPr>
          <w:p w14:paraId="51BA0858">
            <w:pPr>
              <w:spacing w:before="32" w:after="32"/>
              <w:jc w:val="center"/>
              <w:rPr>
                <w:rFonts w:hint="default" w:ascii="Times New Roman" w:hAnsi="Times New Roman" w:eastAsia="宋体" w:cs="Times New Roman"/>
                <w:snapToGrid w:val="0"/>
                <w:kern w:val="21"/>
                <w:szCs w:val="21"/>
                <w:lang w:val="en-US" w:eastAsia="zh-CN"/>
              </w:rPr>
            </w:pPr>
            <w:r>
              <w:rPr>
                <w:rFonts w:hint="eastAsia" w:ascii="Times New Roman" w:hAnsi="Times New Roman" w:eastAsia="宋体" w:cs="Times New Roman"/>
                <w:snapToGrid w:val="0"/>
                <w:kern w:val="21"/>
                <w:szCs w:val="21"/>
                <w:lang w:val="en-US" w:eastAsia="zh-CN"/>
              </w:rPr>
              <w:t>0</w:t>
            </w:r>
          </w:p>
        </w:tc>
        <w:tc>
          <w:tcPr>
            <w:tcW w:w="694" w:type="pct"/>
            <w:shd w:val="clear" w:color="auto" w:fill="auto"/>
            <w:vAlign w:val="center"/>
          </w:tcPr>
          <w:p w14:paraId="28368C66">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0.00019</w:t>
            </w:r>
          </w:p>
        </w:tc>
        <w:tc>
          <w:tcPr>
            <w:tcW w:w="417" w:type="pct"/>
            <w:shd w:val="clear" w:color="auto" w:fill="auto"/>
            <w:vAlign w:val="center"/>
          </w:tcPr>
          <w:p w14:paraId="4EF11C12">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eastAsia="宋体" w:cs="Times New Roman"/>
                <w:b w:val="0"/>
                <w:bCs/>
                <w:sz w:val="21"/>
                <w:szCs w:val="21"/>
                <w:lang w:val="en-US" w:eastAsia="zh-CN"/>
              </w:rPr>
            </w:pPr>
            <w:r>
              <w:rPr>
                <w:rFonts w:hint="eastAsia" w:eastAsia="宋体" w:cs="Times New Roman"/>
                <w:b w:val="0"/>
                <w:bCs/>
                <w:sz w:val="21"/>
                <w:szCs w:val="21"/>
                <w:lang w:val="en-US" w:eastAsia="zh-CN"/>
              </w:rPr>
              <w:t>+0.00019</w:t>
            </w:r>
          </w:p>
        </w:tc>
      </w:tr>
      <w:tr w14:paraId="2A893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0" w:hRule="atLeast"/>
        </w:trPr>
        <w:tc>
          <w:tcPr>
            <w:tcW w:w="560" w:type="pct"/>
            <w:vMerge w:val="continue"/>
            <w:vAlign w:val="center"/>
          </w:tcPr>
          <w:p w14:paraId="29D8F900">
            <w:pPr>
              <w:spacing w:before="32" w:after="32"/>
              <w:jc w:val="center"/>
              <w:rPr>
                <w:rFonts w:hint="default" w:ascii="Times New Roman" w:hAnsi="Times New Roman" w:cs="Times New Roman"/>
              </w:rPr>
            </w:pPr>
          </w:p>
        </w:tc>
        <w:tc>
          <w:tcPr>
            <w:tcW w:w="571" w:type="pct"/>
            <w:shd w:val="clear" w:color="auto" w:fill="auto"/>
            <w:vAlign w:val="center"/>
          </w:tcPr>
          <w:p w14:paraId="33691BF7">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eastAsia="zh-CN"/>
              </w:rPr>
              <w:t>废电路板</w:t>
            </w:r>
          </w:p>
        </w:tc>
        <w:tc>
          <w:tcPr>
            <w:tcW w:w="529" w:type="pct"/>
            <w:vAlign w:val="center"/>
          </w:tcPr>
          <w:p w14:paraId="54C21507">
            <w:pPr>
              <w:spacing w:before="32" w:after="32"/>
              <w:jc w:val="center"/>
              <w:rPr>
                <w:rFonts w:hint="default" w:ascii="Times New Roman" w:hAnsi="Times New Roman" w:cs="Times New Roman"/>
                <w:snapToGrid w:val="0"/>
                <w:kern w:val="21"/>
                <w:szCs w:val="21"/>
                <w:lang w:val="en-US" w:eastAsia="zh-CN"/>
              </w:rPr>
            </w:pPr>
            <w:r>
              <w:rPr>
                <w:rFonts w:hint="default" w:ascii="Times New Roman" w:hAnsi="Times New Roman" w:eastAsia="宋体" w:cs="Times New Roman"/>
                <w:spacing w:val="-1"/>
                <w:sz w:val="21"/>
                <w:szCs w:val="21"/>
                <w:lang w:val="en-US" w:eastAsia="zh-CN"/>
              </w:rPr>
              <w:t>0</w:t>
            </w:r>
          </w:p>
        </w:tc>
        <w:tc>
          <w:tcPr>
            <w:tcW w:w="448" w:type="pct"/>
            <w:vAlign w:val="center"/>
          </w:tcPr>
          <w:p w14:paraId="206DCFC0">
            <w:pPr>
              <w:spacing w:before="32" w:after="32"/>
              <w:jc w:val="center"/>
              <w:rPr>
                <w:rFonts w:hint="default" w:ascii="Times New Roman" w:hAnsi="Times New Roman" w:cs="Times New Roman"/>
                <w:snapToGrid w:val="0"/>
                <w:kern w:val="21"/>
                <w:sz w:val="21"/>
                <w:szCs w:val="21"/>
                <w:lang w:val="en-US" w:eastAsia="zh-CN" w:bidi="ar-SA"/>
              </w:rPr>
            </w:pPr>
            <w:r>
              <w:rPr>
                <w:rFonts w:hint="default" w:ascii="Times New Roman" w:hAnsi="Times New Roman" w:cs="Times New Roman"/>
                <w:snapToGrid w:val="0"/>
                <w:kern w:val="21"/>
                <w:szCs w:val="21"/>
                <w:lang w:val="en-US" w:eastAsia="zh-CN"/>
              </w:rPr>
              <w:t>/</w:t>
            </w:r>
          </w:p>
        </w:tc>
        <w:tc>
          <w:tcPr>
            <w:tcW w:w="602" w:type="pct"/>
            <w:vAlign w:val="center"/>
          </w:tcPr>
          <w:p w14:paraId="5EC65CEB">
            <w:pPr>
              <w:spacing w:before="32" w:after="32"/>
              <w:jc w:val="center"/>
              <w:rPr>
                <w:rFonts w:hint="default" w:ascii="Times New Roman" w:hAnsi="Times New Roman" w:cs="Times New Roman"/>
                <w:snapToGrid w:val="0"/>
                <w:kern w:val="21"/>
                <w:szCs w:val="21"/>
                <w:lang w:val="en-US" w:eastAsia="zh-CN"/>
              </w:rPr>
            </w:pPr>
            <w:r>
              <w:rPr>
                <w:rFonts w:hint="default" w:ascii="Times New Roman" w:hAnsi="Times New Roman" w:cs="Times New Roman"/>
                <w:snapToGrid w:val="0"/>
                <w:kern w:val="21"/>
                <w:szCs w:val="21"/>
                <w:lang w:val="en-US" w:eastAsia="zh-CN"/>
              </w:rPr>
              <w:t>0</w:t>
            </w:r>
          </w:p>
        </w:tc>
        <w:tc>
          <w:tcPr>
            <w:tcW w:w="550" w:type="pct"/>
            <w:shd w:val="clear" w:color="auto" w:fill="auto"/>
            <w:vAlign w:val="center"/>
          </w:tcPr>
          <w:p w14:paraId="27201B69">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0.01</w:t>
            </w:r>
          </w:p>
        </w:tc>
        <w:tc>
          <w:tcPr>
            <w:tcW w:w="624" w:type="pct"/>
            <w:vAlign w:val="center"/>
          </w:tcPr>
          <w:p w14:paraId="155C149E">
            <w:pPr>
              <w:spacing w:before="32" w:after="32"/>
              <w:jc w:val="center"/>
              <w:rPr>
                <w:rFonts w:hint="eastAsia" w:ascii="Times New Roman" w:hAnsi="Times New Roman" w:eastAsia="宋体" w:cs="Times New Roman"/>
                <w:snapToGrid w:val="0"/>
                <w:kern w:val="21"/>
                <w:szCs w:val="21"/>
                <w:lang w:val="en-US" w:eastAsia="zh-CN"/>
              </w:rPr>
            </w:pPr>
            <w:r>
              <w:rPr>
                <w:rFonts w:hint="eastAsia" w:ascii="Times New Roman" w:hAnsi="Times New Roman" w:eastAsia="宋体" w:cs="Times New Roman"/>
                <w:snapToGrid w:val="0"/>
                <w:kern w:val="21"/>
                <w:szCs w:val="21"/>
                <w:lang w:val="en-US" w:eastAsia="zh-CN"/>
              </w:rPr>
              <w:t>0</w:t>
            </w:r>
          </w:p>
        </w:tc>
        <w:tc>
          <w:tcPr>
            <w:tcW w:w="694" w:type="pct"/>
            <w:shd w:val="clear" w:color="auto" w:fill="auto"/>
            <w:vAlign w:val="center"/>
          </w:tcPr>
          <w:p w14:paraId="0798DC57">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0.01</w:t>
            </w:r>
          </w:p>
        </w:tc>
        <w:tc>
          <w:tcPr>
            <w:tcW w:w="417" w:type="pct"/>
            <w:shd w:val="clear" w:color="auto" w:fill="auto"/>
            <w:vAlign w:val="center"/>
          </w:tcPr>
          <w:p w14:paraId="53477621">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w:t>
            </w:r>
            <w:r>
              <w:rPr>
                <w:rFonts w:hint="default" w:ascii="Times New Roman" w:hAnsi="Times New Roman" w:eastAsia="宋体" w:cs="Times New Roman"/>
                <w:b w:val="0"/>
                <w:bCs/>
                <w:sz w:val="21"/>
                <w:szCs w:val="21"/>
                <w:lang w:val="en-US" w:eastAsia="zh-CN"/>
              </w:rPr>
              <w:t>0.01</w:t>
            </w:r>
          </w:p>
        </w:tc>
      </w:tr>
      <w:tr w14:paraId="16B5E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0" w:hRule="atLeast"/>
        </w:trPr>
        <w:tc>
          <w:tcPr>
            <w:tcW w:w="560" w:type="pct"/>
            <w:vMerge w:val="continue"/>
            <w:vAlign w:val="center"/>
          </w:tcPr>
          <w:p w14:paraId="413D0929">
            <w:pPr>
              <w:spacing w:before="32" w:after="32"/>
              <w:jc w:val="center"/>
              <w:rPr>
                <w:rFonts w:hint="default" w:ascii="Times New Roman" w:hAnsi="Times New Roman" w:cs="Times New Roman"/>
              </w:rPr>
            </w:pPr>
          </w:p>
        </w:tc>
        <w:tc>
          <w:tcPr>
            <w:tcW w:w="571" w:type="pct"/>
            <w:shd w:val="clear" w:color="auto" w:fill="auto"/>
            <w:vAlign w:val="center"/>
          </w:tcPr>
          <w:p w14:paraId="464BFA87">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eastAsia="zh-CN"/>
              </w:rPr>
              <w:t>废辅料包装材料</w:t>
            </w:r>
          </w:p>
        </w:tc>
        <w:tc>
          <w:tcPr>
            <w:tcW w:w="529" w:type="pct"/>
            <w:vAlign w:val="center"/>
          </w:tcPr>
          <w:p w14:paraId="11DB4D0C">
            <w:pPr>
              <w:spacing w:before="32" w:after="32"/>
              <w:jc w:val="center"/>
              <w:rPr>
                <w:rFonts w:hint="default" w:ascii="Times New Roman" w:hAnsi="Times New Roman" w:cs="Times New Roman"/>
                <w:snapToGrid w:val="0"/>
                <w:kern w:val="21"/>
                <w:szCs w:val="21"/>
                <w:lang w:val="en-US" w:eastAsia="zh-CN"/>
              </w:rPr>
            </w:pPr>
            <w:r>
              <w:rPr>
                <w:rFonts w:hint="default" w:ascii="Times New Roman" w:hAnsi="Times New Roman" w:eastAsia="宋体" w:cs="Times New Roman"/>
                <w:spacing w:val="-1"/>
                <w:sz w:val="21"/>
                <w:szCs w:val="21"/>
                <w:lang w:val="en-US" w:eastAsia="zh-CN"/>
              </w:rPr>
              <w:t>0</w:t>
            </w:r>
          </w:p>
        </w:tc>
        <w:tc>
          <w:tcPr>
            <w:tcW w:w="448" w:type="pct"/>
            <w:vAlign w:val="center"/>
          </w:tcPr>
          <w:p w14:paraId="64E13DAC">
            <w:pPr>
              <w:spacing w:before="32" w:after="32"/>
              <w:jc w:val="center"/>
              <w:rPr>
                <w:rFonts w:hint="default" w:ascii="Times New Roman" w:hAnsi="Times New Roman" w:cs="Times New Roman"/>
                <w:snapToGrid w:val="0"/>
                <w:kern w:val="21"/>
                <w:sz w:val="21"/>
                <w:szCs w:val="21"/>
                <w:lang w:val="en-US" w:eastAsia="zh-CN" w:bidi="ar-SA"/>
              </w:rPr>
            </w:pPr>
            <w:r>
              <w:rPr>
                <w:rFonts w:hint="default" w:ascii="Times New Roman" w:hAnsi="Times New Roman" w:cs="Times New Roman"/>
                <w:snapToGrid w:val="0"/>
                <w:kern w:val="21"/>
                <w:szCs w:val="21"/>
                <w:lang w:val="en-US" w:eastAsia="zh-CN"/>
              </w:rPr>
              <w:t>/</w:t>
            </w:r>
          </w:p>
        </w:tc>
        <w:tc>
          <w:tcPr>
            <w:tcW w:w="602" w:type="pct"/>
            <w:vAlign w:val="center"/>
          </w:tcPr>
          <w:p w14:paraId="74E073B4">
            <w:pPr>
              <w:spacing w:before="32" w:after="32"/>
              <w:jc w:val="center"/>
              <w:rPr>
                <w:rFonts w:hint="default" w:ascii="Times New Roman" w:hAnsi="Times New Roman" w:cs="Times New Roman"/>
                <w:snapToGrid w:val="0"/>
                <w:kern w:val="21"/>
                <w:szCs w:val="21"/>
                <w:lang w:val="en-US" w:eastAsia="zh-CN"/>
              </w:rPr>
            </w:pPr>
            <w:r>
              <w:rPr>
                <w:rFonts w:hint="default" w:ascii="Times New Roman" w:hAnsi="Times New Roman" w:cs="Times New Roman"/>
                <w:snapToGrid w:val="0"/>
                <w:kern w:val="21"/>
                <w:szCs w:val="21"/>
                <w:lang w:val="en-US" w:eastAsia="zh-CN"/>
              </w:rPr>
              <w:t>0</w:t>
            </w:r>
          </w:p>
        </w:tc>
        <w:tc>
          <w:tcPr>
            <w:tcW w:w="550" w:type="pct"/>
            <w:shd w:val="clear" w:color="auto" w:fill="auto"/>
            <w:vAlign w:val="center"/>
          </w:tcPr>
          <w:p w14:paraId="71B96239">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0.023</w:t>
            </w:r>
          </w:p>
        </w:tc>
        <w:tc>
          <w:tcPr>
            <w:tcW w:w="624" w:type="pct"/>
            <w:vAlign w:val="center"/>
          </w:tcPr>
          <w:p w14:paraId="2EA30912">
            <w:pPr>
              <w:spacing w:before="32" w:after="32"/>
              <w:jc w:val="center"/>
              <w:rPr>
                <w:rFonts w:hint="eastAsia" w:ascii="Times New Roman" w:hAnsi="Times New Roman" w:eastAsia="宋体" w:cs="Times New Roman"/>
                <w:snapToGrid w:val="0"/>
                <w:kern w:val="21"/>
                <w:szCs w:val="21"/>
                <w:lang w:val="en-US" w:eastAsia="zh-CN"/>
              </w:rPr>
            </w:pPr>
            <w:r>
              <w:rPr>
                <w:rFonts w:hint="eastAsia" w:ascii="Times New Roman" w:hAnsi="Times New Roman" w:eastAsia="宋体" w:cs="Times New Roman"/>
                <w:snapToGrid w:val="0"/>
                <w:kern w:val="21"/>
                <w:szCs w:val="21"/>
                <w:lang w:val="en-US" w:eastAsia="zh-CN"/>
              </w:rPr>
              <w:t>0</w:t>
            </w:r>
          </w:p>
        </w:tc>
        <w:tc>
          <w:tcPr>
            <w:tcW w:w="694" w:type="pct"/>
            <w:shd w:val="clear" w:color="auto" w:fill="auto"/>
            <w:vAlign w:val="center"/>
          </w:tcPr>
          <w:p w14:paraId="1C2A5BBD">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0.023</w:t>
            </w:r>
          </w:p>
        </w:tc>
        <w:tc>
          <w:tcPr>
            <w:tcW w:w="417" w:type="pct"/>
            <w:shd w:val="clear" w:color="auto" w:fill="auto"/>
            <w:vAlign w:val="center"/>
          </w:tcPr>
          <w:p w14:paraId="0B2DCAB3">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w:t>
            </w:r>
            <w:r>
              <w:rPr>
                <w:rFonts w:hint="default" w:ascii="Times New Roman" w:hAnsi="Times New Roman" w:eastAsia="宋体" w:cs="Times New Roman"/>
                <w:b w:val="0"/>
                <w:bCs/>
                <w:sz w:val="21"/>
                <w:szCs w:val="21"/>
                <w:lang w:val="en-US" w:eastAsia="zh-CN"/>
              </w:rPr>
              <w:t>0.023</w:t>
            </w:r>
          </w:p>
        </w:tc>
      </w:tr>
      <w:tr w14:paraId="2719D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0" w:hRule="atLeast"/>
        </w:trPr>
        <w:tc>
          <w:tcPr>
            <w:tcW w:w="560" w:type="pct"/>
            <w:vMerge w:val="continue"/>
            <w:vAlign w:val="center"/>
          </w:tcPr>
          <w:p w14:paraId="2ED8E151">
            <w:pPr>
              <w:spacing w:before="32" w:after="32"/>
              <w:jc w:val="center"/>
              <w:rPr>
                <w:rFonts w:hint="default" w:ascii="Times New Roman" w:hAnsi="Times New Roman" w:cs="Times New Roman"/>
              </w:rPr>
            </w:pPr>
          </w:p>
        </w:tc>
        <w:tc>
          <w:tcPr>
            <w:tcW w:w="571" w:type="pct"/>
            <w:shd w:val="clear" w:color="auto" w:fill="auto"/>
            <w:vAlign w:val="center"/>
          </w:tcPr>
          <w:p w14:paraId="47DECC50">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废</w:t>
            </w:r>
            <w:r>
              <w:rPr>
                <w:rFonts w:hint="eastAsia" w:eastAsia="宋体" w:cs="Times New Roman"/>
                <w:b w:val="0"/>
                <w:bCs/>
                <w:sz w:val="21"/>
                <w:szCs w:val="21"/>
                <w:lang w:val="en-US" w:eastAsia="zh-CN"/>
              </w:rPr>
              <w:t>擦拭</w:t>
            </w:r>
            <w:r>
              <w:rPr>
                <w:rFonts w:hint="default" w:ascii="Times New Roman" w:hAnsi="Times New Roman" w:eastAsia="宋体" w:cs="Times New Roman"/>
                <w:b w:val="0"/>
                <w:bCs/>
                <w:sz w:val="21"/>
                <w:szCs w:val="21"/>
                <w:lang w:val="en-US" w:eastAsia="zh-CN"/>
              </w:rPr>
              <w:t>布</w:t>
            </w:r>
          </w:p>
        </w:tc>
        <w:tc>
          <w:tcPr>
            <w:tcW w:w="529" w:type="pct"/>
            <w:vAlign w:val="center"/>
          </w:tcPr>
          <w:p w14:paraId="1E88897C">
            <w:pPr>
              <w:spacing w:before="32" w:after="32"/>
              <w:jc w:val="center"/>
              <w:rPr>
                <w:rFonts w:hint="default" w:ascii="Times New Roman" w:hAnsi="Times New Roman" w:cs="Times New Roman"/>
                <w:snapToGrid w:val="0"/>
                <w:kern w:val="21"/>
                <w:szCs w:val="21"/>
                <w:lang w:val="en-US" w:eastAsia="zh-CN"/>
              </w:rPr>
            </w:pPr>
            <w:r>
              <w:rPr>
                <w:rFonts w:hint="default" w:ascii="Times New Roman" w:hAnsi="Times New Roman" w:eastAsia="宋体" w:cs="Times New Roman"/>
                <w:spacing w:val="-1"/>
                <w:sz w:val="21"/>
                <w:szCs w:val="21"/>
                <w:lang w:val="en-US" w:eastAsia="zh-CN"/>
              </w:rPr>
              <w:t>0</w:t>
            </w:r>
          </w:p>
        </w:tc>
        <w:tc>
          <w:tcPr>
            <w:tcW w:w="448" w:type="pct"/>
            <w:vAlign w:val="center"/>
          </w:tcPr>
          <w:p w14:paraId="1EE4AD92">
            <w:pPr>
              <w:spacing w:before="32" w:after="32"/>
              <w:jc w:val="center"/>
              <w:rPr>
                <w:rFonts w:hint="default" w:ascii="Times New Roman" w:hAnsi="Times New Roman" w:cs="Times New Roman"/>
                <w:snapToGrid w:val="0"/>
                <w:kern w:val="21"/>
                <w:sz w:val="21"/>
                <w:szCs w:val="21"/>
                <w:lang w:val="en-US" w:eastAsia="zh-CN" w:bidi="ar-SA"/>
              </w:rPr>
            </w:pPr>
            <w:r>
              <w:rPr>
                <w:rFonts w:hint="default" w:ascii="Times New Roman" w:hAnsi="Times New Roman" w:cs="Times New Roman"/>
                <w:snapToGrid w:val="0"/>
                <w:kern w:val="21"/>
                <w:szCs w:val="21"/>
                <w:lang w:val="en-US" w:eastAsia="zh-CN"/>
              </w:rPr>
              <w:t>/</w:t>
            </w:r>
          </w:p>
        </w:tc>
        <w:tc>
          <w:tcPr>
            <w:tcW w:w="602" w:type="pct"/>
            <w:vAlign w:val="center"/>
          </w:tcPr>
          <w:p w14:paraId="1428EC1A">
            <w:pPr>
              <w:spacing w:before="32" w:after="32"/>
              <w:jc w:val="center"/>
              <w:rPr>
                <w:rFonts w:hint="default" w:ascii="Times New Roman" w:hAnsi="Times New Roman" w:cs="Times New Roman"/>
                <w:snapToGrid w:val="0"/>
                <w:kern w:val="21"/>
                <w:szCs w:val="21"/>
                <w:lang w:val="en-US" w:eastAsia="zh-CN"/>
              </w:rPr>
            </w:pPr>
            <w:r>
              <w:rPr>
                <w:rFonts w:hint="default" w:ascii="Times New Roman" w:hAnsi="Times New Roman" w:cs="Times New Roman"/>
                <w:snapToGrid w:val="0"/>
                <w:kern w:val="21"/>
                <w:szCs w:val="21"/>
                <w:lang w:val="en-US" w:eastAsia="zh-CN"/>
              </w:rPr>
              <w:t>0</w:t>
            </w:r>
          </w:p>
        </w:tc>
        <w:tc>
          <w:tcPr>
            <w:tcW w:w="550" w:type="pct"/>
            <w:shd w:val="clear" w:color="auto" w:fill="auto"/>
            <w:vAlign w:val="center"/>
          </w:tcPr>
          <w:p w14:paraId="4AA0DAF1">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0.1</w:t>
            </w:r>
          </w:p>
        </w:tc>
        <w:tc>
          <w:tcPr>
            <w:tcW w:w="624" w:type="pct"/>
            <w:vAlign w:val="center"/>
          </w:tcPr>
          <w:p w14:paraId="04663FB9">
            <w:pPr>
              <w:spacing w:before="32" w:after="32"/>
              <w:jc w:val="center"/>
              <w:rPr>
                <w:rFonts w:hint="eastAsia" w:ascii="Times New Roman" w:hAnsi="Times New Roman" w:eastAsia="宋体" w:cs="Times New Roman"/>
                <w:snapToGrid w:val="0"/>
                <w:kern w:val="21"/>
                <w:szCs w:val="21"/>
                <w:lang w:val="en-US" w:eastAsia="zh-CN"/>
              </w:rPr>
            </w:pPr>
            <w:r>
              <w:rPr>
                <w:rFonts w:hint="eastAsia" w:ascii="Times New Roman" w:hAnsi="Times New Roman" w:eastAsia="宋体" w:cs="Times New Roman"/>
                <w:snapToGrid w:val="0"/>
                <w:kern w:val="21"/>
                <w:szCs w:val="21"/>
                <w:lang w:val="en-US" w:eastAsia="zh-CN"/>
              </w:rPr>
              <w:t>0</w:t>
            </w:r>
          </w:p>
        </w:tc>
        <w:tc>
          <w:tcPr>
            <w:tcW w:w="694" w:type="pct"/>
            <w:shd w:val="clear" w:color="auto" w:fill="auto"/>
            <w:vAlign w:val="center"/>
          </w:tcPr>
          <w:p w14:paraId="12BB8CF9">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0.1</w:t>
            </w:r>
          </w:p>
        </w:tc>
        <w:tc>
          <w:tcPr>
            <w:tcW w:w="417" w:type="pct"/>
            <w:shd w:val="clear" w:color="auto" w:fill="auto"/>
            <w:vAlign w:val="center"/>
          </w:tcPr>
          <w:p w14:paraId="5DD664F0">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w:t>
            </w:r>
            <w:r>
              <w:rPr>
                <w:rFonts w:hint="default" w:ascii="Times New Roman" w:hAnsi="Times New Roman" w:eastAsia="宋体" w:cs="Times New Roman"/>
                <w:b w:val="0"/>
                <w:bCs/>
                <w:sz w:val="21"/>
                <w:szCs w:val="21"/>
                <w:lang w:val="en-US" w:eastAsia="zh-CN"/>
              </w:rPr>
              <w:t>0.1</w:t>
            </w:r>
          </w:p>
        </w:tc>
      </w:tr>
      <w:tr w14:paraId="4A719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0" w:hRule="atLeast"/>
        </w:trPr>
        <w:tc>
          <w:tcPr>
            <w:tcW w:w="560" w:type="pct"/>
            <w:vMerge w:val="continue"/>
            <w:vAlign w:val="center"/>
          </w:tcPr>
          <w:p w14:paraId="4AF1B540">
            <w:pPr>
              <w:spacing w:before="32" w:after="32"/>
              <w:jc w:val="center"/>
              <w:rPr>
                <w:rFonts w:hint="default" w:ascii="Times New Roman" w:hAnsi="Times New Roman" w:cs="Times New Roman"/>
              </w:rPr>
            </w:pPr>
          </w:p>
        </w:tc>
        <w:tc>
          <w:tcPr>
            <w:tcW w:w="571" w:type="pct"/>
            <w:shd w:val="clear" w:color="auto" w:fill="auto"/>
            <w:vAlign w:val="center"/>
          </w:tcPr>
          <w:p w14:paraId="14DF1FFE">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废活性炭</w:t>
            </w:r>
          </w:p>
        </w:tc>
        <w:tc>
          <w:tcPr>
            <w:tcW w:w="529" w:type="pct"/>
            <w:vAlign w:val="center"/>
          </w:tcPr>
          <w:p w14:paraId="464DA918">
            <w:pPr>
              <w:spacing w:before="32" w:after="32"/>
              <w:jc w:val="center"/>
              <w:rPr>
                <w:rFonts w:hint="default" w:ascii="Times New Roman" w:hAnsi="Times New Roman" w:cs="Times New Roman"/>
                <w:snapToGrid w:val="0"/>
                <w:kern w:val="21"/>
                <w:szCs w:val="21"/>
                <w:lang w:val="en-US" w:eastAsia="zh-CN"/>
              </w:rPr>
            </w:pPr>
            <w:r>
              <w:rPr>
                <w:rFonts w:hint="default" w:ascii="Times New Roman" w:hAnsi="Times New Roman" w:eastAsia="宋体" w:cs="Times New Roman"/>
                <w:spacing w:val="-1"/>
                <w:sz w:val="21"/>
                <w:szCs w:val="21"/>
                <w:lang w:val="en-US" w:eastAsia="zh-CN"/>
              </w:rPr>
              <w:t>0</w:t>
            </w:r>
          </w:p>
        </w:tc>
        <w:tc>
          <w:tcPr>
            <w:tcW w:w="448" w:type="pct"/>
            <w:vAlign w:val="center"/>
          </w:tcPr>
          <w:p w14:paraId="2CBFA5D8">
            <w:pPr>
              <w:spacing w:before="32" w:after="32"/>
              <w:jc w:val="center"/>
              <w:rPr>
                <w:rFonts w:hint="default" w:ascii="Times New Roman" w:hAnsi="Times New Roman" w:cs="Times New Roman"/>
                <w:snapToGrid w:val="0"/>
                <w:kern w:val="21"/>
                <w:sz w:val="21"/>
                <w:szCs w:val="21"/>
                <w:lang w:val="en-US" w:eastAsia="zh-CN" w:bidi="ar-SA"/>
              </w:rPr>
            </w:pPr>
            <w:r>
              <w:rPr>
                <w:rFonts w:hint="default" w:ascii="Times New Roman" w:hAnsi="Times New Roman" w:cs="Times New Roman"/>
                <w:snapToGrid w:val="0"/>
                <w:kern w:val="21"/>
                <w:szCs w:val="21"/>
                <w:lang w:val="en-US" w:eastAsia="zh-CN"/>
              </w:rPr>
              <w:t>/</w:t>
            </w:r>
          </w:p>
        </w:tc>
        <w:tc>
          <w:tcPr>
            <w:tcW w:w="602" w:type="pct"/>
            <w:vAlign w:val="center"/>
          </w:tcPr>
          <w:p w14:paraId="0FF34E94">
            <w:pPr>
              <w:spacing w:before="32" w:after="32"/>
              <w:jc w:val="center"/>
              <w:rPr>
                <w:rFonts w:hint="default" w:ascii="Times New Roman" w:hAnsi="Times New Roman" w:cs="Times New Roman"/>
                <w:snapToGrid w:val="0"/>
                <w:kern w:val="21"/>
                <w:szCs w:val="21"/>
                <w:lang w:val="en-US" w:eastAsia="zh-CN"/>
              </w:rPr>
            </w:pPr>
            <w:r>
              <w:rPr>
                <w:rFonts w:hint="default" w:ascii="Times New Roman" w:hAnsi="Times New Roman" w:cs="Times New Roman"/>
                <w:snapToGrid w:val="0"/>
                <w:kern w:val="21"/>
                <w:szCs w:val="21"/>
                <w:lang w:val="en-US" w:eastAsia="zh-CN"/>
              </w:rPr>
              <w:t>0</w:t>
            </w:r>
          </w:p>
        </w:tc>
        <w:tc>
          <w:tcPr>
            <w:tcW w:w="550" w:type="pct"/>
            <w:shd w:val="clear" w:color="auto" w:fill="auto"/>
            <w:vAlign w:val="center"/>
          </w:tcPr>
          <w:p w14:paraId="5C4299BE">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0.3</w:t>
            </w:r>
          </w:p>
        </w:tc>
        <w:tc>
          <w:tcPr>
            <w:tcW w:w="624" w:type="pct"/>
            <w:vAlign w:val="center"/>
          </w:tcPr>
          <w:p w14:paraId="724C20DC">
            <w:pPr>
              <w:spacing w:before="32" w:after="32"/>
              <w:jc w:val="center"/>
              <w:rPr>
                <w:rFonts w:hint="eastAsia" w:ascii="Times New Roman" w:hAnsi="Times New Roman" w:eastAsia="宋体" w:cs="Times New Roman"/>
                <w:snapToGrid w:val="0"/>
                <w:kern w:val="21"/>
                <w:szCs w:val="21"/>
                <w:lang w:val="en-US" w:eastAsia="zh-CN"/>
              </w:rPr>
            </w:pPr>
            <w:r>
              <w:rPr>
                <w:rFonts w:hint="eastAsia" w:ascii="Times New Roman" w:hAnsi="Times New Roman" w:eastAsia="宋体" w:cs="Times New Roman"/>
                <w:snapToGrid w:val="0"/>
                <w:kern w:val="21"/>
                <w:szCs w:val="21"/>
                <w:lang w:val="en-US" w:eastAsia="zh-CN"/>
              </w:rPr>
              <w:t>0</w:t>
            </w:r>
          </w:p>
        </w:tc>
        <w:tc>
          <w:tcPr>
            <w:tcW w:w="694" w:type="pct"/>
            <w:shd w:val="clear" w:color="auto" w:fill="auto"/>
            <w:vAlign w:val="center"/>
          </w:tcPr>
          <w:p w14:paraId="100D98C6">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0.3</w:t>
            </w:r>
          </w:p>
        </w:tc>
        <w:tc>
          <w:tcPr>
            <w:tcW w:w="417" w:type="pct"/>
            <w:shd w:val="clear" w:color="auto" w:fill="auto"/>
            <w:vAlign w:val="center"/>
          </w:tcPr>
          <w:p w14:paraId="676B3F09">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+0.3</w:t>
            </w:r>
          </w:p>
        </w:tc>
      </w:tr>
      <w:tr w14:paraId="6910D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0" w:hRule="atLeast"/>
        </w:trPr>
        <w:tc>
          <w:tcPr>
            <w:tcW w:w="560" w:type="pct"/>
            <w:vMerge w:val="continue"/>
            <w:vAlign w:val="center"/>
          </w:tcPr>
          <w:p w14:paraId="39D81081">
            <w:pPr>
              <w:spacing w:before="32" w:after="32"/>
              <w:jc w:val="center"/>
              <w:rPr>
                <w:rFonts w:hint="default" w:ascii="Times New Roman" w:hAnsi="Times New Roman" w:cs="Times New Roman"/>
              </w:rPr>
            </w:pPr>
          </w:p>
        </w:tc>
        <w:tc>
          <w:tcPr>
            <w:tcW w:w="571" w:type="pct"/>
            <w:shd w:val="clear" w:color="auto" w:fill="auto"/>
            <w:vAlign w:val="center"/>
          </w:tcPr>
          <w:p w14:paraId="60BDB327">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废滤芯</w:t>
            </w:r>
          </w:p>
        </w:tc>
        <w:tc>
          <w:tcPr>
            <w:tcW w:w="529" w:type="pct"/>
            <w:vAlign w:val="center"/>
          </w:tcPr>
          <w:p w14:paraId="3AD193FC">
            <w:pPr>
              <w:spacing w:before="32" w:after="32"/>
              <w:jc w:val="center"/>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0</w:t>
            </w:r>
          </w:p>
        </w:tc>
        <w:tc>
          <w:tcPr>
            <w:tcW w:w="448" w:type="pct"/>
            <w:shd w:val="clear" w:color="auto" w:fill="auto"/>
            <w:vAlign w:val="center"/>
          </w:tcPr>
          <w:p w14:paraId="3C9ED3DC">
            <w:pPr>
              <w:spacing w:before="32" w:after="32"/>
              <w:jc w:val="center"/>
              <w:rPr>
                <w:rFonts w:hint="default" w:ascii="Times New Roman" w:hAnsi="Times New Roman" w:cs="Times New Roman" w:eastAsiaTheme="minorEastAsia"/>
                <w:snapToGrid w:val="0"/>
                <w:kern w:val="21"/>
                <w:sz w:val="21"/>
                <w:szCs w:val="21"/>
                <w:lang w:val="en-US" w:eastAsia="zh-CN" w:bidi="ar-SA"/>
              </w:rPr>
            </w:pPr>
            <w:r>
              <w:rPr>
                <w:rFonts w:hint="eastAsia" w:ascii="Times New Roman" w:hAnsi="Times New Roman" w:cs="Times New Roman"/>
                <w:snapToGrid w:val="0"/>
                <w:kern w:val="21"/>
                <w:szCs w:val="21"/>
                <w:lang w:val="en-US" w:eastAsia="zh-CN"/>
              </w:rPr>
              <w:t>/</w:t>
            </w:r>
          </w:p>
        </w:tc>
        <w:tc>
          <w:tcPr>
            <w:tcW w:w="602" w:type="pct"/>
            <w:shd w:val="clear" w:color="auto" w:fill="auto"/>
            <w:vAlign w:val="center"/>
          </w:tcPr>
          <w:p w14:paraId="367EB2CA">
            <w:pPr>
              <w:spacing w:before="32" w:after="32"/>
              <w:jc w:val="center"/>
              <w:rPr>
                <w:rFonts w:hint="default" w:ascii="Times New Roman" w:hAnsi="Times New Roman" w:cs="Times New Roman" w:eastAsiaTheme="minorEastAsia"/>
                <w:snapToGrid w:val="0"/>
                <w:kern w:val="21"/>
                <w:sz w:val="21"/>
                <w:szCs w:val="21"/>
                <w:lang w:val="en-US" w:eastAsia="zh-CN" w:bidi="ar-SA"/>
              </w:rPr>
            </w:pPr>
            <w:r>
              <w:rPr>
                <w:rFonts w:hint="eastAsia" w:ascii="Times New Roman" w:hAnsi="Times New Roman" w:cs="Times New Roman"/>
                <w:snapToGrid w:val="0"/>
                <w:kern w:val="21"/>
                <w:szCs w:val="21"/>
                <w:lang w:val="en-US" w:eastAsia="zh-CN"/>
              </w:rPr>
              <w:t>0</w:t>
            </w:r>
          </w:p>
        </w:tc>
        <w:tc>
          <w:tcPr>
            <w:tcW w:w="550" w:type="pct"/>
            <w:shd w:val="clear" w:color="auto" w:fill="auto"/>
            <w:vAlign w:val="center"/>
          </w:tcPr>
          <w:p w14:paraId="487909A6">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eastAsia="宋体" w:cs="Times New Roman"/>
                <w:b w:val="0"/>
                <w:bCs/>
                <w:sz w:val="21"/>
                <w:szCs w:val="21"/>
                <w:lang w:val="en-US" w:eastAsia="zh-CN"/>
              </w:rPr>
            </w:pPr>
            <w:r>
              <w:rPr>
                <w:rFonts w:hint="eastAsia" w:eastAsia="宋体" w:cs="Times New Roman"/>
                <w:b w:val="0"/>
                <w:bCs/>
                <w:sz w:val="21"/>
                <w:szCs w:val="21"/>
                <w:lang w:val="en-US" w:eastAsia="zh-CN"/>
              </w:rPr>
              <w:t>0.03</w:t>
            </w:r>
          </w:p>
        </w:tc>
        <w:tc>
          <w:tcPr>
            <w:tcW w:w="624" w:type="pct"/>
            <w:vAlign w:val="center"/>
          </w:tcPr>
          <w:p w14:paraId="2B1674A0">
            <w:pPr>
              <w:spacing w:before="32" w:after="32"/>
              <w:jc w:val="center"/>
              <w:rPr>
                <w:rFonts w:hint="default" w:ascii="Times New Roman" w:hAnsi="Times New Roman" w:eastAsia="宋体" w:cs="Times New Roman"/>
                <w:snapToGrid w:val="0"/>
                <w:kern w:val="21"/>
                <w:szCs w:val="21"/>
                <w:lang w:val="en-US" w:eastAsia="zh-CN"/>
              </w:rPr>
            </w:pPr>
            <w:r>
              <w:rPr>
                <w:rFonts w:hint="eastAsia" w:ascii="Times New Roman" w:hAnsi="Times New Roman" w:eastAsia="宋体" w:cs="Times New Roman"/>
                <w:snapToGrid w:val="0"/>
                <w:kern w:val="21"/>
                <w:szCs w:val="21"/>
                <w:lang w:val="en-US" w:eastAsia="zh-CN"/>
              </w:rPr>
              <w:t>0</w:t>
            </w:r>
          </w:p>
        </w:tc>
        <w:tc>
          <w:tcPr>
            <w:tcW w:w="694" w:type="pct"/>
            <w:shd w:val="clear" w:color="auto" w:fill="auto"/>
            <w:vAlign w:val="center"/>
          </w:tcPr>
          <w:p w14:paraId="720DCFBA">
            <w:pPr>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0.03</w:t>
            </w:r>
          </w:p>
        </w:tc>
        <w:tc>
          <w:tcPr>
            <w:tcW w:w="417" w:type="pct"/>
            <w:shd w:val="clear" w:color="auto" w:fill="auto"/>
            <w:vAlign w:val="center"/>
          </w:tcPr>
          <w:p w14:paraId="1C9FA873">
            <w:pPr>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w:t>
            </w:r>
            <w:r>
              <w:rPr>
                <w:rFonts w:hint="default" w:ascii="Times New Roman" w:hAnsi="Times New Roman" w:eastAsia="宋体" w:cs="Times New Roman"/>
                <w:b w:val="0"/>
                <w:bCs/>
                <w:sz w:val="21"/>
                <w:szCs w:val="21"/>
                <w:lang w:val="en-US" w:eastAsia="zh-CN"/>
              </w:rPr>
              <w:t>0.03</w:t>
            </w:r>
          </w:p>
        </w:tc>
      </w:tr>
      <w:tr w14:paraId="19529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0" w:hRule="atLeast"/>
        </w:trPr>
        <w:tc>
          <w:tcPr>
            <w:tcW w:w="560" w:type="pct"/>
            <w:vMerge w:val="continue"/>
            <w:vAlign w:val="center"/>
          </w:tcPr>
          <w:p w14:paraId="3D26E13C">
            <w:pPr>
              <w:spacing w:before="32" w:after="32"/>
              <w:jc w:val="center"/>
              <w:rPr>
                <w:rFonts w:hint="default" w:ascii="Times New Roman" w:hAnsi="Times New Roman" w:cs="Times New Roman"/>
              </w:rPr>
            </w:pPr>
          </w:p>
        </w:tc>
        <w:tc>
          <w:tcPr>
            <w:tcW w:w="571" w:type="pct"/>
            <w:shd w:val="clear" w:color="auto" w:fill="auto"/>
            <w:vAlign w:val="center"/>
          </w:tcPr>
          <w:p w14:paraId="18BFBC2E">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废机油</w:t>
            </w:r>
          </w:p>
        </w:tc>
        <w:tc>
          <w:tcPr>
            <w:tcW w:w="529" w:type="pct"/>
            <w:vAlign w:val="center"/>
          </w:tcPr>
          <w:p w14:paraId="4BFEAEFD">
            <w:pPr>
              <w:spacing w:before="32" w:after="32"/>
              <w:jc w:val="center"/>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0</w:t>
            </w:r>
          </w:p>
        </w:tc>
        <w:tc>
          <w:tcPr>
            <w:tcW w:w="448" w:type="pct"/>
            <w:vAlign w:val="center"/>
          </w:tcPr>
          <w:p w14:paraId="27351D4D">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w:t>
            </w:r>
          </w:p>
        </w:tc>
        <w:tc>
          <w:tcPr>
            <w:tcW w:w="602" w:type="pct"/>
            <w:vAlign w:val="center"/>
          </w:tcPr>
          <w:p w14:paraId="3837A8ED">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0</w:t>
            </w:r>
          </w:p>
        </w:tc>
        <w:tc>
          <w:tcPr>
            <w:tcW w:w="550" w:type="pct"/>
            <w:shd w:val="clear" w:color="auto" w:fill="auto"/>
            <w:vAlign w:val="center"/>
          </w:tcPr>
          <w:p w14:paraId="2B03460A">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0.05</w:t>
            </w:r>
          </w:p>
        </w:tc>
        <w:tc>
          <w:tcPr>
            <w:tcW w:w="624" w:type="pct"/>
            <w:vAlign w:val="center"/>
          </w:tcPr>
          <w:p w14:paraId="79F55F2B">
            <w:pPr>
              <w:spacing w:before="32" w:after="32"/>
              <w:jc w:val="center"/>
              <w:rPr>
                <w:rFonts w:hint="default" w:ascii="Times New Roman" w:hAnsi="Times New Roman" w:eastAsia="宋体" w:cs="Times New Roman"/>
                <w:snapToGrid w:val="0"/>
                <w:kern w:val="21"/>
                <w:szCs w:val="21"/>
                <w:lang w:val="en-US" w:eastAsia="zh-CN"/>
              </w:rPr>
            </w:pPr>
            <w:r>
              <w:rPr>
                <w:rFonts w:hint="eastAsia" w:ascii="Times New Roman" w:hAnsi="Times New Roman" w:eastAsia="宋体" w:cs="Times New Roman"/>
                <w:snapToGrid w:val="0"/>
                <w:kern w:val="21"/>
                <w:szCs w:val="21"/>
                <w:lang w:val="en-US" w:eastAsia="zh-CN"/>
              </w:rPr>
              <w:t>0</w:t>
            </w:r>
          </w:p>
        </w:tc>
        <w:tc>
          <w:tcPr>
            <w:tcW w:w="694" w:type="pct"/>
            <w:shd w:val="clear" w:color="auto" w:fill="auto"/>
            <w:vAlign w:val="center"/>
          </w:tcPr>
          <w:p w14:paraId="3CD8EC81">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0.05</w:t>
            </w:r>
          </w:p>
        </w:tc>
        <w:tc>
          <w:tcPr>
            <w:tcW w:w="417" w:type="pct"/>
            <w:shd w:val="clear" w:color="auto" w:fill="auto"/>
            <w:vAlign w:val="center"/>
          </w:tcPr>
          <w:p w14:paraId="64B4039B">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eastAsia="宋体" w:cs="Times New Roman"/>
                <w:b w:val="0"/>
                <w:bCs/>
                <w:sz w:val="21"/>
                <w:szCs w:val="21"/>
                <w:lang w:val="en-US" w:eastAsia="zh-CN"/>
              </w:rPr>
            </w:pPr>
            <w:r>
              <w:rPr>
                <w:rFonts w:hint="eastAsia" w:eastAsia="宋体" w:cs="Times New Roman"/>
                <w:b w:val="0"/>
                <w:bCs/>
                <w:sz w:val="21"/>
                <w:szCs w:val="21"/>
                <w:lang w:val="en-US" w:eastAsia="zh-CN"/>
              </w:rPr>
              <w:t>+0.05</w:t>
            </w:r>
          </w:p>
        </w:tc>
      </w:tr>
      <w:tr w14:paraId="76F8A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0" w:hRule="atLeast"/>
        </w:trPr>
        <w:tc>
          <w:tcPr>
            <w:tcW w:w="560" w:type="pct"/>
            <w:vMerge w:val="continue"/>
            <w:vAlign w:val="center"/>
          </w:tcPr>
          <w:p w14:paraId="645B7E97">
            <w:pPr>
              <w:spacing w:before="32" w:after="32"/>
              <w:jc w:val="center"/>
              <w:rPr>
                <w:rFonts w:hint="default" w:ascii="Times New Roman" w:hAnsi="Times New Roman" w:cs="Times New Roman"/>
              </w:rPr>
            </w:pPr>
          </w:p>
        </w:tc>
        <w:tc>
          <w:tcPr>
            <w:tcW w:w="571" w:type="pct"/>
            <w:shd w:val="clear" w:color="auto" w:fill="auto"/>
            <w:vAlign w:val="center"/>
          </w:tcPr>
          <w:p w14:paraId="1AABE63F">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废机油桶</w:t>
            </w:r>
          </w:p>
        </w:tc>
        <w:tc>
          <w:tcPr>
            <w:tcW w:w="529" w:type="pct"/>
            <w:vAlign w:val="center"/>
          </w:tcPr>
          <w:p w14:paraId="078AAB94">
            <w:pPr>
              <w:spacing w:before="32" w:after="32"/>
              <w:jc w:val="center"/>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0</w:t>
            </w:r>
          </w:p>
        </w:tc>
        <w:tc>
          <w:tcPr>
            <w:tcW w:w="448" w:type="pct"/>
            <w:vAlign w:val="center"/>
          </w:tcPr>
          <w:p w14:paraId="0E73B3F6">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w:t>
            </w:r>
          </w:p>
        </w:tc>
        <w:tc>
          <w:tcPr>
            <w:tcW w:w="602" w:type="pct"/>
            <w:vAlign w:val="center"/>
          </w:tcPr>
          <w:p w14:paraId="7075DC5C">
            <w:pPr>
              <w:spacing w:before="32" w:after="32"/>
              <w:jc w:val="center"/>
              <w:rPr>
                <w:rFonts w:hint="default" w:ascii="Times New Roman" w:hAnsi="Times New Roman" w:cs="Times New Roman"/>
                <w:snapToGrid w:val="0"/>
                <w:kern w:val="21"/>
                <w:szCs w:val="21"/>
                <w:lang w:val="en-US" w:eastAsia="zh-CN"/>
              </w:rPr>
            </w:pPr>
            <w:r>
              <w:rPr>
                <w:rFonts w:hint="eastAsia" w:ascii="Times New Roman" w:hAnsi="Times New Roman" w:cs="Times New Roman"/>
                <w:snapToGrid w:val="0"/>
                <w:kern w:val="21"/>
                <w:szCs w:val="21"/>
                <w:lang w:val="en-US" w:eastAsia="zh-CN"/>
              </w:rPr>
              <w:t>0</w:t>
            </w:r>
          </w:p>
        </w:tc>
        <w:tc>
          <w:tcPr>
            <w:tcW w:w="550" w:type="pct"/>
            <w:shd w:val="clear" w:color="auto" w:fill="auto"/>
            <w:vAlign w:val="center"/>
          </w:tcPr>
          <w:p w14:paraId="2332531A">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0.01</w:t>
            </w:r>
          </w:p>
        </w:tc>
        <w:tc>
          <w:tcPr>
            <w:tcW w:w="624" w:type="pct"/>
            <w:vAlign w:val="center"/>
          </w:tcPr>
          <w:p w14:paraId="70C1BB7F">
            <w:pPr>
              <w:spacing w:before="32" w:after="32"/>
              <w:jc w:val="center"/>
              <w:rPr>
                <w:rFonts w:hint="default" w:ascii="Times New Roman" w:hAnsi="Times New Roman" w:eastAsia="宋体" w:cs="Times New Roman"/>
                <w:snapToGrid w:val="0"/>
                <w:kern w:val="21"/>
                <w:szCs w:val="21"/>
                <w:lang w:val="en-US" w:eastAsia="zh-CN"/>
              </w:rPr>
            </w:pPr>
            <w:r>
              <w:rPr>
                <w:rFonts w:hint="eastAsia" w:ascii="Times New Roman" w:hAnsi="Times New Roman" w:eastAsia="宋体" w:cs="Times New Roman"/>
                <w:snapToGrid w:val="0"/>
                <w:kern w:val="21"/>
                <w:szCs w:val="21"/>
                <w:lang w:val="en-US" w:eastAsia="zh-CN"/>
              </w:rPr>
              <w:t>0</w:t>
            </w:r>
          </w:p>
        </w:tc>
        <w:tc>
          <w:tcPr>
            <w:tcW w:w="694" w:type="pct"/>
            <w:shd w:val="clear" w:color="auto" w:fill="auto"/>
            <w:vAlign w:val="center"/>
          </w:tcPr>
          <w:p w14:paraId="75A86FFD">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sz w:val="21"/>
                <w:szCs w:val="21"/>
                <w:lang w:val="en-US" w:eastAsia="zh-CN"/>
              </w:rPr>
            </w:pPr>
            <w:r>
              <w:rPr>
                <w:rFonts w:hint="eastAsia" w:eastAsia="宋体" w:cs="Times New Roman"/>
                <w:b w:val="0"/>
                <w:bCs/>
                <w:sz w:val="21"/>
                <w:szCs w:val="21"/>
                <w:lang w:val="en-US" w:eastAsia="zh-CN"/>
              </w:rPr>
              <w:t>0.01</w:t>
            </w:r>
          </w:p>
        </w:tc>
        <w:tc>
          <w:tcPr>
            <w:tcW w:w="417" w:type="pct"/>
            <w:shd w:val="clear" w:color="auto" w:fill="auto"/>
            <w:vAlign w:val="center"/>
          </w:tcPr>
          <w:p w14:paraId="6C4D11D8">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eastAsia="宋体" w:cs="Times New Roman"/>
                <w:b w:val="0"/>
                <w:bCs/>
                <w:sz w:val="21"/>
                <w:szCs w:val="21"/>
                <w:lang w:val="en-US" w:eastAsia="zh-CN"/>
              </w:rPr>
            </w:pPr>
            <w:r>
              <w:rPr>
                <w:rFonts w:hint="eastAsia" w:eastAsia="宋体" w:cs="Times New Roman"/>
                <w:b w:val="0"/>
                <w:bCs/>
                <w:sz w:val="21"/>
                <w:szCs w:val="21"/>
                <w:lang w:val="en-US" w:eastAsia="zh-CN"/>
              </w:rPr>
              <w:t>+0.01</w:t>
            </w:r>
          </w:p>
        </w:tc>
      </w:tr>
      <w:tr w14:paraId="788E0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0" w:hRule="atLeast"/>
        </w:trPr>
        <w:tc>
          <w:tcPr>
            <w:tcW w:w="560" w:type="pct"/>
            <w:vMerge w:val="continue"/>
            <w:vAlign w:val="center"/>
          </w:tcPr>
          <w:p w14:paraId="24A69057">
            <w:pPr>
              <w:spacing w:before="32" w:after="32"/>
              <w:jc w:val="center"/>
              <w:rPr>
                <w:rFonts w:hint="default" w:ascii="Times New Roman" w:hAnsi="Times New Roman" w:cs="Times New Roman"/>
              </w:rPr>
            </w:pPr>
          </w:p>
        </w:tc>
        <w:tc>
          <w:tcPr>
            <w:tcW w:w="571" w:type="pct"/>
            <w:shd w:val="clear" w:color="auto" w:fill="auto"/>
            <w:vAlign w:val="center"/>
          </w:tcPr>
          <w:p w14:paraId="695D501D">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eastAsia="zh-CN"/>
              </w:rPr>
              <w:t>废含油抹布手套</w:t>
            </w:r>
          </w:p>
        </w:tc>
        <w:tc>
          <w:tcPr>
            <w:tcW w:w="529" w:type="pct"/>
            <w:vAlign w:val="center"/>
          </w:tcPr>
          <w:p w14:paraId="0ED6AC23">
            <w:pPr>
              <w:spacing w:before="32" w:after="32"/>
              <w:jc w:val="center"/>
              <w:rPr>
                <w:rFonts w:hint="default" w:ascii="Times New Roman" w:hAnsi="Times New Roman" w:cs="Times New Roman"/>
                <w:snapToGrid w:val="0"/>
                <w:kern w:val="21"/>
                <w:szCs w:val="21"/>
                <w:lang w:val="en-US" w:eastAsia="zh-CN"/>
              </w:rPr>
            </w:pPr>
            <w:r>
              <w:rPr>
                <w:rFonts w:hint="default" w:ascii="Times New Roman" w:hAnsi="Times New Roman" w:eastAsia="宋体" w:cs="Times New Roman"/>
                <w:spacing w:val="-1"/>
                <w:sz w:val="21"/>
                <w:szCs w:val="21"/>
                <w:lang w:val="en-US" w:eastAsia="zh-CN"/>
              </w:rPr>
              <w:t>0</w:t>
            </w:r>
          </w:p>
        </w:tc>
        <w:tc>
          <w:tcPr>
            <w:tcW w:w="448" w:type="pct"/>
            <w:vAlign w:val="center"/>
          </w:tcPr>
          <w:p w14:paraId="2BB56438">
            <w:pPr>
              <w:spacing w:before="32" w:after="32"/>
              <w:jc w:val="center"/>
              <w:rPr>
                <w:rFonts w:hint="default" w:ascii="Times New Roman" w:hAnsi="Times New Roman" w:cs="Times New Roman"/>
                <w:snapToGrid w:val="0"/>
                <w:kern w:val="21"/>
                <w:sz w:val="21"/>
                <w:szCs w:val="21"/>
                <w:lang w:val="en-US" w:eastAsia="zh-CN" w:bidi="ar-SA"/>
              </w:rPr>
            </w:pPr>
            <w:r>
              <w:rPr>
                <w:rFonts w:hint="default" w:ascii="Times New Roman" w:hAnsi="Times New Roman" w:cs="Times New Roman"/>
                <w:snapToGrid w:val="0"/>
                <w:kern w:val="21"/>
                <w:szCs w:val="21"/>
                <w:lang w:val="en-US" w:eastAsia="zh-CN"/>
              </w:rPr>
              <w:t>/</w:t>
            </w:r>
          </w:p>
        </w:tc>
        <w:tc>
          <w:tcPr>
            <w:tcW w:w="602" w:type="pct"/>
            <w:vAlign w:val="center"/>
          </w:tcPr>
          <w:p w14:paraId="5B5A759C">
            <w:pPr>
              <w:spacing w:before="32" w:after="32"/>
              <w:jc w:val="center"/>
              <w:rPr>
                <w:rFonts w:hint="default" w:ascii="Times New Roman" w:hAnsi="Times New Roman" w:cs="Times New Roman"/>
                <w:snapToGrid w:val="0"/>
                <w:kern w:val="21"/>
                <w:szCs w:val="21"/>
                <w:lang w:val="en-US" w:eastAsia="zh-CN"/>
              </w:rPr>
            </w:pPr>
            <w:r>
              <w:rPr>
                <w:rFonts w:hint="default" w:ascii="Times New Roman" w:hAnsi="Times New Roman" w:cs="Times New Roman"/>
                <w:snapToGrid w:val="0"/>
                <w:kern w:val="21"/>
                <w:szCs w:val="21"/>
                <w:lang w:val="en-US" w:eastAsia="zh-CN"/>
              </w:rPr>
              <w:t>0</w:t>
            </w:r>
          </w:p>
        </w:tc>
        <w:tc>
          <w:tcPr>
            <w:tcW w:w="550" w:type="pct"/>
            <w:shd w:val="clear" w:color="auto" w:fill="auto"/>
            <w:vAlign w:val="center"/>
          </w:tcPr>
          <w:p w14:paraId="6937F0F8">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eastAsia"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0.0</w:t>
            </w:r>
            <w:r>
              <w:rPr>
                <w:rFonts w:hint="eastAsia" w:eastAsia="宋体" w:cs="Times New Roman"/>
                <w:b w:val="0"/>
                <w:bCs/>
                <w:sz w:val="21"/>
                <w:szCs w:val="21"/>
                <w:lang w:val="en-US" w:eastAsia="zh-CN"/>
              </w:rPr>
              <w:t>1</w:t>
            </w:r>
          </w:p>
        </w:tc>
        <w:tc>
          <w:tcPr>
            <w:tcW w:w="624" w:type="pct"/>
            <w:vAlign w:val="center"/>
          </w:tcPr>
          <w:p w14:paraId="152F0A71">
            <w:pPr>
              <w:spacing w:before="32" w:after="32"/>
              <w:jc w:val="center"/>
              <w:rPr>
                <w:rFonts w:hint="eastAsia" w:ascii="Times New Roman" w:hAnsi="Times New Roman" w:eastAsia="宋体" w:cs="Times New Roman"/>
                <w:snapToGrid w:val="0"/>
                <w:kern w:val="21"/>
                <w:szCs w:val="21"/>
                <w:lang w:val="en-US" w:eastAsia="zh-CN"/>
              </w:rPr>
            </w:pPr>
            <w:r>
              <w:rPr>
                <w:rFonts w:hint="eastAsia" w:ascii="Times New Roman" w:hAnsi="Times New Roman" w:eastAsia="宋体" w:cs="Times New Roman"/>
                <w:snapToGrid w:val="0"/>
                <w:kern w:val="21"/>
                <w:szCs w:val="21"/>
                <w:lang w:val="en-US" w:eastAsia="zh-CN"/>
              </w:rPr>
              <w:t>0</w:t>
            </w:r>
          </w:p>
        </w:tc>
        <w:tc>
          <w:tcPr>
            <w:tcW w:w="694" w:type="pct"/>
            <w:shd w:val="clear" w:color="auto" w:fill="auto"/>
            <w:vAlign w:val="center"/>
          </w:tcPr>
          <w:p w14:paraId="79FC8FC6">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default" w:ascii="Times New Roman" w:hAnsi="Times New Roman" w:eastAsia="宋体" w:cs="Times New Roman"/>
                <w:b w:val="0"/>
                <w:bCs/>
                <w:sz w:val="21"/>
                <w:szCs w:val="21"/>
                <w:lang w:val="en-US" w:eastAsia="zh-CN"/>
              </w:rPr>
              <w:t>0.0</w:t>
            </w:r>
            <w:r>
              <w:rPr>
                <w:rFonts w:hint="eastAsia" w:eastAsia="宋体" w:cs="Times New Roman"/>
                <w:b w:val="0"/>
                <w:bCs/>
                <w:sz w:val="21"/>
                <w:szCs w:val="21"/>
                <w:lang w:val="en-US" w:eastAsia="zh-CN"/>
              </w:rPr>
              <w:t>1</w:t>
            </w:r>
          </w:p>
        </w:tc>
        <w:tc>
          <w:tcPr>
            <w:tcW w:w="417" w:type="pct"/>
            <w:shd w:val="clear" w:color="auto" w:fill="auto"/>
            <w:vAlign w:val="center"/>
          </w:tcPr>
          <w:p w14:paraId="20231C4C">
            <w:pPr>
              <w:pStyle w:val="41"/>
              <w:keepNext/>
              <w:keepLines w:val="0"/>
              <w:pageBreakBefore w:val="0"/>
              <w:widowControl w:val="0"/>
              <w:kinsoku/>
              <w:wordWrap/>
              <w:overflowPunct/>
              <w:topLinePunct w:val="0"/>
              <w:autoSpaceDE/>
              <w:autoSpaceDN/>
              <w:bidi w:val="0"/>
              <w:adjustRightInd w:val="0"/>
              <w:snapToGrid/>
              <w:spacing w:before="31" w:after="31" w:line="360" w:lineRule="exact"/>
              <w:ind w:firstLine="0" w:firstLineChars="0"/>
              <w:textAlignment w:val="auto"/>
              <w:rPr>
                <w:rFonts w:hint="default" w:ascii="Times New Roman" w:hAnsi="Times New Roman" w:eastAsia="宋体" w:cs="Times New Roman"/>
                <w:b w:val="0"/>
                <w:bCs/>
                <w:kern w:val="0"/>
                <w:sz w:val="21"/>
                <w:szCs w:val="21"/>
                <w:lang w:val="en-US" w:eastAsia="zh-CN" w:bidi="ar-SA"/>
              </w:rPr>
            </w:pPr>
            <w:r>
              <w:rPr>
                <w:rFonts w:hint="eastAsia" w:eastAsia="宋体" w:cs="Times New Roman"/>
                <w:b w:val="0"/>
                <w:bCs/>
                <w:sz w:val="21"/>
                <w:szCs w:val="21"/>
                <w:lang w:val="en-US" w:eastAsia="zh-CN"/>
              </w:rPr>
              <w:t>+</w:t>
            </w:r>
            <w:r>
              <w:rPr>
                <w:rFonts w:hint="default" w:ascii="Times New Roman" w:hAnsi="Times New Roman" w:eastAsia="宋体" w:cs="Times New Roman"/>
                <w:b w:val="0"/>
                <w:bCs/>
                <w:sz w:val="21"/>
                <w:szCs w:val="21"/>
                <w:lang w:val="en-US" w:eastAsia="zh-CN"/>
              </w:rPr>
              <w:t>0.0</w:t>
            </w:r>
            <w:r>
              <w:rPr>
                <w:rFonts w:hint="eastAsia" w:eastAsia="宋体" w:cs="Times New Roman"/>
                <w:b w:val="0"/>
                <w:bCs/>
                <w:sz w:val="21"/>
                <w:szCs w:val="21"/>
                <w:lang w:val="en-US" w:eastAsia="zh-CN"/>
              </w:rPr>
              <w:t>1</w:t>
            </w:r>
          </w:p>
        </w:tc>
      </w:tr>
    </w:tbl>
    <w:p w14:paraId="6CA204FE">
      <w:pPr>
        <w:pStyle w:val="28"/>
        <w:jc w:val="left"/>
        <w:rPr>
          <w:rFonts w:hint="default" w:ascii="Times New Roman" w:hAnsi="Times New Roman" w:cs="Times New Roman"/>
          <w:lang w:val="en-US" w:eastAsia="zh-CN"/>
        </w:rPr>
      </w:pPr>
      <w:r>
        <w:rPr>
          <w:rFonts w:ascii="Times New Roman" w:hAnsi="Times New Roman" w:cs="Times New Roman"/>
          <w:b w:val="0"/>
          <w:bCs/>
          <w:snapToGrid w:val="0"/>
          <w:kern w:val="21"/>
          <w:szCs w:val="21"/>
        </w:rPr>
        <w:t>注：</w:t>
      </w:r>
      <w:r>
        <w:rPr>
          <w:rFonts w:ascii="Times New Roman" w:hAnsi="Times New Roman" w:cs="Times New Roman"/>
          <w:b w:val="0"/>
          <w:bCs/>
          <w:snapToGrid w:val="0"/>
          <w:spacing w:val="-16"/>
          <w:kern w:val="21"/>
          <w:szCs w:val="21"/>
        </w:rPr>
        <w:fldChar w:fldCharType="begin"/>
      </w:r>
      <w:r>
        <w:rPr>
          <w:rFonts w:ascii="Times New Roman" w:hAnsi="Times New Roman" w:cs="Times New Roman"/>
          <w:b w:val="0"/>
          <w:bCs/>
          <w:snapToGrid w:val="0"/>
          <w:spacing w:val="-16"/>
          <w:kern w:val="21"/>
          <w:szCs w:val="21"/>
        </w:rPr>
        <w:instrText xml:space="preserve"> = 6 \* GB3 \* MERGEFORMAT </w:instrText>
      </w:r>
      <w:r>
        <w:rPr>
          <w:rFonts w:ascii="Times New Roman" w:hAnsi="Times New Roman" w:cs="Times New Roman"/>
          <w:b w:val="0"/>
          <w:bCs/>
          <w:snapToGrid w:val="0"/>
          <w:spacing w:val="-16"/>
          <w:kern w:val="21"/>
          <w:szCs w:val="21"/>
        </w:rPr>
        <w:fldChar w:fldCharType="separate"/>
      </w:r>
      <w:r>
        <w:rPr>
          <w:rFonts w:ascii="Times New Roman" w:hAnsi="Times New Roman" w:cs="Times New Roman"/>
          <w:b w:val="0"/>
          <w:bCs/>
          <w:szCs w:val="21"/>
        </w:rPr>
        <w:t>⑥</w:t>
      </w:r>
      <w:r>
        <w:rPr>
          <w:rFonts w:ascii="Times New Roman" w:hAnsi="Times New Roman" w:cs="Times New Roman"/>
          <w:b w:val="0"/>
          <w:bCs/>
          <w:snapToGrid w:val="0"/>
          <w:spacing w:val="-16"/>
          <w:kern w:val="21"/>
          <w:szCs w:val="21"/>
        </w:rPr>
        <w:fldChar w:fldCharType="end"/>
      </w:r>
      <w:r>
        <w:rPr>
          <w:rFonts w:ascii="Times New Roman" w:hAnsi="Times New Roman" w:cs="Times New Roman"/>
          <w:b w:val="0"/>
          <w:bCs/>
          <w:snapToGrid w:val="0"/>
          <w:spacing w:val="-16"/>
          <w:kern w:val="21"/>
          <w:szCs w:val="21"/>
        </w:rPr>
        <w:t>=</w:t>
      </w:r>
      <w:r>
        <w:rPr>
          <w:rFonts w:ascii="Times New Roman" w:hAnsi="Times New Roman" w:cs="Times New Roman"/>
          <w:b w:val="0"/>
          <w:bCs/>
          <w:snapToGrid w:val="0"/>
          <w:spacing w:val="-6"/>
          <w:kern w:val="21"/>
          <w:szCs w:val="21"/>
        </w:rPr>
        <w:fldChar w:fldCharType="begin"/>
      </w:r>
      <w:r>
        <w:rPr>
          <w:rFonts w:ascii="Times New Roman" w:hAnsi="Times New Roman" w:cs="Times New Roman"/>
          <w:b w:val="0"/>
          <w:bCs/>
          <w:snapToGrid w:val="0"/>
          <w:spacing w:val="-6"/>
          <w:kern w:val="21"/>
          <w:szCs w:val="21"/>
        </w:rPr>
        <w:instrText xml:space="preserve"> = 1 \* GB3 \* MERGEFORMAT </w:instrText>
      </w:r>
      <w:r>
        <w:rPr>
          <w:rFonts w:ascii="Times New Roman" w:hAnsi="Times New Roman" w:cs="Times New Roman"/>
          <w:b w:val="0"/>
          <w:bCs/>
          <w:snapToGrid w:val="0"/>
          <w:spacing w:val="-6"/>
          <w:kern w:val="21"/>
          <w:szCs w:val="21"/>
        </w:rPr>
        <w:fldChar w:fldCharType="separate"/>
      </w:r>
      <w:r>
        <w:rPr>
          <w:rFonts w:ascii="Times New Roman" w:hAnsi="Times New Roman" w:cs="Times New Roman"/>
          <w:b w:val="0"/>
          <w:bCs/>
          <w:szCs w:val="21"/>
        </w:rPr>
        <w:t>①</w:t>
      </w:r>
      <w:r>
        <w:rPr>
          <w:rFonts w:ascii="Times New Roman" w:hAnsi="Times New Roman" w:cs="Times New Roman"/>
          <w:b w:val="0"/>
          <w:bCs/>
          <w:snapToGrid w:val="0"/>
          <w:spacing w:val="-6"/>
          <w:kern w:val="21"/>
          <w:szCs w:val="21"/>
        </w:rPr>
        <w:fldChar w:fldCharType="end"/>
      </w:r>
      <w:r>
        <w:rPr>
          <w:rFonts w:ascii="Times New Roman" w:hAnsi="Times New Roman" w:cs="Times New Roman"/>
          <w:b w:val="0"/>
          <w:bCs/>
          <w:snapToGrid w:val="0"/>
          <w:spacing w:val="-6"/>
          <w:kern w:val="21"/>
          <w:szCs w:val="21"/>
        </w:rPr>
        <w:t>+</w:t>
      </w:r>
      <w:r>
        <w:rPr>
          <w:rFonts w:ascii="Times New Roman" w:hAnsi="Times New Roman" w:cs="Times New Roman"/>
          <w:b w:val="0"/>
          <w:bCs/>
          <w:snapToGrid w:val="0"/>
          <w:spacing w:val="-6"/>
          <w:kern w:val="21"/>
          <w:szCs w:val="21"/>
        </w:rPr>
        <w:fldChar w:fldCharType="begin"/>
      </w:r>
      <w:r>
        <w:rPr>
          <w:rFonts w:ascii="Times New Roman" w:hAnsi="Times New Roman" w:cs="Times New Roman"/>
          <w:b w:val="0"/>
          <w:bCs/>
          <w:snapToGrid w:val="0"/>
          <w:spacing w:val="-6"/>
          <w:kern w:val="21"/>
          <w:szCs w:val="21"/>
        </w:rPr>
        <w:instrText xml:space="preserve"> = 3 \* GB3 \* MERGEFORMAT </w:instrText>
      </w:r>
      <w:r>
        <w:rPr>
          <w:rFonts w:ascii="Times New Roman" w:hAnsi="Times New Roman" w:cs="Times New Roman"/>
          <w:b w:val="0"/>
          <w:bCs/>
          <w:snapToGrid w:val="0"/>
          <w:spacing w:val="-6"/>
          <w:kern w:val="21"/>
          <w:szCs w:val="21"/>
        </w:rPr>
        <w:fldChar w:fldCharType="separate"/>
      </w:r>
      <w:r>
        <w:rPr>
          <w:rFonts w:ascii="Times New Roman" w:hAnsi="Times New Roman" w:cs="Times New Roman"/>
          <w:b w:val="0"/>
          <w:bCs/>
          <w:szCs w:val="21"/>
        </w:rPr>
        <w:t>③</w:t>
      </w:r>
      <w:r>
        <w:rPr>
          <w:rFonts w:ascii="Times New Roman" w:hAnsi="Times New Roman" w:cs="Times New Roman"/>
          <w:b w:val="0"/>
          <w:bCs/>
          <w:snapToGrid w:val="0"/>
          <w:spacing w:val="-6"/>
          <w:kern w:val="21"/>
          <w:szCs w:val="21"/>
        </w:rPr>
        <w:fldChar w:fldCharType="end"/>
      </w:r>
      <w:r>
        <w:rPr>
          <w:rFonts w:ascii="Times New Roman" w:hAnsi="Times New Roman" w:cs="Times New Roman"/>
          <w:b w:val="0"/>
          <w:bCs/>
          <w:snapToGrid w:val="0"/>
          <w:spacing w:val="-6"/>
          <w:kern w:val="21"/>
          <w:szCs w:val="21"/>
        </w:rPr>
        <w:t>+</w:t>
      </w:r>
      <w:r>
        <w:rPr>
          <w:rFonts w:ascii="Times New Roman" w:hAnsi="Times New Roman" w:cs="Times New Roman"/>
          <w:b w:val="0"/>
          <w:bCs/>
          <w:snapToGrid w:val="0"/>
          <w:spacing w:val="-6"/>
          <w:kern w:val="21"/>
          <w:szCs w:val="21"/>
        </w:rPr>
        <w:fldChar w:fldCharType="begin"/>
      </w:r>
      <w:r>
        <w:rPr>
          <w:rFonts w:ascii="Times New Roman" w:hAnsi="Times New Roman" w:cs="Times New Roman"/>
          <w:b w:val="0"/>
          <w:bCs/>
          <w:snapToGrid w:val="0"/>
          <w:spacing w:val="-6"/>
          <w:kern w:val="21"/>
          <w:szCs w:val="21"/>
        </w:rPr>
        <w:instrText xml:space="preserve"> = 4 \* GB3 \* MERGEFORMAT </w:instrText>
      </w:r>
      <w:r>
        <w:rPr>
          <w:rFonts w:ascii="Times New Roman" w:hAnsi="Times New Roman" w:cs="Times New Roman"/>
          <w:b w:val="0"/>
          <w:bCs/>
          <w:snapToGrid w:val="0"/>
          <w:spacing w:val="-6"/>
          <w:kern w:val="21"/>
          <w:szCs w:val="21"/>
        </w:rPr>
        <w:fldChar w:fldCharType="separate"/>
      </w:r>
      <w:r>
        <w:rPr>
          <w:rFonts w:ascii="Times New Roman" w:hAnsi="Times New Roman" w:cs="Times New Roman"/>
          <w:b w:val="0"/>
          <w:bCs/>
          <w:szCs w:val="21"/>
        </w:rPr>
        <w:t>④</w:t>
      </w:r>
      <w:r>
        <w:rPr>
          <w:rFonts w:ascii="Times New Roman" w:hAnsi="Times New Roman" w:cs="Times New Roman"/>
          <w:b w:val="0"/>
          <w:bCs/>
          <w:snapToGrid w:val="0"/>
          <w:spacing w:val="-6"/>
          <w:kern w:val="21"/>
          <w:szCs w:val="21"/>
        </w:rPr>
        <w:fldChar w:fldCharType="end"/>
      </w:r>
      <w:r>
        <w:rPr>
          <w:rFonts w:ascii="Times New Roman" w:hAnsi="Times New Roman" w:cs="Times New Roman"/>
          <w:b w:val="0"/>
          <w:bCs/>
          <w:snapToGrid w:val="0"/>
          <w:spacing w:val="-6"/>
          <w:kern w:val="21"/>
          <w:szCs w:val="21"/>
        </w:rPr>
        <w:t>-</w:t>
      </w:r>
      <w:r>
        <w:rPr>
          <w:rFonts w:ascii="Times New Roman" w:hAnsi="Times New Roman" w:cs="Times New Roman"/>
          <w:b w:val="0"/>
          <w:bCs/>
          <w:snapToGrid w:val="0"/>
          <w:spacing w:val="-16"/>
          <w:kern w:val="21"/>
          <w:szCs w:val="21"/>
        </w:rPr>
        <w:fldChar w:fldCharType="begin"/>
      </w:r>
      <w:r>
        <w:rPr>
          <w:rFonts w:ascii="Times New Roman" w:hAnsi="Times New Roman" w:cs="Times New Roman"/>
          <w:b w:val="0"/>
          <w:bCs/>
          <w:snapToGrid w:val="0"/>
          <w:spacing w:val="-16"/>
          <w:kern w:val="21"/>
          <w:szCs w:val="21"/>
        </w:rPr>
        <w:instrText xml:space="preserve"> = 5 \* GB3 \* MERGEFORMAT </w:instrText>
      </w:r>
      <w:r>
        <w:rPr>
          <w:rFonts w:ascii="Times New Roman" w:hAnsi="Times New Roman" w:cs="Times New Roman"/>
          <w:b w:val="0"/>
          <w:bCs/>
          <w:snapToGrid w:val="0"/>
          <w:spacing w:val="-16"/>
          <w:kern w:val="21"/>
          <w:szCs w:val="21"/>
        </w:rPr>
        <w:fldChar w:fldCharType="separate"/>
      </w:r>
      <w:r>
        <w:rPr>
          <w:rFonts w:ascii="Times New Roman" w:hAnsi="Times New Roman" w:cs="Times New Roman"/>
          <w:b w:val="0"/>
          <w:bCs/>
          <w:szCs w:val="21"/>
        </w:rPr>
        <w:t>⑤</w:t>
      </w:r>
      <w:r>
        <w:rPr>
          <w:rFonts w:ascii="Times New Roman" w:hAnsi="Times New Roman" w:cs="Times New Roman"/>
          <w:b w:val="0"/>
          <w:bCs/>
          <w:snapToGrid w:val="0"/>
          <w:spacing w:val="-16"/>
          <w:kern w:val="21"/>
          <w:szCs w:val="21"/>
        </w:rPr>
        <w:fldChar w:fldCharType="end"/>
      </w:r>
      <w:r>
        <w:rPr>
          <w:rFonts w:ascii="Times New Roman" w:hAnsi="Times New Roman" w:cs="Times New Roman"/>
          <w:b w:val="0"/>
          <w:bCs/>
          <w:snapToGrid w:val="0"/>
          <w:spacing w:val="-16"/>
          <w:kern w:val="21"/>
          <w:szCs w:val="21"/>
        </w:rPr>
        <w:t>；</w:t>
      </w:r>
      <w:r>
        <w:rPr>
          <w:rFonts w:ascii="Times New Roman" w:hAnsi="Times New Roman" w:cs="Times New Roman"/>
          <w:b w:val="0"/>
          <w:bCs/>
          <w:snapToGrid w:val="0"/>
          <w:spacing w:val="-6"/>
          <w:kern w:val="21"/>
          <w:szCs w:val="21"/>
        </w:rPr>
        <w:fldChar w:fldCharType="begin"/>
      </w:r>
      <w:r>
        <w:rPr>
          <w:rFonts w:ascii="Times New Roman" w:hAnsi="Times New Roman" w:cs="Times New Roman"/>
          <w:b w:val="0"/>
          <w:bCs/>
          <w:snapToGrid w:val="0"/>
          <w:spacing w:val="-6"/>
          <w:kern w:val="21"/>
          <w:szCs w:val="21"/>
        </w:rPr>
        <w:instrText xml:space="preserve"> = 7 \* GB3 \* MERGEFORMAT </w:instrText>
      </w:r>
      <w:r>
        <w:rPr>
          <w:rFonts w:ascii="Times New Roman" w:hAnsi="Times New Roman" w:cs="Times New Roman"/>
          <w:b w:val="0"/>
          <w:bCs/>
          <w:snapToGrid w:val="0"/>
          <w:spacing w:val="-6"/>
          <w:kern w:val="21"/>
          <w:szCs w:val="21"/>
        </w:rPr>
        <w:fldChar w:fldCharType="separate"/>
      </w:r>
      <w:r>
        <w:rPr>
          <w:rFonts w:ascii="Times New Roman" w:hAnsi="Times New Roman" w:cs="Times New Roman"/>
          <w:b w:val="0"/>
          <w:bCs/>
          <w:szCs w:val="21"/>
        </w:rPr>
        <w:t>⑦</w:t>
      </w:r>
      <w:r>
        <w:rPr>
          <w:rFonts w:ascii="Times New Roman" w:hAnsi="Times New Roman" w:cs="Times New Roman"/>
          <w:b w:val="0"/>
          <w:bCs/>
          <w:snapToGrid w:val="0"/>
          <w:spacing w:val="-6"/>
          <w:kern w:val="21"/>
          <w:szCs w:val="21"/>
        </w:rPr>
        <w:fldChar w:fldCharType="end"/>
      </w:r>
      <w:r>
        <w:rPr>
          <w:rFonts w:ascii="Times New Roman" w:hAnsi="Times New Roman" w:cs="Times New Roman"/>
          <w:b w:val="0"/>
          <w:bCs/>
          <w:snapToGrid w:val="0"/>
          <w:spacing w:val="-6"/>
          <w:kern w:val="21"/>
          <w:szCs w:val="21"/>
        </w:rPr>
        <w:t>=</w:t>
      </w:r>
      <w:r>
        <w:rPr>
          <w:rFonts w:ascii="Times New Roman" w:hAnsi="Times New Roman" w:cs="Times New Roman"/>
          <w:b w:val="0"/>
          <w:bCs/>
          <w:snapToGrid w:val="0"/>
          <w:spacing w:val="-16"/>
          <w:kern w:val="21"/>
          <w:szCs w:val="21"/>
        </w:rPr>
        <w:fldChar w:fldCharType="begin"/>
      </w:r>
      <w:r>
        <w:rPr>
          <w:rFonts w:ascii="Times New Roman" w:hAnsi="Times New Roman" w:cs="Times New Roman"/>
          <w:b w:val="0"/>
          <w:bCs/>
          <w:snapToGrid w:val="0"/>
          <w:spacing w:val="-16"/>
          <w:kern w:val="21"/>
          <w:szCs w:val="21"/>
        </w:rPr>
        <w:instrText xml:space="preserve"> = 6 \* GB3 \* MERGEFORMAT </w:instrText>
      </w:r>
      <w:r>
        <w:rPr>
          <w:rFonts w:ascii="Times New Roman" w:hAnsi="Times New Roman" w:cs="Times New Roman"/>
          <w:b w:val="0"/>
          <w:bCs/>
          <w:snapToGrid w:val="0"/>
          <w:spacing w:val="-16"/>
          <w:kern w:val="21"/>
          <w:szCs w:val="21"/>
        </w:rPr>
        <w:fldChar w:fldCharType="separate"/>
      </w:r>
      <w:r>
        <w:rPr>
          <w:rFonts w:ascii="Times New Roman" w:hAnsi="Times New Roman" w:cs="Times New Roman"/>
          <w:b w:val="0"/>
          <w:bCs/>
          <w:szCs w:val="21"/>
        </w:rPr>
        <w:t>⑥</w:t>
      </w:r>
      <w:r>
        <w:rPr>
          <w:rFonts w:ascii="Times New Roman" w:hAnsi="Times New Roman" w:cs="Times New Roman"/>
          <w:b w:val="0"/>
          <w:bCs/>
          <w:snapToGrid w:val="0"/>
          <w:spacing w:val="-16"/>
          <w:kern w:val="21"/>
          <w:szCs w:val="21"/>
        </w:rPr>
        <w:fldChar w:fldCharType="end"/>
      </w:r>
      <w:r>
        <w:rPr>
          <w:rFonts w:ascii="Times New Roman" w:hAnsi="Times New Roman" w:cs="Times New Roman"/>
          <w:b w:val="0"/>
          <w:bCs/>
          <w:snapToGrid w:val="0"/>
          <w:spacing w:val="-16"/>
          <w:kern w:val="21"/>
          <w:szCs w:val="21"/>
        </w:rPr>
        <w:t>-</w:t>
      </w:r>
      <w:r>
        <w:rPr>
          <w:rFonts w:ascii="Times New Roman" w:hAnsi="Times New Roman" w:cs="Times New Roman"/>
          <w:b w:val="0"/>
          <w:bCs/>
          <w:snapToGrid w:val="0"/>
          <w:spacing w:val="-6"/>
          <w:kern w:val="21"/>
          <w:szCs w:val="21"/>
        </w:rPr>
        <w:fldChar w:fldCharType="begin"/>
      </w:r>
      <w:r>
        <w:rPr>
          <w:rFonts w:ascii="Times New Roman" w:hAnsi="Times New Roman" w:cs="Times New Roman"/>
          <w:b w:val="0"/>
          <w:bCs/>
          <w:snapToGrid w:val="0"/>
          <w:spacing w:val="-6"/>
          <w:kern w:val="21"/>
          <w:szCs w:val="21"/>
        </w:rPr>
        <w:instrText xml:space="preserve"> = 1 \* GB3 \* MERGEFORMAT </w:instrText>
      </w:r>
      <w:r>
        <w:rPr>
          <w:rFonts w:ascii="Times New Roman" w:hAnsi="Times New Roman" w:cs="Times New Roman"/>
          <w:b w:val="0"/>
          <w:bCs/>
          <w:snapToGrid w:val="0"/>
          <w:spacing w:val="-6"/>
          <w:kern w:val="21"/>
          <w:szCs w:val="21"/>
        </w:rPr>
        <w:fldChar w:fldCharType="separate"/>
      </w:r>
      <w:r>
        <w:rPr>
          <w:rFonts w:ascii="Times New Roman" w:hAnsi="Times New Roman" w:cs="Times New Roman"/>
          <w:b w:val="0"/>
          <w:bCs/>
          <w:szCs w:val="21"/>
        </w:rPr>
        <w:t>①</w:t>
      </w:r>
      <w:r>
        <w:rPr>
          <w:rFonts w:ascii="Times New Roman" w:hAnsi="Times New Roman" w:cs="Times New Roman"/>
          <w:b w:val="0"/>
          <w:bCs/>
          <w:snapToGrid w:val="0"/>
          <w:spacing w:val="-6"/>
          <w:kern w:val="21"/>
          <w:szCs w:val="21"/>
        </w:rPr>
        <w:fldChar w:fldCharType="end"/>
      </w:r>
      <w:r>
        <w:rPr>
          <w:rFonts w:hint="eastAsia" w:ascii="Times New Roman" w:hAnsi="Times New Roman" w:cs="Times New Roman"/>
          <w:b w:val="0"/>
          <w:bCs/>
          <w:snapToGrid w:val="0"/>
          <w:spacing w:val="-6"/>
          <w:kern w:val="21"/>
          <w:szCs w:val="21"/>
        </w:rPr>
        <w:t>；</w:t>
      </w:r>
      <w:r>
        <w:rPr>
          <w:rFonts w:ascii="Times New Roman" w:hAnsi="Times New Roman" w:cs="Times New Roman"/>
          <w:b w:val="0"/>
          <w:bCs/>
          <w:snapToGrid w:val="0"/>
          <w:spacing w:val="-6"/>
          <w:kern w:val="21"/>
          <w:szCs w:val="21"/>
        </w:rPr>
        <w:t>单位：t/</w:t>
      </w:r>
      <w:r>
        <w:rPr>
          <w:rFonts w:hint="eastAsia" w:ascii="Times New Roman" w:hAnsi="Times New Roman" w:cs="Times New Roman"/>
          <w:b w:val="0"/>
          <w:bCs/>
          <w:snapToGrid w:val="0"/>
          <w:spacing w:val="-6"/>
          <w:kern w:val="21"/>
          <w:szCs w:val="21"/>
          <w:lang w:val="en-US" w:eastAsia="zh-CN"/>
        </w:rPr>
        <w:t>a</w:t>
      </w:r>
    </w:p>
    <w:p w14:paraId="497F741C"/>
    <w:sectPr>
      <w:pgSz w:w="16838" w:h="11906" w:orient="landscape"/>
      <w:pgMar w:top="1417" w:right="1417" w:bottom="1417" w:left="141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A0204"/>
    <w:charset w:val="00"/>
    <w:family w:val="swiss"/>
    <w:pitch w:val="default"/>
    <w:sig w:usb0="E00002FF" w:usb1="4000ACFF" w:usb2="00000001" w:usb3="00000000" w:csb0="2000019F" w:csb1="00000000"/>
  </w:font>
  <w:font w:name="???-18030">
    <w:altName w:val="Segoe Print"/>
    <w:panose1 w:val="00000000000000000000"/>
    <w:charset w:val="00"/>
    <w:family w:val="auto"/>
    <w:pitch w:val="default"/>
    <w:sig w:usb0="00000000" w:usb1="00000000" w:usb2="00000000" w:usb3="00000000" w:csb0="00000001" w:csb1="00000000"/>
  </w:font>
  <w:font w:name="Segoe Print">
    <w:panose1 w:val="02000800000000000000"/>
    <w:charset w:val="00"/>
    <w:family w:val="auto"/>
    <w:pitch w:val="default"/>
    <w:sig w:usb0="0000028F" w:usb1="00000000" w:usb2="00000000" w:usb3="00000000" w:csb0="2000009F" w:csb1="47010000"/>
  </w:font>
  <w:font w:name="Arial Unicode MS">
    <w:altName w:val="Arial"/>
    <w:panose1 w:val="020B0604020202020204"/>
    <w:charset w:val="80"/>
    <w:family w:val="swiss"/>
    <w:pitch w:val="default"/>
    <w:sig w:usb0="00000000" w:usb1="00000000" w:usb2="0000003F" w:usb3="00000000" w:csb0="603F01FF" w:csb1="FFFF0000"/>
  </w:font>
  <w:font w:name="微软雅黑">
    <w:panose1 w:val="020B0503020204020204"/>
    <w:charset w:val="86"/>
    <w:family w:val="swiss"/>
    <w:pitch w:val="default"/>
    <w:sig w:usb0="80000287" w:usb1="280F3C52" w:usb2="00000016" w:usb3="00000000" w:csb0="0004001F" w:csb1="00000000"/>
  </w:font>
  <w:font w:name="Wingdings 2">
    <w:altName w:val="Wingdings"/>
    <w:panose1 w:val="05020102010507070707"/>
    <w:charset w:val="00"/>
    <w:family w:val="auto"/>
    <w:pitch w:val="default"/>
    <w:sig w:usb0="00000000" w:usb1="00000000" w:usb2="00000000" w:usb3="00000000" w:csb0="80000000" w:csb1="00000000"/>
  </w:font>
  <w:font w:name="方正小标宋_GBK">
    <w:altName w:val="微软雅黑"/>
    <w:panose1 w:val="02000000000000000000"/>
    <w:charset w:val="86"/>
    <w:family w:val="script"/>
    <w:pitch w:val="default"/>
    <w:sig w:usb0="00000000" w:usb1="00000000" w:usb2="00082016" w:usb3="00000000" w:csb0="00040001" w:csb1="00000000"/>
  </w:font>
  <w:font w:name="Wingdings">
    <w:panose1 w:val="05000000000000000000"/>
    <w:charset w:val="00"/>
    <w:family w:val="auto"/>
    <w:pitch w:val="default"/>
    <w:sig w:usb0="00000000" w:usb1="00000000" w:usb2="00000000" w:usb3="00000000" w:csb0="80000000" w:csb1="00000000"/>
  </w:font>
  <w:font w:name="Kingsoft UE">
    <w:altName w:val="Courier New"/>
    <w:panose1 w:val="00000000000000000000"/>
    <w:charset w:val="00"/>
    <w:family w:val="auto"/>
    <w:pitch w:val="default"/>
    <w:sig w:usb0="00000000" w:usb1="00000000" w:usb2="00000000" w:usb3="00000000" w:csb0="00000000" w:csb1="00000000"/>
  </w:font>
  <w:font w:name="Courier New">
    <w:panose1 w:val="02070309020205020404"/>
    <w:charset w:val="00"/>
    <w:family w:val="auto"/>
    <w:pitch w:val="default"/>
    <w:sig w:usb0="E0002AFF" w:usb1="C0007843" w:usb2="00000009" w:usb3="00000000" w:csb0="400001FF" w:csb1="FFFF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66453">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A091DF">
                          <w:pPr>
                            <w:pStyle w:val="16"/>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3A091DF">
                    <w:pPr>
                      <w:pStyle w:val="16"/>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C79F5">
    <w:pPr>
      <w:pStyle w:val="16"/>
      <w:tabs>
        <w:tab w:val="center" w:pos="7002"/>
        <w:tab w:val="clear" w:pos="4153"/>
      </w:tabs>
      <w:rPr>
        <w:rFonts w:hint="eastAsia" w:eastAsiaTheme="minorEastAsia"/>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B0F84D">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6B0F84D">
                    <w:pPr>
                      <w:pStyle w:val="16"/>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8FAE1A">
                          <w:pPr>
                            <w:pStyle w:val="16"/>
                            <w:rPr>
                              <w:rFonts w:hint="default" w:ascii="Times New Roman" w:hAnsi="Times New Roman" w:cs="Times New Roman"/>
                              <w:lang w:val="en-US"/>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0F8FAE1A">
                    <w:pPr>
                      <w:pStyle w:val="16"/>
                      <w:rPr>
                        <w:rFonts w:hint="default" w:ascii="Times New Roman" w:hAnsi="Times New Roman" w:cs="Times New Roman"/>
                        <w:lang w:val="en-US"/>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72074A"/>
    <w:multiLevelType w:val="singleLevel"/>
    <w:tmpl w:val="9672074A"/>
    <w:lvl w:ilvl="0" w:tentative="0">
      <w:start w:val="1"/>
      <w:numFmt w:val="decimal"/>
      <w:suff w:val="nothing"/>
      <w:lvlText w:val="%1、"/>
      <w:lvlJc w:val="left"/>
    </w:lvl>
  </w:abstractNum>
  <w:abstractNum w:abstractNumId="1">
    <w:nsid w:val="A18BAC9A"/>
    <w:multiLevelType w:val="singleLevel"/>
    <w:tmpl w:val="A18BAC9A"/>
    <w:lvl w:ilvl="0" w:tentative="0">
      <w:start w:val="1"/>
      <w:numFmt w:val="decimal"/>
      <w:suff w:val="nothing"/>
      <w:lvlText w:val="%1、"/>
      <w:lvlJc w:val="left"/>
    </w:lvl>
  </w:abstractNum>
  <w:abstractNum w:abstractNumId="2">
    <w:nsid w:val="CA022E1C"/>
    <w:multiLevelType w:val="singleLevel"/>
    <w:tmpl w:val="CA022E1C"/>
    <w:lvl w:ilvl="0" w:tentative="0">
      <w:start w:val="1"/>
      <w:numFmt w:val="chineseCounting"/>
      <w:suff w:val="nothing"/>
      <w:lvlText w:val="%1、"/>
      <w:lvlJc w:val="left"/>
      <w:rPr>
        <w:rFonts w:hint="eastAsia" w:ascii="Times New Roman" w:hAnsi="Times New Roman" w:eastAsia="宋体" w:cs="Times New Roman"/>
        <w:b/>
        <w:bCs/>
      </w:rPr>
    </w:lvl>
  </w:abstractNum>
  <w:abstractNum w:abstractNumId="3">
    <w:nsid w:val="0EE232EA"/>
    <w:multiLevelType w:val="singleLevel"/>
    <w:tmpl w:val="0EE232EA"/>
    <w:lvl w:ilvl="0" w:tentative="0">
      <w:start w:val="9"/>
      <w:numFmt w:val="decimal"/>
      <w:suff w:val="nothing"/>
      <w:lvlText w:val="（%1）"/>
      <w:lvlJc w:val="left"/>
    </w:lvl>
  </w:abstractNum>
  <w:abstractNum w:abstractNumId="4">
    <w:nsid w:val="548FCB15"/>
    <w:multiLevelType w:val="singleLevel"/>
    <w:tmpl w:val="548FCB15"/>
    <w:lvl w:ilvl="0" w:tentative="0">
      <w:start w:val="8"/>
      <w:numFmt w:val="decimal"/>
      <w:suff w:val="nothing"/>
      <w:lvlText w:val="（%1）"/>
      <w:lvlJc w:val="left"/>
    </w:lvl>
  </w:abstractNum>
  <w:abstractNum w:abstractNumId="5">
    <w:nsid w:val="54B6BB3E"/>
    <w:multiLevelType w:val="singleLevel"/>
    <w:tmpl w:val="54B6BB3E"/>
    <w:lvl w:ilvl="0" w:tentative="0">
      <w:start w:val="5"/>
      <w:numFmt w:val="decimal"/>
      <w:suff w:val="nothing"/>
      <w:lvlText w:val="（%1）"/>
      <w:lvlJc w:val="left"/>
    </w:lvl>
  </w:abstractNum>
  <w:abstractNum w:abstractNumId="6">
    <w:nsid w:val="701CBB6B"/>
    <w:multiLevelType w:val="singleLevel"/>
    <w:tmpl w:val="701CBB6B"/>
    <w:lvl w:ilvl="0" w:tentative="0">
      <w:start w:val="2"/>
      <w:numFmt w:val="decimal"/>
      <w:suff w:val="nothing"/>
      <w:lvlText w:val="（%1）"/>
      <w:lvlJc w:val="left"/>
    </w:lvl>
  </w:abstractNum>
  <w:num w:numId="1">
    <w:abstractNumId w:val="2"/>
  </w:num>
  <w:num w:numId="2">
    <w:abstractNumId w:val="0"/>
  </w:num>
  <w:num w:numId="3">
    <w:abstractNumId w:val="5"/>
  </w:num>
  <w:num w:numId="4">
    <w:abstractNumId w:val="6"/>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M1YjAxOWZhMWI0ZDVmNmE5MDQ5NDA4OGIxYWJmOTQifQ=="/>
  </w:docVars>
  <w:rsids>
    <w:rsidRoot w:val="00172A27"/>
    <w:rsid w:val="000A14B4"/>
    <w:rsid w:val="001434CE"/>
    <w:rsid w:val="00172B92"/>
    <w:rsid w:val="00217843"/>
    <w:rsid w:val="00252527"/>
    <w:rsid w:val="003357D8"/>
    <w:rsid w:val="004301C9"/>
    <w:rsid w:val="004C00B7"/>
    <w:rsid w:val="00513B1E"/>
    <w:rsid w:val="006D6DA3"/>
    <w:rsid w:val="006F214C"/>
    <w:rsid w:val="0078143C"/>
    <w:rsid w:val="00795F28"/>
    <w:rsid w:val="00866565"/>
    <w:rsid w:val="00A668D5"/>
    <w:rsid w:val="00DB0289"/>
    <w:rsid w:val="00EF60F9"/>
    <w:rsid w:val="00F34D47"/>
    <w:rsid w:val="00F97786"/>
    <w:rsid w:val="01366D4C"/>
    <w:rsid w:val="013B6E04"/>
    <w:rsid w:val="014B0F9D"/>
    <w:rsid w:val="015174A3"/>
    <w:rsid w:val="01754D36"/>
    <w:rsid w:val="018207C5"/>
    <w:rsid w:val="018808E7"/>
    <w:rsid w:val="01931471"/>
    <w:rsid w:val="01941E6B"/>
    <w:rsid w:val="01AC3A93"/>
    <w:rsid w:val="01BF7BD3"/>
    <w:rsid w:val="01C800A7"/>
    <w:rsid w:val="01E50D53"/>
    <w:rsid w:val="01FE485A"/>
    <w:rsid w:val="02014FAF"/>
    <w:rsid w:val="022B1B43"/>
    <w:rsid w:val="02371003"/>
    <w:rsid w:val="023F42AD"/>
    <w:rsid w:val="02427F54"/>
    <w:rsid w:val="02715367"/>
    <w:rsid w:val="02843357"/>
    <w:rsid w:val="029E759B"/>
    <w:rsid w:val="02CB2718"/>
    <w:rsid w:val="02F67A3E"/>
    <w:rsid w:val="03011BBD"/>
    <w:rsid w:val="03017FA2"/>
    <w:rsid w:val="030653F4"/>
    <w:rsid w:val="030E07BE"/>
    <w:rsid w:val="031552A3"/>
    <w:rsid w:val="03225226"/>
    <w:rsid w:val="032901FD"/>
    <w:rsid w:val="033739FC"/>
    <w:rsid w:val="03495065"/>
    <w:rsid w:val="035062B4"/>
    <w:rsid w:val="036F29B5"/>
    <w:rsid w:val="036F7EC6"/>
    <w:rsid w:val="0374777C"/>
    <w:rsid w:val="03771FAF"/>
    <w:rsid w:val="037B3FFB"/>
    <w:rsid w:val="037C2CC2"/>
    <w:rsid w:val="03AF140B"/>
    <w:rsid w:val="03C84988"/>
    <w:rsid w:val="03DA0175"/>
    <w:rsid w:val="03DD7CF1"/>
    <w:rsid w:val="03EC402F"/>
    <w:rsid w:val="03FB2859"/>
    <w:rsid w:val="04136E52"/>
    <w:rsid w:val="04162219"/>
    <w:rsid w:val="043B2EAD"/>
    <w:rsid w:val="04534D5F"/>
    <w:rsid w:val="046A47E3"/>
    <w:rsid w:val="047630D5"/>
    <w:rsid w:val="04A24CDA"/>
    <w:rsid w:val="04B26153"/>
    <w:rsid w:val="04BD38C2"/>
    <w:rsid w:val="04C5618C"/>
    <w:rsid w:val="04E777B9"/>
    <w:rsid w:val="05064CFF"/>
    <w:rsid w:val="051711BB"/>
    <w:rsid w:val="05346CE9"/>
    <w:rsid w:val="05424FE8"/>
    <w:rsid w:val="054418B8"/>
    <w:rsid w:val="054A28CD"/>
    <w:rsid w:val="054B2EBB"/>
    <w:rsid w:val="05554F97"/>
    <w:rsid w:val="055B78DA"/>
    <w:rsid w:val="056D178C"/>
    <w:rsid w:val="05733F38"/>
    <w:rsid w:val="057B73AC"/>
    <w:rsid w:val="057C62D3"/>
    <w:rsid w:val="058759F1"/>
    <w:rsid w:val="059B5E16"/>
    <w:rsid w:val="05A364CE"/>
    <w:rsid w:val="05A36B58"/>
    <w:rsid w:val="05AA4F6B"/>
    <w:rsid w:val="05D34023"/>
    <w:rsid w:val="05D57E5E"/>
    <w:rsid w:val="05F83840"/>
    <w:rsid w:val="062E1184"/>
    <w:rsid w:val="0650251C"/>
    <w:rsid w:val="06A109A1"/>
    <w:rsid w:val="06A63200"/>
    <w:rsid w:val="06A71174"/>
    <w:rsid w:val="06A80AFA"/>
    <w:rsid w:val="06B36D15"/>
    <w:rsid w:val="06C54514"/>
    <w:rsid w:val="06C75BAD"/>
    <w:rsid w:val="06CC79E5"/>
    <w:rsid w:val="06ED67F5"/>
    <w:rsid w:val="06F402A1"/>
    <w:rsid w:val="0700629F"/>
    <w:rsid w:val="071C3D78"/>
    <w:rsid w:val="072702BE"/>
    <w:rsid w:val="075534CE"/>
    <w:rsid w:val="07692A65"/>
    <w:rsid w:val="077B3B62"/>
    <w:rsid w:val="07C92B28"/>
    <w:rsid w:val="08031B7A"/>
    <w:rsid w:val="080946AB"/>
    <w:rsid w:val="080E338A"/>
    <w:rsid w:val="081051A4"/>
    <w:rsid w:val="08120D20"/>
    <w:rsid w:val="081C26E4"/>
    <w:rsid w:val="081E3021"/>
    <w:rsid w:val="0831679E"/>
    <w:rsid w:val="083A5C15"/>
    <w:rsid w:val="085A3F92"/>
    <w:rsid w:val="08652EAA"/>
    <w:rsid w:val="086C0640"/>
    <w:rsid w:val="089808CE"/>
    <w:rsid w:val="08A94889"/>
    <w:rsid w:val="08BB5BA8"/>
    <w:rsid w:val="08EF7AD4"/>
    <w:rsid w:val="08FC3D66"/>
    <w:rsid w:val="0902103D"/>
    <w:rsid w:val="090D0830"/>
    <w:rsid w:val="0914719A"/>
    <w:rsid w:val="092C153B"/>
    <w:rsid w:val="092D54BA"/>
    <w:rsid w:val="095332A9"/>
    <w:rsid w:val="098925C4"/>
    <w:rsid w:val="099028A0"/>
    <w:rsid w:val="09970113"/>
    <w:rsid w:val="09F21490"/>
    <w:rsid w:val="09F8320D"/>
    <w:rsid w:val="09FE4583"/>
    <w:rsid w:val="0A051F93"/>
    <w:rsid w:val="0A252635"/>
    <w:rsid w:val="0A2D14EA"/>
    <w:rsid w:val="0A445518"/>
    <w:rsid w:val="0A54676C"/>
    <w:rsid w:val="0A5D2729"/>
    <w:rsid w:val="0A5D3D18"/>
    <w:rsid w:val="0A7D3302"/>
    <w:rsid w:val="0A894FD9"/>
    <w:rsid w:val="0A9D40AF"/>
    <w:rsid w:val="0AA326E2"/>
    <w:rsid w:val="0AAD6897"/>
    <w:rsid w:val="0AB8275F"/>
    <w:rsid w:val="0AFC46F6"/>
    <w:rsid w:val="0B057B03"/>
    <w:rsid w:val="0B0C63A2"/>
    <w:rsid w:val="0B16508E"/>
    <w:rsid w:val="0B2D7B9E"/>
    <w:rsid w:val="0B3F7762"/>
    <w:rsid w:val="0B5A4560"/>
    <w:rsid w:val="0B5B746A"/>
    <w:rsid w:val="0B611AFC"/>
    <w:rsid w:val="0B6D03AF"/>
    <w:rsid w:val="0B7E1CB6"/>
    <w:rsid w:val="0B8B1410"/>
    <w:rsid w:val="0BB93F79"/>
    <w:rsid w:val="0BCB0FBA"/>
    <w:rsid w:val="0BCB5C20"/>
    <w:rsid w:val="0BE906EB"/>
    <w:rsid w:val="0C011560"/>
    <w:rsid w:val="0C48317F"/>
    <w:rsid w:val="0C5D14DB"/>
    <w:rsid w:val="0C5D5C14"/>
    <w:rsid w:val="0C9413AC"/>
    <w:rsid w:val="0C9508B1"/>
    <w:rsid w:val="0CBA2E81"/>
    <w:rsid w:val="0CC97044"/>
    <w:rsid w:val="0CCC323C"/>
    <w:rsid w:val="0CDE7C0F"/>
    <w:rsid w:val="0D524ACF"/>
    <w:rsid w:val="0D855C09"/>
    <w:rsid w:val="0D98567C"/>
    <w:rsid w:val="0D9B6D57"/>
    <w:rsid w:val="0DA319D0"/>
    <w:rsid w:val="0DA77FA9"/>
    <w:rsid w:val="0DAE53B7"/>
    <w:rsid w:val="0DB53D11"/>
    <w:rsid w:val="0DD03385"/>
    <w:rsid w:val="0DE54D65"/>
    <w:rsid w:val="0DEA15A9"/>
    <w:rsid w:val="0E0C6920"/>
    <w:rsid w:val="0E1409F6"/>
    <w:rsid w:val="0E282DEB"/>
    <w:rsid w:val="0E4F57BA"/>
    <w:rsid w:val="0E7476E7"/>
    <w:rsid w:val="0E7A7575"/>
    <w:rsid w:val="0E805364"/>
    <w:rsid w:val="0E840561"/>
    <w:rsid w:val="0E8E6CC5"/>
    <w:rsid w:val="0EB04F80"/>
    <w:rsid w:val="0ED87612"/>
    <w:rsid w:val="0EDB334F"/>
    <w:rsid w:val="0F4F0516"/>
    <w:rsid w:val="0F805A1A"/>
    <w:rsid w:val="0FD66704"/>
    <w:rsid w:val="0FDC0F58"/>
    <w:rsid w:val="0FEC04BE"/>
    <w:rsid w:val="0FF419C9"/>
    <w:rsid w:val="10066A65"/>
    <w:rsid w:val="100F166D"/>
    <w:rsid w:val="102C333C"/>
    <w:rsid w:val="10406BA3"/>
    <w:rsid w:val="1057479C"/>
    <w:rsid w:val="10686DD7"/>
    <w:rsid w:val="1083276C"/>
    <w:rsid w:val="1083627A"/>
    <w:rsid w:val="109321D6"/>
    <w:rsid w:val="10935E62"/>
    <w:rsid w:val="10DD5220"/>
    <w:rsid w:val="10E14358"/>
    <w:rsid w:val="10F4014F"/>
    <w:rsid w:val="10F57121"/>
    <w:rsid w:val="110206CA"/>
    <w:rsid w:val="110354EF"/>
    <w:rsid w:val="11090CCA"/>
    <w:rsid w:val="1123010F"/>
    <w:rsid w:val="112A7B11"/>
    <w:rsid w:val="112C7A85"/>
    <w:rsid w:val="113971FE"/>
    <w:rsid w:val="113F31E1"/>
    <w:rsid w:val="11403824"/>
    <w:rsid w:val="1166018B"/>
    <w:rsid w:val="11713AB1"/>
    <w:rsid w:val="117569B7"/>
    <w:rsid w:val="11B31402"/>
    <w:rsid w:val="11D37337"/>
    <w:rsid w:val="11D64215"/>
    <w:rsid w:val="11FA51CF"/>
    <w:rsid w:val="125B36B0"/>
    <w:rsid w:val="126C7558"/>
    <w:rsid w:val="127A6F7E"/>
    <w:rsid w:val="127B1786"/>
    <w:rsid w:val="128E0109"/>
    <w:rsid w:val="12D23331"/>
    <w:rsid w:val="13167EFC"/>
    <w:rsid w:val="13176C9B"/>
    <w:rsid w:val="131F426E"/>
    <w:rsid w:val="132F553C"/>
    <w:rsid w:val="1338781D"/>
    <w:rsid w:val="134756D4"/>
    <w:rsid w:val="1360227E"/>
    <w:rsid w:val="136D358A"/>
    <w:rsid w:val="138F28CD"/>
    <w:rsid w:val="139323BD"/>
    <w:rsid w:val="13A16B2C"/>
    <w:rsid w:val="13B54A2A"/>
    <w:rsid w:val="13BB1914"/>
    <w:rsid w:val="13CD0C44"/>
    <w:rsid w:val="140030DC"/>
    <w:rsid w:val="14010926"/>
    <w:rsid w:val="141554C8"/>
    <w:rsid w:val="141702C3"/>
    <w:rsid w:val="14324F8B"/>
    <w:rsid w:val="14755593"/>
    <w:rsid w:val="14902DA1"/>
    <w:rsid w:val="14916E37"/>
    <w:rsid w:val="149B3F31"/>
    <w:rsid w:val="14C85CE9"/>
    <w:rsid w:val="14CD7B51"/>
    <w:rsid w:val="150E6B56"/>
    <w:rsid w:val="151E03AD"/>
    <w:rsid w:val="15274143"/>
    <w:rsid w:val="153476E0"/>
    <w:rsid w:val="1537781B"/>
    <w:rsid w:val="1540013C"/>
    <w:rsid w:val="154001DC"/>
    <w:rsid w:val="15695D3C"/>
    <w:rsid w:val="156B29D3"/>
    <w:rsid w:val="156E6271"/>
    <w:rsid w:val="15883A78"/>
    <w:rsid w:val="159D4E6F"/>
    <w:rsid w:val="15C732C4"/>
    <w:rsid w:val="15CF16A7"/>
    <w:rsid w:val="15D73233"/>
    <w:rsid w:val="15DC0075"/>
    <w:rsid w:val="15DF6372"/>
    <w:rsid w:val="16146DB0"/>
    <w:rsid w:val="16360115"/>
    <w:rsid w:val="163836F0"/>
    <w:rsid w:val="163D4F1E"/>
    <w:rsid w:val="164707B9"/>
    <w:rsid w:val="16491CBB"/>
    <w:rsid w:val="16617C1A"/>
    <w:rsid w:val="16691AFB"/>
    <w:rsid w:val="168D4FBD"/>
    <w:rsid w:val="16990C3D"/>
    <w:rsid w:val="169B0810"/>
    <w:rsid w:val="16A86180"/>
    <w:rsid w:val="16B0253F"/>
    <w:rsid w:val="16BC0FB5"/>
    <w:rsid w:val="16BE143E"/>
    <w:rsid w:val="16CE6F3C"/>
    <w:rsid w:val="16F46E3D"/>
    <w:rsid w:val="170A508C"/>
    <w:rsid w:val="17100B81"/>
    <w:rsid w:val="172A32C5"/>
    <w:rsid w:val="173E4719"/>
    <w:rsid w:val="17461167"/>
    <w:rsid w:val="175455F2"/>
    <w:rsid w:val="175D4B2E"/>
    <w:rsid w:val="17783DA4"/>
    <w:rsid w:val="17842B8C"/>
    <w:rsid w:val="179D411B"/>
    <w:rsid w:val="17A97FBB"/>
    <w:rsid w:val="17B352BD"/>
    <w:rsid w:val="17CA65CA"/>
    <w:rsid w:val="181C499B"/>
    <w:rsid w:val="182A5522"/>
    <w:rsid w:val="182B37E9"/>
    <w:rsid w:val="1833416F"/>
    <w:rsid w:val="184B38B0"/>
    <w:rsid w:val="184C5AC9"/>
    <w:rsid w:val="185D1008"/>
    <w:rsid w:val="18860743"/>
    <w:rsid w:val="189D7C56"/>
    <w:rsid w:val="189F7A56"/>
    <w:rsid w:val="18BA3385"/>
    <w:rsid w:val="18DC5237"/>
    <w:rsid w:val="18F22255"/>
    <w:rsid w:val="190F2E34"/>
    <w:rsid w:val="19114662"/>
    <w:rsid w:val="19120228"/>
    <w:rsid w:val="19206870"/>
    <w:rsid w:val="19273FC5"/>
    <w:rsid w:val="19275A85"/>
    <w:rsid w:val="1952037D"/>
    <w:rsid w:val="195A03FF"/>
    <w:rsid w:val="195E447F"/>
    <w:rsid w:val="196804B5"/>
    <w:rsid w:val="19726F19"/>
    <w:rsid w:val="199009BA"/>
    <w:rsid w:val="19984E1E"/>
    <w:rsid w:val="19BA4D62"/>
    <w:rsid w:val="19BF2E7D"/>
    <w:rsid w:val="1A267E93"/>
    <w:rsid w:val="1A323653"/>
    <w:rsid w:val="1A3E0729"/>
    <w:rsid w:val="1A7B1922"/>
    <w:rsid w:val="1A9D0ABE"/>
    <w:rsid w:val="1A9E6D1E"/>
    <w:rsid w:val="1B040045"/>
    <w:rsid w:val="1B211995"/>
    <w:rsid w:val="1B642363"/>
    <w:rsid w:val="1B82683D"/>
    <w:rsid w:val="1B8943DF"/>
    <w:rsid w:val="1BB9498B"/>
    <w:rsid w:val="1BBD665B"/>
    <w:rsid w:val="1BCB2DA2"/>
    <w:rsid w:val="1BDD3D4C"/>
    <w:rsid w:val="1BEB767A"/>
    <w:rsid w:val="1BF50428"/>
    <w:rsid w:val="1BF75AAD"/>
    <w:rsid w:val="1BF965B4"/>
    <w:rsid w:val="1C0D2AA1"/>
    <w:rsid w:val="1C321457"/>
    <w:rsid w:val="1C5839C5"/>
    <w:rsid w:val="1C5C2071"/>
    <w:rsid w:val="1C7B54D2"/>
    <w:rsid w:val="1C9E1077"/>
    <w:rsid w:val="1CA619C0"/>
    <w:rsid w:val="1CC10927"/>
    <w:rsid w:val="1CC41839"/>
    <w:rsid w:val="1CD747A1"/>
    <w:rsid w:val="1CDD5866"/>
    <w:rsid w:val="1CED5082"/>
    <w:rsid w:val="1D0838D6"/>
    <w:rsid w:val="1D1C724C"/>
    <w:rsid w:val="1D5175AC"/>
    <w:rsid w:val="1D56297F"/>
    <w:rsid w:val="1D6239EC"/>
    <w:rsid w:val="1D796AC8"/>
    <w:rsid w:val="1D825517"/>
    <w:rsid w:val="1DCA202E"/>
    <w:rsid w:val="1E243289"/>
    <w:rsid w:val="1E2D3743"/>
    <w:rsid w:val="1E413C3E"/>
    <w:rsid w:val="1E4D585F"/>
    <w:rsid w:val="1E4E0162"/>
    <w:rsid w:val="1E543535"/>
    <w:rsid w:val="1E6A347E"/>
    <w:rsid w:val="1E786D7F"/>
    <w:rsid w:val="1E7977BC"/>
    <w:rsid w:val="1E891455"/>
    <w:rsid w:val="1EAC54A3"/>
    <w:rsid w:val="1EB03B94"/>
    <w:rsid w:val="1EB34C4E"/>
    <w:rsid w:val="1EB56BCB"/>
    <w:rsid w:val="1EB6421E"/>
    <w:rsid w:val="1EC5705C"/>
    <w:rsid w:val="1EE23E43"/>
    <w:rsid w:val="1EE36E1B"/>
    <w:rsid w:val="1EF00817"/>
    <w:rsid w:val="1F122F41"/>
    <w:rsid w:val="1F2111C5"/>
    <w:rsid w:val="1F2B4A25"/>
    <w:rsid w:val="1F3233D2"/>
    <w:rsid w:val="1F41564B"/>
    <w:rsid w:val="1F537B30"/>
    <w:rsid w:val="1F574036"/>
    <w:rsid w:val="1F5D073B"/>
    <w:rsid w:val="1F6C48AC"/>
    <w:rsid w:val="1F766B1A"/>
    <w:rsid w:val="1F8652CB"/>
    <w:rsid w:val="1FA07BE1"/>
    <w:rsid w:val="1FA3607E"/>
    <w:rsid w:val="1FAD41E6"/>
    <w:rsid w:val="1FDA3FC7"/>
    <w:rsid w:val="1FDB6F54"/>
    <w:rsid w:val="1FE4668C"/>
    <w:rsid w:val="1FE74F40"/>
    <w:rsid w:val="20086503"/>
    <w:rsid w:val="200E09B1"/>
    <w:rsid w:val="203211B0"/>
    <w:rsid w:val="20476A09"/>
    <w:rsid w:val="204A7D65"/>
    <w:rsid w:val="20635CA6"/>
    <w:rsid w:val="208E704F"/>
    <w:rsid w:val="20946819"/>
    <w:rsid w:val="20A80A62"/>
    <w:rsid w:val="20AE2589"/>
    <w:rsid w:val="20C214EC"/>
    <w:rsid w:val="20C73DEA"/>
    <w:rsid w:val="20C75007"/>
    <w:rsid w:val="20D625FF"/>
    <w:rsid w:val="20DD2C3A"/>
    <w:rsid w:val="20E1096A"/>
    <w:rsid w:val="20FA15A3"/>
    <w:rsid w:val="210C3DAE"/>
    <w:rsid w:val="21A80985"/>
    <w:rsid w:val="21CE02EA"/>
    <w:rsid w:val="21E464DA"/>
    <w:rsid w:val="21E70A17"/>
    <w:rsid w:val="21ED77E0"/>
    <w:rsid w:val="21F718E1"/>
    <w:rsid w:val="2205457D"/>
    <w:rsid w:val="22181ADC"/>
    <w:rsid w:val="223236E9"/>
    <w:rsid w:val="224D70E7"/>
    <w:rsid w:val="22500679"/>
    <w:rsid w:val="225223AA"/>
    <w:rsid w:val="225673D8"/>
    <w:rsid w:val="22A46B1D"/>
    <w:rsid w:val="22B57DE6"/>
    <w:rsid w:val="22EB56BD"/>
    <w:rsid w:val="22EF1C17"/>
    <w:rsid w:val="232272BA"/>
    <w:rsid w:val="234F5BD5"/>
    <w:rsid w:val="23585D3D"/>
    <w:rsid w:val="235C7D0C"/>
    <w:rsid w:val="235F3143"/>
    <w:rsid w:val="23813850"/>
    <w:rsid w:val="23934036"/>
    <w:rsid w:val="2394566D"/>
    <w:rsid w:val="239F4DAE"/>
    <w:rsid w:val="23A241AB"/>
    <w:rsid w:val="23BF74B9"/>
    <w:rsid w:val="23DD0DC1"/>
    <w:rsid w:val="23E138B2"/>
    <w:rsid w:val="24042E63"/>
    <w:rsid w:val="240E0989"/>
    <w:rsid w:val="24131598"/>
    <w:rsid w:val="244C0974"/>
    <w:rsid w:val="24555A55"/>
    <w:rsid w:val="245A3AC1"/>
    <w:rsid w:val="245D2750"/>
    <w:rsid w:val="248F0279"/>
    <w:rsid w:val="24A939BC"/>
    <w:rsid w:val="24AF1021"/>
    <w:rsid w:val="24FE710E"/>
    <w:rsid w:val="250B63AE"/>
    <w:rsid w:val="25123DDB"/>
    <w:rsid w:val="251264F8"/>
    <w:rsid w:val="2533571D"/>
    <w:rsid w:val="253870D1"/>
    <w:rsid w:val="25446A19"/>
    <w:rsid w:val="2550034C"/>
    <w:rsid w:val="255120D8"/>
    <w:rsid w:val="25595DD2"/>
    <w:rsid w:val="256162F1"/>
    <w:rsid w:val="25766449"/>
    <w:rsid w:val="257D6271"/>
    <w:rsid w:val="257E5957"/>
    <w:rsid w:val="25A62960"/>
    <w:rsid w:val="25CD45B2"/>
    <w:rsid w:val="25EF643F"/>
    <w:rsid w:val="2612386C"/>
    <w:rsid w:val="26270AA6"/>
    <w:rsid w:val="26685968"/>
    <w:rsid w:val="26973934"/>
    <w:rsid w:val="26A95587"/>
    <w:rsid w:val="26B6773D"/>
    <w:rsid w:val="26BB6DC8"/>
    <w:rsid w:val="26C42298"/>
    <w:rsid w:val="26CF7759"/>
    <w:rsid w:val="26EA6341"/>
    <w:rsid w:val="26EE16FA"/>
    <w:rsid w:val="2707407E"/>
    <w:rsid w:val="270C51C5"/>
    <w:rsid w:val="275E4DA2"/>
    <w:rsid w:val="27912588"/>
    <w:rsid w:val="279C1BF5"/>
    <w:rsid w:val="27C6290A"/>
    <w:rsid w:val="27D70CD3"/>
    <w:rsid w:val="27EE03FE"/>
    <w:rsid w:val="27F562E8"/>
    <w:rsid w:val="28003E99"/>
    <w:rsid w:val="2820375C"/>
    <w:rsid w:val="28285372"/>
    <w:rsid w:val="28321D4D"/>
    <w:rsid w:val="287E37D0"/>
    <w:rsid w:val="288464AA"/>
    <w:rsid w:val="28990A4E"/>
    <w:rsid w:val="28BE2C6A"/>
    <w:rsid w:val="28E47FFC"/>
    <w:rsid w:val="28F6715F"/>
    <w:rsid w:val="291F4373"/>
    <w:rsid w:val="293A1937"/>
    <w:rsid w:val="293A2A2F"/>
    <w:rsid w:val="299E1BF7"/>
    <w:rsid w:val="29BA5EFC"/>
    <w:rsid w:val="2A01282E"/>
    <w:rsid w:val="2A1548AF"/>
    <w:rsid w:val="2A3224D8"/>
    <w:rsid w:val="2A3864A5"/>
    <w:rsid w:val="2A530AD2"/>
    <w:rsid w:val="2A5A11A0"/>
    <w:rsid w:val="2A5C548D"/>
    <w:rsid w:val="2A7E449D"/>
    <w:rsid w:val="2A8231BA"/>
    <w:rsid w:val="2AB60363"/>
    <w:rsid w:val="2AB94E4C"/>
    <w:rsid w:val="2ACC06D1"/>
    <w:rsid w:val="2AD348F9"/>
    <w:rsid w:val="2AD73ADC"/>
    <w:rsid w:val="2AEE4BB9"/>
    <w:rsid w:val="2AF224D3"/>
    <w:rsid w:val="2B3A7616"/>
    <w:rsid w:val="2B522094"/>
    <w:rsid w:val="2B593E43"/>
    <w:rsid w:val="2B5B564A"/>
    <w:rsid w:val="2B9D683D"/>
    <w:rsid w:val="2BAB36F1"/>
    <w:rsid w:val="2BAD7018"/>
    <w:rsid w:val="2BED60B9"/>
    <w:rsid w:val="2C2701D5"/>
    <w:rsid w:val="2C2916B9"/>
    <w:rsid w:val="2C2E3173"/>
    <w:rsid w:val="2C62195A"/>
    <w:rsid w:val="2C792640"/>
    <w:rsid w:val="2C83526D"/>
    <w:rsid w:val="2C9C0EB8"/>
    <w:rsid w:val="2CA01B8F"/>
    <w:rsid w:val="2CAB6E03"/>
    <w:rsid w:val="2CB066F2"/>
    <w:rsid w:val="2CC338BC"/>
    <w:rsid w:val="2CC8363C"/>
    <w:rsid w:val="2CCE1BC0"/>
    <w:rsid w:val="2CDD39C7"/>
    <w:rsid w:val="2CEA3982"/>
    <w:rsid w:val="2CF16778"/>
    <w:rsid w:val="2CFF241A"/>
    <w:rsid w:val="2D0D2C8F"/>
    <w:rsid w:val="2D3E19BA"/>
    <w:rsid w:val="2D4529E9"/>
    <w:rsid w:val="2D512B81"/>
    <w:rsid w:val="2D566B86"/>
    <w:rsid w:val="2D58115C"/>
    <w:rsid w:val="2D5C6B17"/>
    <w:rsid w:val="2D627A2F"/>
    <w:rsid w:val="2D7352E2"/>
    <w:rsid w:val="2D7B39BE"/>
    <w:rsid w:val="2D7F2D23"/>
    <w:rsid w:val="2DA33308"/>
    <w:rsid w:val="2DB86D87"/>
    <w:rsid w:val="2E0248FE"/>
    <w:rsid w:val="2E100D83"/>
    <w:rsid w:val="2E370333"/>
    <w:rsid w:val="2E387249"/>
    <w:rsid w:val="2E3C5E9D"/>
    <w:rsid w:val="2E503607"/>
    <w:rsid w:val="2E5E5B5B"/>
    <w:rsid w:val="2E6C1EC0"/>
    <w:rsid w:val="2E9C668C"/>
    <w:rsid w:val="2EB01C1E"/>
    <w:rsid w:val="2EBA2061"/>
    <w:rsid w:val="2ECB719C"/>
    <w:rsid w:val="2EDF437A"/>
    <w:rsid w:val="2EDF469B"/>
    <w:rsid w:val="2EDF552B"/>
    <w:rsid w:val="2EE51325"/>
    <w:rsid w:val="2EF03F07"/>
    <w:rsid w:val="2EFC77A0"/>
    <w:rsid w:val="2F0401BB"/>
    <w:rsid w:val="2F10632A"/>
    <w:rsid w:val="2F726E6C"/>
    <w:rsid w:val="2F7E5CB7"/>
    <w:rsid w:val="2F877C87"/>
    <w:rsid w:val="2F94525C"/>
    <w:rsid w:val="2FBB4372"/>
    <w:rsid w:val="2FDB0163"/>
    <w:rsid w:val="2FFF10AF"/>
    <w:rsid w:val="30031711"/>
    <w:rsid w:val="301352EB"/>
    <w:rsid w:val="30156A33"/>
    <w:rsid w:val="30473C4D"/>
    <w:rsid w:val="3057373B"/>
    <w:rsid w:val="305B33B6"/>
    <w:rsid w:val="30874C00"/>
    <w:rsid w:val="30954A86"/>
    <w:rsid w:val="30C36C36"/>
    <w:rsid w:val="30DA2BD2"/>
    <w:rsid w:val="30EF394C"/>
    <w:rsid w:val="30F73371"/>
    <w:rsid w:val="310A3CC7"/>
    <w:rsid w:val="310D559B"/>
    <w:rsid w:val="311A6DD5"/>
    <w:rsid w:val="314B0464"/>
    <w:rsid w:val="31550385"/>
    <w:rsid w:val="315B3728"/>
    <w:rsid w:val="31663FAC"/>
    <w:rsid w:val="318E0E52"/>
    <w:rsid w:val="31992D9A"/>
    <w:rsid w:val="31A5324F"/>
    <w:rsid w:val="31CD1CD3"/>
    <w:rsid w:val="31DB3280"/>
    <w:rsid w:val="31DF1F07"/>
    <w:rsid w:val="31EE6C89"/>
    <w:rsid w:val="3209113A"/>
    <w:rsid w:val="32337D3C"/>
    <w:rsid w:val="3237192D"/>
    <w:rsid w:val="323B73E3"/>
    <w:rsid w:val="324D6D19"/>
    <w:rsid w:val="32584AA6"/>
    <w:rsid w:val="3260395B"/>
    <w:rsid w:val="3273368E"/>
    <w:rsid w:val="32A35CCA"/>
    <w:rsid w:val="32A44191"/>
    <w:rsid w:val="32AE0B6A"/>
    <w:rsid w:val="32BA2D78"/>
    <w:rsid w:val="32C13C0B"/>
    <w:rsid w:val="32DC23B6"/>
    <w:rsid w:val="32EA1597"/>
    <w:rsid w:val="32EB7412"/>
    <w:rsid w:val="32F83B93"/>
    <w:rsid w:val="32F96784"/>
    <w:rsid w:val="32FE6ADC"/>
    <w:rsid w:val="3306759B"/>
    <w:rsid w:val="33083D1B"/>
    <w:rsid w:val="331F0EA3"/>
    <w:rsid w:val="33697A89"/>
    <w:rsid w:val="338045A4"/>
    <w:rsid w:val="33932666"/>
    <w:rsid w:val="33DC1F11"/>
    <w:rsid w:val="34054F8D"/>
    <w:rsid w:val="343F015B"/>
    <w:rsid w:val="34AE30A3"/>
    <w:rsid w:val="34C53B4E"/>
    <w:rsid w:val="350E3A4D"/>
    <w:rsid w:val="353D4763"/>
    <w:rsid w:val="35465214"/>
    <w:rsid w:val="357532E4"/>
    <w:rsid w:val="35A16CAA"/>
    <w:rsid w:val="35B171E8"/>
    <w:rsid w:val="35B61907"/>
    <w:rsid w:val="35D02BA5"/>
    <w:rsid w:val="35D85CE2"/>
    <w:rsid w:val="36214D4F"/>
    <w:rsid w:val="362248B3"/>
    <w:rsid w:val="3651512A"/>
    <w:rsid w:val="368A4B11"/>
    <w:rsid w:val="368F7BC8"/>
    <w:rsid w:val="36B85B13"/>
    <w:rsid w:val="36BE6C84"/>
    <w:rsid w:val="371D7FE7"/>
    <w:rsid w:val="372A5A0D"/>
    <w:rsid w:val="373062A1"/>
    <w:rsid w:val="373B4A71"/>
    <w:rsid w:val="37757DA5"/>
    <w:rsid w:val="37914171"/>
    <w:rsid w:val="37B55BBE"/>
    <w:rsid w:val="37B87D28"/>
    <w:rsid w:val="37C52E75"/>
    <w:rsid w:val="37EB7017"/>
    <w:rsid w:val="37F30DCD"/>
    <w:rsid w:val="38020E94"/>
    <w:rsid w:val="380400BB"/>
    <w:rsid w:val="38064FA4"/>
    <w:rsid w:val="38133AB0"/>
    <w:rsid w:val="381D7640"/>
    <w:rsid w:val="3826244E"/>
    <w:rsid w:val="382B5AF6"/>
    <w:rsid w:val="3882287D"/>
    <w:rsid w:val="388C175A"/>
    <w:rsid w:val="389741DF"/>
    <w:rsid w:val="3899445D"/>
    <w:rsid w:val="38BF45C3"/>
    <w:rsid w:val="38CF228F"/>
    <w:rsid w:val="391C6647"/>
    <w:rsid w:val="39241B34"/>
    <w:rsid w:val="392E3BF8"/>
    <w:rsid w:val="39317DFF"/>
    <w:rsid w:val="3943563B"/>
    <w:rsid w:val="39512D51"/>
    <w:rsid w:val="39586085"/>
    <w:rsid w:val="395D3841"/>
    <w:rsid w:val="397B4C7C"/>
    <w:rsid w:val="399E4466"/>
    <w:rsid w:val="39A325BD"/>
    <w:rsid w:val="39B27ADD"/>
    <w:rsid w:val="39C944DB"/>
    <w:rsid w:val="39CC22B2"/>
    <w:rsid w:val="39D75DFA"/>
    <w:rsid w:val="39EB41D3"/>
    <w:rsid w:val="3A0203F1"/>
    <w:rsid w:val="3A04109C"/>
    <w:rsid w:val="3A195B58"/>
    <w:rsid w:val="3A1F6BA3"/>
    <w:rsid w:val="3A212FEA"/>
    <w:rsid w:val="3A281B6B"/>
    <w:rsid w:val="3A361B71"/>
    <w:rsid w:val="3A425CF9"/>
    <w:rsid w:val="3A490D14"/>
    <w:rsid w:val="3A5914A1"/>
    <w:rsid w:val="3A656800"/>
    <w:rsid w:val="3A7B57D6"/>
    <w:rsid w:val="3A7F6446"/>
    <w:rsid w:val="3A8521B0"/>
    <w:rsid w:val="3A9D0D8B"/>
    <w:rsid w:val="3ABA4EEF"/>
    <w:rsid w:val="3ACC6031"/>
    <w:rsid w:val="3AE55345"/>
    <w:rsid w:val="3AEE2AB9"/>
    <w:rsid w:val="3AF44C18"/>
    <w:rsid w:val="3AF91EE2"/>
    <w:rsid w:val="3B071D4C"/>
    <w:rsid w:val="3B0723AC"/>
    <w:rsid w:val="3B295232"/>
    <w:rsid w:val="3B5129DA"/>
    <w:rsid w:val="3B553BCE"/>
    <w:rsid w:val="3B5D3FAE"/>
    <w:rsid w:val="3B6837D2"/>
    <w:rsid w:val="3B6B5854"/>
    <w:rsid w:val="3B981068"/>
    <w:rsid w:val="3BAD1CD8"/>
    <w:rsid w:val="3BC945BF"/>
    <w:rsid w:val="3BCC1A00"/>
    <w:rsid w:val="3C415F04"/>
    <w:rsid w:val="3C4362CC"/>
    <w:rsid w:val="3C474D16"/>
    <w:rsid w:val="3C677638"/>
    <w:rsid w:val="3C9506A5"/>
    <w:rsid w:val="3CA64660"/>
    <w:rsid w:val="3CAF1F69"/>
    <w:rsid w:val="3CC76CCC"/>
    <w:rsid w:val="3CFB4907"/>
    <w:rsid w:val="3CFC6F88"/>
    <w:rsid w:val="3D0864E8"/>
    <w:rsid w:val="3D0A5C57"/>
    <w:rsid w:val="3D0C34A6"/>
    <w:rsid w:val="3D121CF5"/>
    <w:rsid w:val="3D2860FD"/>
    <w:rsid w:val="3D2E33DF"/>
    <w:rsid w:val="3D321A79"/>
    <w:rsid w:val="3D3A3533"/>
    <w:rsid w:val="3D583736"/>
    <w:rsid w:val="3D5D11C3"/>
    <w:rsid w:val="3D6427BC"/>
    <w:rsid w:val="3D672041"/>
    <w:rsid w:val="3D6C7580"/>
    <w:rsid w:val="3D72257D"/>
    <w:rsid w:val="3D836B10"/>
    <w:rsid w:val="3D8F1598"/>
    <w:rsid w:val="3D954E00"/>
    <w:rsid w:val="3DA46DF1"/>
    <w:rsid w:val="3DB261BA"/>
    <w:rsid w:val="3DC16A6F"/>
    <w:rsid w:val="3DC977D5"/>
    <w:rsid w:val="3DD330E1"/>
    <w:rsid w:val="3DD76E21"/>
    <w:rsid w:val="3DDB61FE"/>
    <w:rsid w:val="3DDD0A93"/>
    <w:rsid w:val="3DEB01D5"/>
    <w:rsid w:val="3DEB0D01"/>
    <w:rsid w:val="3DFE63AE"/>
    <w:rsid w:val="3E126EDB"/>
    <w:rsid w:val="3E172BB3"/>
    <w:rsid w:val="3E1B5016"/>
    <w:rsid w:val="3E231BC1"/>
    <w:rsid w:val="3E291E05"/>
    <w:rsid w:val="3E373D94"/>
    <w:rsid w:val="3E4B3E31"/>
    <w:rsid w:val="3E511AF5"/>
    <w:rsid w:val="3E546A69"/>
    <w:rsid w:val="3E5672B1"/>
    <w:rsid w:val="3EA82450"/>
    <w:rsid w:val="3EA90DAE"/>
    <w:rsid w:val="3EB36E91"/>
    <w:rsid w:val="3EBC010A"/>
    <w:rsid w:val="3EEC6CA2"/>
    <w:rsid w:val="3EF146ED"/>
    <w:rsid w:val="3EF20030"/>
    <w:rsid w:val="3EFE2A63"/>
    <w:rsid w:val="3F022DC2"/>
    <w:rsid w:val="3F161F71"/>
    <w:rsid w:val="3F200BF6"/>
    <w:rsid w:val="3F4A1C1A"/>
    <w:rsid w:val="3F4B5D37"/>
    <w:rsid w:val="3F511163"/>
    <w:rsid w:val="3F5F7D4F"/>
    <w:rsid w:val="3F7347B7"/>
    <w:rsid w:val="3F864611"/>
    <w:rsid w:val="3F8C5D8F"/>
    <w:rsid w:val="3F945490"/>
    <w:rsid w:val="3FB75784"/>
    <w:rsid w:val="3FCA1BB3"/>
    <w:rsid w:val="3FD24FE7"/>
    <w:rsid w:val="3FDB6D16"/>
    <w:rsid w:val="40150C37"/>
    <w:rsid w:val="401A2DB6"/>
    <w:rsid w:val="4022763E"/>
    <w:rsid w:val="40780118"/>
    <w:rsid w:val="407F6807"/>
    <w:rsid w:val="40A315E2"/>
    <w:rsid w:val="40B563F6"/>
    <w:rsid w:val="40B72B47"/>
    <w:rsid w:val="40C41559"/>
    <w:rsid w:val="40CC5C49"/>
    <w:rsid w:val="40FB6F99"/>
    <w:rsid w:val="41171FD0"/>
    <w:rsid w:val="412D199B"/>
    <w:rsid w:val="413D3400"/>
    <w:rsid w:val="41405083"/>
    <w:rsid w:val="4149409A"/>
    <w:rsid w:val="41581746"/>
    <w:rsid w:val="41596495"/>
    <w:rsid w:val="41864B84"/>
    <w:rsid w:val="41B36150"/>
    <w:rsid w:val="421417D9"/>
    <w:rsid w:val="423955EF"/>
    <w:rsid w:val="4243625D"/>
    <w:rsid w:val="424763C0"/>
    <w:rsid w:val="42486C3B"/>
    <w:rsid w:val="425863FC"/>
    <w:rsid w:val="425B7081"/>
    <w:rsid w:val="4282549D"/>
    <w:rsid w:val="4296250D"/>
    <w:rsid w:val="42976F25"/>
    <w:rsid w:val="42BC7382"/>
    <w:rsid w:val="42C50636"/>
    <w:rsid w:val="42DC5A5C"/>
    <w:rsid w:val="42DF10EE"/>
    <w:rsid w:val="430E009E"/>
    <w:rsid w:val="432D1637"/>
    <w:rsid w:val="433031E3"/>
    <w:rsid w:val="43451D91"/>
    <w:rsid w:val="434613F9"/>
    <w:rsid w:val="435B0D09"/>
    <w:rsid w:val="43664715"/>
    <w:rsid w:val="43690C76"/>
    <w:rsid w:val="437E72ED"/>
    <w:rsid w:val="43935EEE"/>
    <w:rsid w:val="43D9081A"/>
    <w:rsid w:val="43EA3074"/>
    <w:rsid w:val="43F2498B"/>
    <w:rsid w:val="43F86A22"/>
    <w:rsid w:val="44072259"/>
    <w:rsid w:val="440E537B"/>
    <w:rsid w:val="441B5B0B"/>
    <w:rsid w:val="443451F4"/>
    <w:rsid w:val="444248D6"/>
    <w:rsid w:val="4447723C"/>
    <w:rsid w:val="44477CA8"/>
    <w:rsid w:val="444E3644"/>
    <w:rsid w:val="44542C53"/>
    <w:rsid w:val="44721E6E"/>
    <w:rsid w:val="448A687F"/>
    <w:rsid w:val="44A35E10"/>
    <w:rsid w:val="44B73D8B"/>
    <w:rsid w:val="44E55A58"/>
    <w:rsid w:val="44E92A42"/>
    <w:rsid w:val="44EC691E"/>
    <w:rsid w:val="44F20D8A"/>
    <w:rsid w:val="45196317"/>
    <w:rsid w:val="451F1453"/>
    <w:rsid w:val="45200221"/>
    <w:rsid w:val="452F3ADE"/>
    <w:rsid w:val="456C3426"/>
    <w:rsid w:val="456D0411"/>
    <w:rsid w:val="45764C68"/>
    <w:rsid w:val="45764D48"/>
    <w:rsid w:val="45765517"/>
    <w:rsid w:val="458A2584"/>
    <w:rsid w:val="458C3B43"/>
    <w:rsid w:val="458E1B18"/>
    <w:rsid w:val="45A94CAD"/>
    <w:rsid w:val="45AE3201"/>
    <w:rsid w:val="45DC4237"/>
    <w:rsid w:val="46014AA7"/>
    <w:rsid w:val="460B2B60"/>
    <w:rsid w:val="46305BF1"/>
    <w:rsid w:val="463232A2"/>
    <w:rsid w:val="46360B56"/>
    <w:rsid w:val="465F71D5"/>
    <w:rsid w:val="46737CA9"/>
    <w:rsid w:val="468D3EF4"/>
    <w:rsid w:val="46B102DF"/>
    <w:rsid w:val="46BE3C51"/>
    <w:rsid w:val="46D82C54"/>
    <w:rsid w:val="46DC2DEF"/>
    <w:rsid w:val="46EA73C5"/>
    <w:rsid w:val="474D3F12"/>
    <w:rsid w:val="47685334"/>
    <w:rsid w:val="47734EDE"/>
    <w:rsid w:val="47CD5A32"/>
    <w:rsid w:val="47D429C9"/>
    <w:rsid w:val="47D97FDF"/>
    <w:rsid w:val="47F427C1"/>
    <w:rsid w:val="480037BE"/>
    <w:rsid w:val="482C010F"/>
    <w:rsid w:val="4831454F"/>
    <w:rsid w:val="48337EFA"/>
    <w:rsid w:val="483F2100"/>
    <w:rsid w:val="485037D6"/>
    <w:rsid w:val="486A731D"/>
    <w:rsid w:val="486C6336"/>
    <w:rsid w:val="48716B5F"/>
    <w:rsid w:val="487D3104"/>
    <w:rsid w:val="487F0B87"/>
    <w:rsid w:val="48A61C3C"/>
    <w:rsid w:val="48C52312"/>
    <w:rsid w:val="48E1539E"/>
    <w:rsid w:val="48FD385A"/>
    <w:rsid w:val="49090939"/>
    <w:rsid w:val="490E5466"/>
    <w:rsid w:val="491F201C"/>
    <w:rsid w:val="49357497"/>
    <w:rsid w:val="4956557E"/>
    <w:rsid w:val="49806847"/>
    <w:rsid w:val="498862F2"/>
    <w:rsid w:val="49B01F3D"/>
    <w:rsid w:val="49BA527F"/>
    <w:rsid w:val="49CE37AF"/>
    <w:rsid w:val="49CF224E"/>
    <w:rsid w:val="49D77950"/>
    <w:rsid w:val="49E16794"/>
    <w:rsid w:val="49E95A4F"/>
    <w:rsid w:val="49F01BD0"/>
    <w:rsid w:val="4A123335"/>
    <w:rsid w:val="4A454E53"/>
    <w:rsid w:val="4A5428F3"/>
    <w:rsid w:val="4A592677"/>
    <w:rsid w:val="4A600544"/>
    <w:rsid w:val="4A643416"/>
    <w:rsid w:val="4A851D59"/>
    <w:rsid w:val="4AA46C7C"/>
    <w:rsid w:val="4AE90DC0"/>
    <w:rsid w:val="4B0D540A"/>
    <w:rsid w:val="4B2E0642"/>
    <w:rsid w:val="4B42196B"/>
    <w:rsid w:val="4B495B12"/>
    <w:rsid w:val="4B5E3F3D"/>
    <w:rsid w:val="4B5F07FC"/>
    <w:rsid w:val="4B625096"/>
    <w:rsid w:val="4B6469EB"/>
    <w:rsid w:val="4B7B02CD"/>
    <w:rsid w:val="4B8E10E1"/>
    <w:rsid w:val="4BA032C9"/>
    <w:rsid w:val="4BA32DDE"/>
    <w:rsid w:val="4BAD4783"/>
    <w:rsid w:val="4BBA4752"/>
    <w:rsid w:val="4BC8578A"/>
    <w:rsid w:val="4BCF0B88"/>
    <w:rsid w:val="4BE1136C"/>
    <w:rsid w:val="4BF50141"/>
    <w:rsid w:val="4C162E9E"/>
    <w:rsid w:val="4C1A437A"/>
    <w:rsid w:val="4C355B31"/>
    <w:rsid w:val="4C365A00"/>
    <w:rsid w:val="4C425CD0"/>
    <w:rsid w:val="4C4332C5"/>
    <w:rsid w:val="4C577725"/>
    <w:rsid w:val="4C5D37D5"/>
    <w:rsid w:val="4C5F450E"/>
    <w:rsid w:val="4C613ADC"/>
    <w:rsid w:val="4C630E06"/>
    <w:rsid w:val="4C833D5C"/>
    <w:rsid w:val="4C883D82"/>
    <w:rsid w:val="4CB44B77"/>
    <w:rsid w:val="4CC308E1"/>
    <w:rsid w:val="4CE216E4"/>
    <w:rsid w:val="4CF805A8"/>
    <w:rsid w:val="4D1A0D39"/>
    <w:rsid w:val="4D1C6B82"/>
    <w:rsid w:val="4D293102"/>
    <w:rsid w:val="4D64546F"/>
    <w:rsid w:val="4D706CF0"/>
    <w:rsid w:val="4D732FBC"/>
    <w:rsid w:val="4D890ACB"/>
    <w:rsid w:val="4DB1505B"/>
    <w:rsid w:val="4DE7615F"/>
    <w:rsid w:val="4E100F47"/>
    <w:rsid w:val="4E164FFE"/>
    <w:rsid w:val="4E5F4B1A"/>
    <w:rsid w:val="4E8E70EC"/>
    <w:rsid w:val="4EB65DC8"/>
    <w:rsid w:val="4EC372F3"/>
    <w:rsid w:val="4EEE3955"/>
    <w:rsid w:val="4EFE4AF3"/>
    <w:rsid w:val="4F006637"/>
    <w:rsid w:val="4F380341"/>
    <w:rsid w:val="4F402488"/>
    <w:rsid w:val="4F522006"/>
    <w:rsid w:val="4F6834BF"/>
    <w:rsid w:val="4F844806"/>
    <w:rsid w:val="4F8D090B"/>
    <w:rsid w:val="4FAC4EB7"/>
    <w:rsid w:val="4FD10C7F"/>
    <w:rsid w:val="4FF04118"/>
    <w:rsid w:val="50147CE0"/>
    <w:rsid w:val="501B68E1"/>
    <w:rsid w:val="501F67AB"/>
    <w:rsid w:val="505845BC"/>
    <w:rsid w:val="50747F96"/>
    <w:rsid w:val="509E3B74"/>
    <w:rsid w:val="50A73B92"/>
    <w:rsid w:val="50A80F52"/>
    <w:rsid w:val="50B712F4"/>
    <w:rsid w:val="50D852D8"/>
    <w:rsid w:val="50FC2DEA"/>
    <w:rsid w:val="51500D89"/>
    <w:rsid w:val="5154178B"/>
    <w:rsid w:val="51583D23"/>
    <w:rsid w:val="51642DFF"/>
    <w:rsid w:val="5180074A"/>
    <w:rsid w:val="518B5C01"/>
    <w:rsid w:val="51BB4457"/>
    <w:rsid w:val="51C47B6E"/>
    <w:rsid w:val="51C55131"/>
    <w:rsid w:val="51D2584F"/>
    <w:rsid w:val="51E14A0D"/>
    <w:rsid w:val="5210135E"/>
    <w:rsid w:val="52271947"/>
    <w:rsid w:val="523C7026"/>
    <w:rsid w:val="529602A4"/>
    <w:rsid w:val="52BB3A20"/>
    <w:rsid w:val="52BC0650"/>
    <w:rsid w:val="52FF3DCC"/>
    <w:rsid w:val="530567CF"/>
    <w:rsid w:val="53271BCA"/>
    <w:rsid w:val="532E2D50"/>
    <w:rsid w:val="533B27D1"/>
    <w:rsid w:val="5358625C"/>
    <w:rsid w:val="539F0238"/>
    <w:rsid w:val="53AA392F"/>
    <w:rsid w:val="53C86670"/>
    <w:rsid w:val="53DD7CE6"/>
    <w:rsid w:val="53DE6FB1"/>
    <w:rsid w:val="53EE0ABC"/>
    <w:rsid w:val="53F51D3A"/>
    <w:rsid w:val="54011637"/>
    <w:rsid w:val="541B578B"/>
    <w:rsid w:val="54285C58"/>
    <w:rsid w:val="543A1B78"/>
    <w:rsid w:val="543C3095"/>
    <w:rsid w:val="5442236C"/>
    <w:rsid w:val="544467E1"/>
    <w:rsid w:val="54514176"/>
    <w:rsid w:val="546B10D9"/>
    <w:rsid w:val="547E02E3"/>
    <w:rsid w:val="548769E5"/>
    <w:rsid w:val="54E254DB"/>
    <w:rsid w:val="54E4372D"/>
    <w:rsid w:val="54FC5E96"/>
    <w:rsid w:val="55055AA1"/>
    <w:rsid w:val="550F1949"/>
    <w:rsid w:val="55353CDE"/>
    <w:rsid w:val="554A4A34"/>
    <w:rsid w:val="55512D45"/>
    <w:rsid w:val="55663F2C"/>
    <w:rsid w:val="5572231F"/>
    <w:rsid w:val="55727B3F"/>
    <w:rsid w:val="557A62CA"/>
    <w:rsid w:val="557B7DA9"/>
    <w:rsid w:val="557D04B4"/>
    <w:rsid w:val="558B3C9A"/>
    <w:rsid w:val="55954A86"/>
    <w:rsid w:val="55A97A22"/>
    <w:rsid w:val="55D358BF"/>
    <w:rsid w:val="55D46688"/>
    <w:rsid w:val="55ED379F"/>
    <w:rsid w:val="5630669A"/>
    <w:rsid w:val="565F4FE8"/>
    <w:rsid w:val="567A1D00"/>
    <w:rsid w:val="568B06F7"/>
    <w:rsid w:val="56BA7B97"/>
    <w:rsid w:val="56BB2E7A"/>
    <w:rsid w:val="56CD6F44"/>
    <w:rsid w:val="56F7515A"/>
    <w:rsid w:val="56FA5801"/>
    <w:rsid w:val="57502FC0"/>
    <w:rsid w:val="57535B86"/>
    <w:rsid w:val="57600001"/>
    <w:rsid w:val="57741582"/>
    <w:rsid w:val="57761B7B"/>
    <w:rsid w:val="577A33AF"/>
    <w:rsid w:val="57821E3F"/>
    <w:rsid w:val="578735B4"/>
    <w:rsid w:val="57A9647A"/>
    <w:rsid w:val="57C1646F"/>
    <w:rsid w:val="57C276E0"/>
    <w:rsid w:val="57CB3289"/>
    <w:rsid w:val="57F5749A"/>
    <w:rsid w:val="57F80681"/>
    <w:rsid w:val="580F1057"/>
    <w:rsid w:val="5812788A"/>
    <w:rsid w:val="58130F2D"/>
    <w:rsid w:val="58332B03"/>
    <w:rsid w:val="5853793A"/>
    <w:rsid w:val="585A65D3"/>
    <w:rsid w:val="586C05AD"/>
    <w:rsid w:val="587753D7"/>
    <w:rsid w:val="58C774F2"/>
    <w:rsid w:val="58EC4721"/>
    <w:rsid w:val="58F1725D"/>
    <w:rsid w:val="5903696B"/>
    <w:rsid w:val="59386657"/>
    <w:rsid w:val="593C4897"/>
    <w:rsid w:val="594B7DE8"/>
    <w:rsid w:val="59522F93"/>
    <w:rsid w:val="595F5D19"/>
    <w:rsid w:val="59611BE3"/>
    <w:rsid w:val="597027D7"/>
    <w:rsid w:val="59892957"/>
    <w:rsid w:val="598F7F55"/>
    <w:rsid w:val="59B5105D"/>
    <w:rsid w:val="59B572DF"/>
    <w:rsid w:val="59E27660"/>
    <w:rsid w:val="5A19426B"/>
    <w:rsid w:val="5A6E21F4"/>
    <w:rsid w:val="5A7C62F4"/>
    <w:rsid w:val="5A9D0CC0"/>
    <w:rsid w:val="5AB87F28"/>
    <w:rsid w:val="5AF91E6E"/>
    <w:rsid w:val="5B232F1A"/>
    <w:rsid w:val="5B270145"/>
    <w:rsid w:val="5B303C78"/>
    <w:rsid w:val="5B3222B1"/>
    <w:rsid w:val="5B372CB9"/>
    <w:rsid w:val="5B375205"/>
    <w:rsid w:val="5B4B66A7"/>
    <w:rsid w:val="5B7570B9"/>
    <w:rsid w:val="5B7D608A"/>
    <w:rsid w:val="5B831794"/>
    <w:rsid w:val="5B862C3B"/>
    <w:rsid w:val="5B9A07E9"/>
    <w:rsid w:val="5BA557C7"/>
    <w:rsid w:val="5BBE50CA"/>
    <w:rsid w:val="5BCC01F3"/>
    <w:rsid w:val="5BDB3ECE"/>
    <w:rsid w:val="5BDD221B"/>
    <w:rsid w:val="5BFE196B"/>
    <w:rsid w:val="5C3408EB"/>
    <w:rsid w:val="5C425D13"/>
    <w:rsid w:val="5C4349F9"/>
    <w:rsid w:val="5C4C26D6"/>
    <w:rsid w:val="5C5F0A5E"/>
    <w:rsid w:val="5C5F172C"/>
    <w:rsid w:val="5C734C03"/>
    <w:rsid w:val="5C82647A"/>
    <w:rsid w:val="5C9A418D"/>
    <w:rsid w:val="5CAF6CBD"/>
    <w:rsid w:val="5CB00B41"/>
    <w:rsid w:val="5CB47080"/>
    <w:rsid w:val="5CCD16D5"/>
    <w:rsid w:val="5CDF3CE7"/>
    <w:rsid w:val="5CE3089A"/>
    <w:rsid w:val="5CE80BEB"/>
    <w:rsid w:val="5CF171FC"/>
    <w:rsid w:val="5D0336DD"/>
    <w:rsid w:val="5D0C2609"/>
    <w:rsid w:val="5D0F5CBC"/>
    <w:rsid w:val="5D7719D5"/>
    <w:rsid w:val="5D7A3273"/>
    <w:rsid w:val="5D832AD1"/>
    <w:rsid w:val="5D8660BC"/>
    <w:rsid w:val="5DCC4D80"/>
    <w:rsid w:val="5DE30E18"/>
    <w:rsid w:val="5E0E4493"/>
    <w:rsid w:val="5E0E705E"/>
    <w:rsid w:val="5E19304C"/>
    <w:rsid w:val="5E236A7C"/>
    <w:rsid w:val="5E3C18F7"/>
    <w:rsid w:val="5E5835B4"/>
    <w:rsid w:val="5E5E2787"/>
    <w:rsid w:val="5E6B656B"/>
    <w:rsid w:val="5E711728"/>
    <w:rsid w:val="5E8332A0"/>
    <w:rsid w:val="5E9C4B6B"/>
    <w:rsid w:val="5EAA1E65"/>
    <w:rsid w:val="5EC7698C"/>
    <w:rsid w:val="5ED73C8F"/>
    <w:rsid w:val="5EEA61D6"/>
    <w:rsid w:val="5EFB04AD"/>
    <w:rsid w:val="5F0D242D"/>
    <w:rsid w:val="5F1231A0"/>
    <w:rsid w:val="5F1467A4"/>
    <w:rsid w:val="5F184544"/>
    <w:rsid w:val="5F1F0576"/>
    <w:rsid w:val="5F5F2928"/>
    <w:rsid w:val="5F62356D"/>
    <w:rsid w:val="5F805C13"/>
    <w:rsid w:val="5F921CB7"/>
    <w:rsid w:val="5FAE60CB"/>
    <w:rsid w:val="5FE62E42"/>
    <w:rsid w:val="6022031E"/>
    <w:rsid w:val="6030480C"/>
    <w:rsid w:val="604921E7"/>
    <w:rsid w:val="604B7C75"/>
    <w:rsid w:val="60562402"/>
    <w:rsid w:val="60696A1F"/>
    <w:rsid w:val="60787F3E"/>
    <w:rsid w:val="608A2009"/>
    <w:rsid w:val="608C3CEA"/>
    <w:rsid w:val="60910B83"/>
    <w:rsid w:val="60927908"/>
    <w:rsid w:val="609A691B"/>
    <w:rsid w:val="609B2E27"/>
    <w:rsid w:val="60A239BF"/>
    <w:rsid w:val="60C87830"/>
    <w:rsid w:val="60CA039B"/>
    <w:rsid w:val="60D33E59"/>
    <w:rsid w:val="60DD598F"/>
    <w:rsid w:val="60F01468"/>
    <w:rsid w:val="60F04EE6"/>
    <w:rsid w:val="61056EFA"/>
    <w:rsid w:val="61150081"/>
    <w:rsid w:val="6134278C"/>
    <w:rsid w:val="613627E1"/>
    <w:rsid w:val="613A6ECD"/>
    <w:rsid w:val="613F2A81"/>
    <w:rsid w:val="616A14E3"/>
    <w:rsid w:val="619C0B2F"/>
    <w:rsid w:val="61C46F73"/>
    <w:rsid w:val="61C96577"/>
    <w:rsid w:val="61D95BB8"/>
    <w:rsid w:val="61DE15B3"/>
    <w:rsid w:val="61DF2865"/>
    <w:rsid w:val="61FC694D"/>
    <w:rsid w:val="621A0D8C"/>
    <w:rsid w:val="6220628E"/>
    <w:rsid w:val="622402F4"/>
    <w:rsid w:val="622F1785"/>
    <w:rsid w:val="6238098A"/>
    <w:rsid w:val="623D7BB2"/>
    <w:rsid w:val="62493232"/>
    <w:rsid w:val="625941A1"/>
    <w:rsid w:val="625E3532"/>
    <w:rsid w:val="62717419"/>
    <w:rsid w:val="62B23B6C"/>
    <w:rsid w:val="62C765F0"/>
    <w:rsid w:val="62C974A1"/>
    <w:rsid w:val="62DE77C9"/>
    <w:rsid w:val="62FF2DF5"/>
    <w:rsid w:val="631A1D4E"/>
    <w:rsid w:val="632B573B"/>
    <w:rsid w:val="634026F6"/>
    <w:rsid w:val="63542EF8"/>
    <w:rsid w:val="63725EC4"/>
    <w:rsid w:val="637B3BE5"/>
    <w:rsid w:val="638B60E5"/>
    <w:rsid w:val="63A7263F"/>
    <w:rsid w:val="63AD43A2"/>
    <w:rsid w:val="63C36769"/>
    <w:rsid w:val="63DA3214"/>
    <w:rsid w:val="63E30A74"/>
    <w:rsid w:val="641F6922"/>
    <w:rsid w:val="645B1B30"/>
    <w:rsid w:val="64737361"/>
    <w:rsid w:val="64CC1C5A"/>
    <w:rsid w:val="64E91612"/>
    <w:rsid w:val="64F6723F"/>
    <w:rsid w:val="6520011B"/>
    <w:rsid w:val="652256E0"/>
    <w:rsid w:val="652E0AD4"/>
    <w:rsid w:val="652E1D3D"/>
    <w:rsid w:val="6539417C"/>
    <w:rsid w:val="654914F1"/>
    <w:rsid w:val="655E32BA"/>
    <w:rsid w:val="65707F33"/>
    <w:rsid w:val="65717B78"/>
    <w:rsid w:val="65754100"/>
    <w:rsid w:val="657C6D16"/>
    <w:rsid w:val="6599762A"/>
    <w:rsid w:val="65A03BE1"/>
    <w:rsid w:val="65A72538"/>
    <w:rsid w:val="65AC6BF5"/>
    <w:rsid w:val="65AF553D"/>
    <w:rsid w:val="65B41310"/>
    <w:rsid w:val="65C21C5B"/>
    <w:rsid w:val="65DE2B08"/>
    <w:rsid w:val="65FE02DD"/>
    <w:rsid w:val="66155733"/>
    <w:rsid w:val="662B15AE"/>
    <w:rsid w:val="66364AC2"/>
    <w:rsid w:val="66395563"/>
    <w:rsid w:val="664551AC"/>
    <w:rsid w:val="665F79A6"/>
    <w:rsid w:val="66815F02"/>
    <w:rsid w:val="66862C89"/>
    <w:rsid w:val="668B5A59"/>
    <w:rsid w:val="66D25ECE"/>
    <w:rsid w:val="66DD53AB"/>
    <w:rsid w:val="66F61BBC"/>
    <w:rsid w:val="6702645B"/>
    <w:rsid w:val="67295619"/>
    <w:rsid w:val="672A5EFC"/>
    <w:rsid w:val="6739514A"/>
    <w:rsid w:val="67423AE4"/>
    <w:rsid w:val="675E5562"/>
    <w:rsid w:val="67652F5D"/>
    <w:rsid w:val="676964E9"/>
    <w:rsid w:val="6796514D"/>
    <w:rsid w:val="67985AA3"/>
    <w:rsid w:val="67C0080B"/>
    <w:rsid w:val="67F47EA2"/>
    <w:rsid w:val="67F54EF8"/>
    <w:rsid w:val="683204EB"/>
    <w:rsid w:val="683911F4"/>
    <w:rsid w:val="6858130A"/>
    <w:rsid w:val="688603FF"/>
    <w:rsid w:val="689C6793"/>
    <w:rsid w:val="68AD274F"/>
    <w:rsid w:val="68BF513F"/>
    <w:rsid w:val="68E2515C"/>
    <w:rsid w:val="68EB0857"/>
    <w:rsid w:val="68EE3265"/>
    <w:rsid w:val="693B7D5A"/>
    <w:rsid w:val="69447000"/>
    <w:rsid w:val="69536D6F"/>
    <w:rsid w:val="697936D6"/>
    <w:rsid w:val="69CC30A8"/>
    <w:rsid w:val="69EE7F51"/>
    <w:rsid w:val="6A284E5E"/>
    <w:rsid w:val="6A325601"/>
    <w:rsid w:val="6A397F2B"/>
    <w:rsid w:val="6A3C3AB9"/>
    <w:rsid w:val="6A640780"/>
    <w:rsid w:val="6A705189"/>
    <w:rsid w:val="6A71521F"/>
    <w:rsid w:val="6A77022D"/>
    <w:rsid w:val="6A8071DD"/>
    <w:rsid w:val="6A95610E"/>
    <w:rsid w:val="6AA31B3B"/>
    <w:rsid w:val="6AB16D85"/>
    <w:rsid w:val="6AD86B57"/>
    <w:rsid w:val="6B115ED9"/>
    <w:rsid w:val="6B5E70B3"/>
    <w:rsid w:val="6B846989"/>
    <w:rsid w:val="6B9318B2"/>
    <w:rsid w:val="6B9E687A"/>
    <w:rsid w:val="6BAA424A"/>
    <w:rsid w:val="6BB01140"/>
    <w:rsid w:val="6BBA1EF5"/>
    <w:rsid w:val="6BC04A81"/>
    <w:rsid w:val="6BCA3B74"/>
    <w:rsid w:val="6BCB1404"/>
    <w:rsid w:val="6BE4574E"/>
    <w:rsid w:val="6C0438A7"/>
    <w:rsid w:val="6C112375"/>
    <w:rsid w:val="6C1D5545"/>
    <w:rsid w:val="6C285BF1"/>
    <w:rsid w:val="6C2942A7"/>
    <w:rsid w:val="6C4F118B"/>
    <w:rsid w:val="6C5C11C9"/>
    <w:rsid w:val="6C691082"/>
    <w:rsid w:val="6C9300E0"/>
    <w:rsid w:val="6CE6143B"/>
    <w:rsid w:val="6D012F12"/>
    <w:rsid w:val="6D0B7DBA"/>
    <w:rsid w:val="6D1612D8"/>
    <w:rsid w:val="6D1818E0"/>
    <w:rsid w:val="6D2848BD"/>
    <w:rsid w:val="6D6804DE"/>
    <w:rsid w:val="6D763A57"/>
    <w:rsid w:val="6D777907"/>
    <w:rsid w:val="6D7D331D"/>
    <w:rsid w:val="6D83339A"/>
    <w:rsid w:val="6D90356F"/>
    <w:rsid w:val="6D9B1E51"/>
    <w:rsid w:val="6DA76CB5"/>
    <w:rsid w:val="6DC16CB2"/>
    <w:rsid w:val="6DC63BA8"/>
    <w:rsid w:val="6DC7520A"/>
    <w:rsid w:val="6DC92616"/>
    <w:rsid w:val="6DCF4F15"/>
    <w:rsid w:val="6DCF760B"/>
    <w:rsid w:val="6DE87313"/>
    <w:rsid w:val="6E102C58"/>
    <w:rsid w:val="6E113780"/>
    <w:rsid w:val="6E1D4B85"/>
    <w:rsid w:val="6E3C3D38"/>
    <w:rsid w:val="6E461C2B"/>
    <w:rsid w:val="6E4977F3"/>
    <w:rsid w:val="6E8476F8"/>
    <w:rsid w:val="6E89186E"/>
    <w:rsid w:val="6E8D0E01"/>
    <w:rsid w:val="6E9E0EB9"/>
    <w:rsid w:val="6EB94166"/>
    <w:rsid w:val="6EEB6F09"/>
    <w:rsid w:val="6F0417E9"/>
    <w:rsid w:val="6F1057E5"/>
    <w:rsid w:val="6F376120"/>
    <w:rsid w:val="6F59253A"/>
    <w:rsid w:val="6F7305B2"/>
    <w:rsid w:val="6F832E6A"/>
    <w:rsid w:val="6F852436"/>
    <w:rsid w:val="6F9C351D"/>
    <w:rsid w:val="6F9F0176"/>
    <w:rsid w:val="6FA37EA6"/>
    <w:rsid w:val="6FA644B3"/>
    <w:rsid w:val="6FD87221"/>
    <w:rsid w:val="6FEA24DA"/>
    <w:rsid w:val="7019691C"/>
    <w:rsid w:val="701D559E"/>
    <w:rsid w:val="701E3F32"/>
    <w:rsid w:val="70476D1A"/>
    <w:rsid w:val="70487BEE"/>
    <w:rsid w:val="7060595A"/>
    <w:rsid w:val="70974410"/>
    <w:rsid w:val="709F71D7"/>
    <w:rsid w:val="70A00DEB"/>
    <w:rsid w:val="70B669ED"/>
    <w:rsid w:val="70BD5DDE"/>
    <w:rsid w:val="70D205A0"/>
    <w:rsid w:val="70FF5085"/>
    <w:rsid w:val="71021D40"/>
    <w:rsid w:val="711F2CDA"/>
    <w:rsid w:val="71285AAC"/>
    <w:rsid w:val="71296B94"/>
    <w:rsid w:val="713176BF"/>
    <w:rsid w:val="714F53FB"/>
    <w:rsid w:val="716F1190"/>
    <w:rsid w:val="71871808"/>
    <w:rsid w:val="718B4DAA"/>
    <w:rsid w:val="7197656F"/>
    <w:rsid w:val="71A8625B"/>
    <w:rsid w:val="71A9375F"/>
    <w:rsid w:val="71B46C05"/>
    <w:rsid w:val="71C9399E"/>
    <w:rsid w:val="71F35597"/>
    <w:rsid w:val="71F61FEA"/>
    <w:rsid w:val="721828FF"/>
    <w:rsid w:val="722A75E7"/>
    <w:rsid w:val="723507E7"/>
    <w:rsid w:val="72376559"/>
    <w:rsid w:val="72605F44"/>
    <w:rsid w:val="726D0B34"/>
    <w:rsid w:val="729E46FB"/>
    <w:rsid w:val="72A32206"/>
    <w:rsid w:val="72C04BB9"/>
    <w:rsid w:val="72C70B67"/>
    <w:rsid w:val="72C9287B"/>
    <w:rsid w:val="72D128BA"/>
    <w:rsid w:val="7310659E"/>
    <w:rsid w:val="731E71FD"/>
    <w:rsid w:val="73221406"/>
    <w:rsid w:val="73281A91"/>
    <w:rsid w:val="73281C56"/>
    <w:rsid w:val="732A74C5"/>
    <w:rsid w:val="7337799B"/>
    <w:rsid w:val="733A6CBD"/>
    <w:rsid w:val="73533F2B"/>
    <w:rsid w:val="735E18C5"/>
    <w:rsid w:val="737F2F3A"/>
    <w:rsid w:val="738B7B30"/>
    <w:rsid w:val="738F7621"/>
    <w:rsid w:val="73AF2E50"/>
    <w:rsid w:val="73B6625C"/>
    <w:rsid w:val="73BF7E94"/>
    <w:rsid w:val="73C15A68"/>
    <w:rsid w:val="73C63133"/>
    <w:rsid w:val="73E62FB9"/>
    <w:rsid w:val="73EF1E6D"/>
    <w:rsid w:val="73FA5255"/>
    <w:rsid w:val="74257F85"/>
    <w:rsid w:val="74412A60"/>
    <w:rsid w:val="74452F75"/>
    <w:rsid w:val="74A878D4"/>
    <w:rsid w:val="74C01A5C"/>
    <w:rsid w:val="750B01A8"/>
    <w:rsid w:val="754649B5"/>
    <w:rsid w:val="75861925"/>
    <w:rsid w:val="758A40E8"/>
    <w:rsid w:val="759C11E6"/>
    <w:rsid w:val="75AD62DC"/>
    <w:rsid w:val="75BD7B09"/>
    <w:rsid w:val="75D51BD9"/>
    <w:rsid w:val="75F23E97"/>
    <w:rsid w:val="75F44E35"/>
    <w:rsid w:val="76072BA0"/>
    <w:rsid w:val="761E2A47"/>
    <w:rsid w:val="76524C03"/>
    <w:rsid w:val="765B051C"/>
    <w:rsid w:val="76753EF7"/>
    <w:rsid w:val="767C19B2"/>
    <w:rsid w:val="76861DC8"/>
    <w:rsid w:val="768947FB"/>
    <w:rsid w:val="76956404"/>
    <w:rsid w:val="76960E77"/>
    <w:rsid w:val="76AB3105"/>
    <w:rsid w:val="76E063E5"/>
    <w:rsid w:val="76E93A8F"/>
    <w:rsid w:val="77081204"/>
    <w:rsid w:val="77170059"/>
    <w:rsid w:val="771D74E0"/>
    <w:rsid w:val="77287243"/>
    <w:rsid w:val="77346D9A"/>
    <w:rsid w:val="773D2B41"/>
    <w:rsid w:val="774F3B82"/>
    <w:rsid w:val="776668EA"/>
    <w:rsid w:val="7771233B"/>
    <w:rsid w:val="779E3B2C"/>
    <w:rsid w:val="77CC3308"/>
    <w:rsid w:val="77D26142"/>
    <w:rsid w:val="78216D74"/>
    <w:rsid w:val="78303AAA"/>
    <w:rsid w:val="78446FDD"/>
    <w:rsid w:val="785A1918"/>
    <w:rsid w:val="78715575"/>
    <w:rsid w:val="787403D8"/>
    <w:rsid w:val="7879514B"/>
    <w:rsid w:val="78821894"/>
    <w:rsid w:val="788A0D3F"/>
    <w:rsid w:val="789456D9"/>
    <w:rsid w:val="78AD32CC"/>
    <w:rsid w:val="78B73604"/>
    <w:rsid w:val="78C043FB"/>
    <w:rsid w:val="78E111CF"/>
    <w:rsid w:val="78E674A3"/>
    <w:rsid w:val="78F91AEA"/>
    <w:rsid w:val="79133EC0"/>
    <w:rsid w:val="79223CF7"/>
    <w:rsid w:val="79242855"/>
    <w:rsid w:val="79297BCF"/>
    <w:rsid w:val="79346D56"/>
    <w:rsid w:val="793A002E"/>
    <w:rsid w:val="79435383"/>
    <w:rsid w:val="799A49E5"/>
    <w:rsid w:val="799D1F74"/>
    <w:rsid w:val="799D589A"/>
    <w:rsid w:val="79A45E76"/>
    <w:rsid w:val="79A90D10"/>
    <w:rsid w:val="79B3647D"/>
    <w:rsid w:val="79BD656A"/>
    <w:rsid w:val="79D60FB3"/>
    <w:rsid w:val="79D93CE9"/>
    <w:rsid w:val="79DF1182"/>
    <w:rsid w:val="79EF4832"/>
    <w:rsid w:val="79FC7E30"/>
    <w:rsid w:val="7A363DBC"/>
    <w:rsid w:val="7A4D1FE3"/>
    <w:rsid w:val="7A566F50"/>
    <w:rsid w:val="7A661E83"/>
    <w:rsid w:val="7A75317D"/>
    <w:rsid w:val="7A951295"/>
    <w:rsid w:val="7AAA70B9"/>
    <w:rsid w:val="7AC1355A"/>
    <w:rsid w:val="7AD55A85"/>
    <w:rsid w:val="7AD73011"/>
    <w:rsid w:val="7ADA15A0"/>
    <w:rsid w:val="7B15600E"/>
    <w:rsid w:val="7B157B32"/>
    <w:rsid w:val="7B4F1026"/>
    <w:rsid w:val="7B5C014D"/>
    <w:rsid w:val="7B6D3956"/>
    <w:rsid w:val="7B70293D"/>
    <w:rsid w:val="7B8070B7"/>
    <w:rsid w:val="7B8F69C3"/>
    <w:rsid w:val="7BA94415"/>
    <w:rsid w:val="7BB022BF"/>
    <w:rsid w:val="7BD334E9"/>
    <w:rsid w:val="7BE2216F"/>
    <w:rsid w:val="7BFB00B9"/>
    <w:rsid w:val="7C1B4036"/>
    <w:rsid w:val="7C2B334B"/>
    <w:rsid w:val="7C2E34E2"/>
    <w:rsid w:val="7C4202A8"/>
    <w:rsid w:val="7C736499"/>
    <w:rsid w:val="7C763E36"/>
    <w:rsid w:val="7C817D27"/>
    <w:rsid w:val="7C8A32C9"/>
    <w:rsid w:val="7C9F350B"/>
    <w:rsid w:val="7CAE2776"/>
    <w:rsid w:val="7CAF0F43"/>
    <w:rsid w:val="7CD3383F"/>
    <w:rsid w:val="7CF44998"/>
    <w:rsid w:val="7D1A270B"/>
    <w:rsid w:val="7D1A270E"/>
    <w:rsid w:val="7D1B54E6"/>
    <w:rsid w:val="7D36562E"/>
    <w:rsid w:val="7D4165A6"/>
    <w:rsid w:val="7D4320F9"/>
    <w:rsid w:val="7D513339"/>
    <w:rsid w:val="7D5371C2"/>
    <w:rsid w:val="7D9D6DDE"/>
    <w:rsid w:val="7DD27BAF"/>
    <w:rsid w:val="7DDA76E6"/>
    <w:rsid w:val="7DDB186C"/>
    <w:rsid w:val="7DF601F8"/>
    <w:rsid w:val="7E0F63AD"/>
    <w:rsid w:val="7E1B4BCD"/>
    <w:rsid w:val="7E2B4615"/>
    <w:rsid w:val="7E3C03A5"/>
    <w:rsid w:val="7E5828CF"/>
    <w:rsid w:val="7E587174"/>
    <w:rsid w:val="7E5D02DA"/>
    <w:rsid w:val="7E625485"/>
    <w:rsid w:val="7E7547A3"/>
    <w:rsid w:val="7E837D82"/>
    <w:rsid w:val="7E8F2BCB"/>
    <w:rsid w:val="7E9F34FC"/>
    <w:rsid w:val="7EBD17C2"/>
    <w:rsid w:val="7EEA331B"/>
    <w:rsid w:val="7F08297D"/>
    <w:rsid w:val="7F2D7CEE"/>
    <w:rsid w:val="7F421D33"/>
    <w:rsid w:val="7F423DEF"/>
    <w:rsid w:val="7F4760E9"/>
    <w:rsid w:val="7F5C6AFB"/>
    <w:rsid w:val="7F655BA0"/>
    <w:rsid w:val="7F7742D6"/>
    <w:rsid w:val="7F797DE1"/>
    <w:rsid w:val="7F7A190F"/>
    <w:rsid w:val="7F962991"/>
    <w:rsid w:val="7F982226"/>
    <w:rsid w:val="7F9B3691"/>
    <w:rsid w:val="7FA660EF"/>
    <w:rsid w:val="7FB652D6"/>
    <w:rsid w:val="7FD0512E"/>
    <w:rsid w:val="7FE56171"/>
    <w:rsid w:val="7FE64F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3"/>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before="340" w:beforeLines="0" w:beforeAutospacing="0" w:after="330" w:afterLines="0" w:afterAutospacing="0" w:line="576" w:lineRule="auto"/>
      <w:outlineLvl w:val="0"/>
    </w:pPr>
    <w:rPr>
      <w:rFonts w:eastAsia="黑体" w:asciiTheme="minorAscii" w:hAnsiTheme="minorAscii"/>
      <w:kern w:val="44"/>
      <w:sz w:val="36"/>
      <w:szCs w:val="22"/>
    </w:rPr>
  </w:style>
  <w:style w:type="paragraph" w:styleId="3">
    <w:name w:val="heading 2"/>
    <w:basedOn w:val="1"/>
    <w:next w:val="1"/>
    <w:autoRedefine/>
    <w:unhideWhenUsed/>
    <w:qFormat/>
    <w:uiPriority w:val="0"/>
    <w:pPr>
      <w:keepNext/>
      <w:keepLines/>
      <w:spacing w:before="260" w:beforeLines="0" w:beforeAutospacing="0" w:after="260" w:afterLines="0" w:afterAutospacing="0" w:line="240" w:lineRule="auto"/>
      <w:jc w:val="left"/>
      <w:outlineLvl w:val="1"/>
    </w:pPr>
    <w:rPr>
      <w:rFonts w:ascii="Arial" w:hAnsi="Arial" w:eastAsia="黑体"/>
      <w:sz w:val="28"/>
      <w:szCs w:val="22"/>
    </w:rPr>
  </w:style>
  <w:style w:type="paragraph" w:styleId="4">
    <w:name w:val="heading 3"/>
    <w:basedOn w:val="1"/>
    <w:next w:val="1"/>
    <w:autoRedefine/>
    <w:unhideWhenUsed/>
    <w:qFormat/>
    <w:uiPriority w:val="0"/>
    <w:pPr>
      <w:keepNext/>
      <w:keepLines/>
      <w:spacing w:before="260" w:beforeLines="0" w:beforeAutospacing="0" w:after="260" w:afterLines="0" w:afterAutospacing="0" w:line="240" w:lineRule="auto"/>
      <w:jc w:val="left"/>
      <w:outlineLvl w:val="2"/>
    </w:pPr>
    <w:rPr>
      <w:rFonts w:eastAsia="黑体" w:asciiTheme="minorAscii" w:hAnsiTheme="minorAscii"/>
      <w:sz w:val="24"/>
      <w:szCs w:val="22"/>
    </w:rPr>
  </w:style>
  <w:style w:type="paragraph" w:styleId="5">
    <w:name w:val="heading 4"/>
    <w:basedOn w:val="1"/>
    <w:next w:val="1"/>
    <w:autoRedefine/>
    <w:qFormat/>
    <w:uiPriority w:val="0"/>
    <w:pPr>
      <w:keepNext/>
      <w:keepLines/>
      <w:spacing w:before="280" w:beforeLines="0" w:after="290" w:afterLines="0" w:line="240" w:lineRule="auto"/>
      <w:ind w:firstLine="0" w:firstLineChars="0"/>
      <w:outlineLvl w:val="3"/>
    </w:pPr>
    <w:rPr>
      <w:rFonts w:ascii="Times New Roman" w:hAnsi="Times New Roman" w:eastAsia="宋体"/>
      <w:b/>
      <w:bCs/>
      <w:kern w:val="0"/>
      <w:szCs w:val="28"/>
    </w:rPr>
  </w:style>
  <w:style w:type="character" w:default="1" w:styleId="26">
    <w:name w:val="Default Paragraph Font"/>
    <w:autoRedefine/>
    <w:semiHidden/>
    <w:unhideWhenUsed/>
    <w:qFormat/>
    <w:uiPriority w:val="1"/>
  </w:style>
  <w:style w:type="table" w:default="1" w:styleId="24">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next w:val="1"/>
    <w:autoRedefine/>
    <w:qFormat/>
    <w:uiPriority w:val="0"/>
    <w:pPr>
      <w:ind w:firstLine="420" w:firstLineChars="200"/>
    </w:pPr>
  </w:style>
  <w:style w:type="paragraph" w:styleId="7">
    <w:name w:val="caption"/>
    <w:basedOn w:val="1"/>
    <w:next w:val="1"/>
    <w:autoRedefine/>
    <w:qFormat/>
    <w:uiPriority w:val="0"/>
    <w:rPr>
      <w:rFonts w:ascii="Arial" w:hAnsi="Arial" w:eastAsia="黑体" w:cs="Arial"/>
      <w:sz w:val="20"/>
      <w:szCs w:val="20"/>
    </w:rPr>
  </w:style>
  <w:style w:type="paragraph" w:styleId="8">
    <w:name w:val="annotation text"/>
    <w:basedOn w:val="1"/>
    <w:autoRedefine/>
    <w:qFormat/>
    <w:uiPriority w:val="0"/>
    <w:pPr>
      <w:jc w:val="left"/>
    </w:pPr>
  </w:style>
  <w:style w:type="paragraph" w:styleId="9">
    <w:name w:val="Salutation"/>
    <w:basedOn w:val="1"/>
    <w:next w:val="1"/>
    <w:autoRedefine/>
    <w:qFormat/>
    <w:uiPriority w:val="0"/>
    <w:rPr>
      <w:sz w:val="28"/>
      <w:szCs w:val="20"/>
    </w:rPr>
  </w:style>
  <w:style w:type="paragraph" w:styleId="10">
    <w:name w:val="Body Text"/>
    <w:basedOn w:val="1"/>
    <w:next w:val="11"/>
    <w:autoRedefine/>
    <w:qFormat/>
    <w:uiPriority w:val="0"/>
    <w:pPr>
      <w:spacing w:after="120"/>
    </w:pPr>
  </w:style>
  <w:style w:type="paragraph" w:customStyle="1" w:styleId="11">
    <w:name w:val="xl27"/>
    <w:basedOn w:val="1"/>
    <w:autoRedefine/>
    <w:qFormat/>
    <w:uiPriority w:val="99"/>
    <w:pPr>
      <w:widowControl/>
      <w:pBdr>
        <w:top w:val="single" w:color="auto" w:sz="4" w:space="0"/>
        <w:left w:val="single" w:color="auto" w:sz="8" w:space="0"/>
        <w:bottom w:val="single" w:color="auto" w:sz="4" w:space="0"/>
        <w:right w:val="single" w:color="auto" w:sz="4" w:space="0"/>
      </w:pBdr>
      <w:autoSpaceDE w:val="0"/>
      <w:autoSpaceDN w:val="0"/>
      <w:spacing w:before="100" w:beforeAutospacing="1" w:after="100" w:afterAutospacing="1"/>
      <w:jc w:val="center"/>
    </w:pPr>
    <w:rPr>
      <w:rFonts w:ascii="???-18030" w:hAnsi="???-18030" w:cs="???-18030"/>
      <w:kern w:val="0"/>
      <w:sz w:val="22"/>
      <w:szCs w:val="22"/>
      <w:lang w:val="zh-CN" w:bidi="zh-CN"/>
    </w:rPr>
  </w:style>
  <w:style w:type="paragraph" w:styleId="12">
    <w:name w:val="Body Text Indent"/>
    <w:basedOn w:val="1"/>
    <w:next w:val="13"/>
    <w:autoRedefine/>
    <w:qFormat/>
    <w:uiPriority w:val="0"/>
    <w:pPr>
      <w:snapToGrid w:val="0"/>
      <w:spacing w:before="120" w:line="360" w:lineRule="atLeast"/>
      <w:ind w:firstLine="539"/>
    </w:pPr>
    <w:rPr>
      <w:sz w:val="24"/>
    </w:rPr>
  </w:style>
  <w:style w:type="paragraph" w:styleId="13">
    <w:name w:val="Body Text Indent 2"/>
    <w:basedOn w:val="1"/>
    <w:next w:val="14"/>
    <w:autoRedefine/>
    <w:qFormat/>
    <w:uiPriority w:val="0"/>
    <w:pPr>
      <w:spacing w:before="15" w:line="480" w:lineRule="exact"/>
      <w:ind w:firstLine="496" w:firstLineChars="200"/>
    </w:pPr>
    <w:rPr>
      <w:rFonts w:ascii="宋体" w:hAnsi="宋体"/>
      <w:spacing w:val="4"/>
      <w:sz w:val="24"/>
    </w:rPr>
  </w:style>
  <w:style w:type="paragraph" w:styleId="14">
    <w:name w:val="Body Text First Indent 2"/>
    <w:basedOn w:val="12"/>
    <w:next w:val="1"/>
    <w:autoRedefine/>
    <w:qFormat/>
    <w:uiPriority w:val="0"/>
    <w:pPr>
      <w:spacing w:after="120" w:line="240" w:lineRule="auto"/>
      <w:ind w:left="420" w:leftChars="200" w:firstLine="420" w:firstLineChars="200"/>
    </w:pPr>
    <w:rPr>
      <w:sz w:val="21"/>
    </w:rPr>
  </w:style>
  <w:style w:type="paragraph" w:styleId="15">
    <w:name w:val="Plain Text"/>
    <w:basedOn w:val="1"/>
    <w:next w:val="9"/>
    <w:autoRedefine/>
    <w:qFormat/>
    <w:uiPriority w:val="0"/>
    <w:pPr>
      <w:adjustRightInd w:val="0"/>
      <w:spacing w:before="120" w:line="400" w:lineRule="exact"/>
      <w:textAlignment w:val="baseline"/>
    </w:pPr>
    <w:rPr>
      <w:rFonts w:ascii="宋体" w:hAnsi="Courier New"/>
      <w:spacing w:val="-2"/>
      <w:kern w:val="28"/>
      <w:szCs w:val="20"/>
    </w:rPr>
  </w:style>
  <w:style w:type="paragraph" w:styleId="16">
    <w:name w:val="footer"/>
    <w:basedOn w:val="1"/>
    <w:autoRedefine/>
    <w:qFormat/>
    <w:uiPriority w:val="0"/>
    <w:pPr>
      <w:tabs>
        <w:tab w:val="center" w:pos="4153"/>
        <w:tab w:val="right" w:pos="8306"/>
      </w:tabs>
      <w:snapToGrid w:val="0"/>
      <w:jc w:val="left"/>
    </w:pPr>
    <w:rPr>
      <w:sz w:val="18"/>
      <w:szCs w:val="18"/>
    </w:rPr>
  </w:style>
  <w:style w:type="paragraph" w:styleId="17">
    <w:name w:val="envelope return"/>
    <w:basedOn w:val="1"/>
    <w:autoRedefine/>
    <w:qFormat/>
    <w:uiPriority w:val="0"/>
    <w:pPr>
      <w:snapToGrid w:val="0"/>
      <w:spacing w:line="480" w:lineRule="exact"/>
    </w:pPr>
    <w:rPr>
      <w:rFonts w:ascii="Arial" w:hAnsi="Arial" w:cs="Arial"/>
      <w:szCs w:val="24"/>
    </w:rPr>
  </w:style>
  <w:style w:type="paragraph" w:styleId="1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List"/>
    <w:basedOn w:val="1"/>
    <w:autoRedefine/>
    <w:qFormat/>
    <w:uiPriority w:val="0"/>
    <w:pPr>
      <w:ind w:left="200" w:hanging="200" w:hangingChars="200"/>
    </w:pPr>
  </w:style>
  <w:style w:type="paragraph" w:styleId="20">
    <w:name w:val="toc 9"/>
    <w:basedOn w:val="1"/>
    <w:next w:val="1"/>
    <w:autoRedefine/>
    <w:qFormat/>
    <w:uiPriority w:val="39"/>
    <w:pPr>
      <w:adjustRightInd w:val="0"/>
      <w:snapToGrid w:val="0"/>
      <w:ind w:left="3360" w:leftChars="1600"/>
    </w:pPr>
  </w:style>
  <w:style w:type="paragraph" w:styleId="21">
    <w:name w:val="Body Text 2"/>
    <w:basedOn w:val="1"/>
    <w:next w:val="1"/>
    <w:autoRedefine/>
    <w:qFormat/>
    <w:uiPriority w:val="0"/>
    <w:pPr>
      <w:spacing w:after="120" w:line="480" w:lineRule="auto"/>
    </w:pPr>
  </w:style>
  <w:style w:type="paragraph" w:styleId="22">
    <w:name w:val="Normal (Web)"/>
    <w:basedOn w:val="1"/>
    <w:autoRedefine/>
    <w:qFormat/>
    <w:uiPriority w:val="99"/>
    <w:pPr>
      <w:widowControl/>
      <w:spacing w:before="100" w:beforeAutospacing="1" w:after="100" w:afterAutospacing="1"/>
      <w:jc w:val="left"/>
    </w:pPr>
    <w:rPr>
      <w:rFonts w:ascii="宋体" w:hAnsi="宋体"/>
      <w:color w:val="000000"/>
      <w:sz w:val="24"/>
    </w:rPr>
  </w:style>
  <w:style w:type="paragraph" w:styleId="23">
    <w:name w:val="Body Text First Indent"/>
    <w:basedOn w:val="1"/>
    <w:autoRedefine/>
    <w:qFormat/>
    <w:uiPriority w:val="0"/>
    <w:pPr>
      <w:ind w:firstLine="420" w:firstLineChars="100"/>
    </w:pPr>
  </w:style>
  <w:style w:type="table" w:styleId="25">
    <w:name w:val="Table Grid"/>
    <w:basedOn w:val="2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autoRedefine/>
    <w:qFormat/>
    <w:uiPriority w:val="0"/>
  </w:style>
  <w:style w:type="paragraph" w:customStyle="1" w:styleId="28">
    <w:name w:val="Default"/>
    <w:basedOn w:val="29"/>
    <w:next w:val="20"/>
    <w:autoRedefine/>
    <w:qFormat/>
    <w:uiPriority w:val="0"/>
    <w:pPr>
      <w:widowControl w:val="0"/>
      <w:autoSpaceDE w:val="0"/>
      <w:autoSpaceDN w:val="0"/>
      <w:adjustRightInd w:val="0"/>
      <w:spacing w:line="200" w:lineRule="atLeast"/>
      <w:jc w:val="center"/>
      <w:textAlignment w:val="center"/>
    </w:pPr>
    <w:rPr>
      <w:rFonts w:ascii="宋体" w:hAnsi="宋体" w:eastAsia="宋体" w:cs="宋体"/>
      <w:color w:val="000000"/>
      <w:sz w:val="21"/>
      <w:szCs w:val="24"/>
      <w:lang w:val="en-US" w:eastAsia="zh-CN" w:bidi="ar-SA"/>
    </w:rPr>
  </w:style>
  <w:style w:type="paragraph" w:customStyle="1" w:styleId="29">
    <w:name w:val="文本"/>
    <w:basedOn w:val="1"/>
    <w:next w:val="1"/>
    <w:autoRedefine/>
    <w:qFormat/>
    <w:uiPriority w:val="0"/>
    <w:pPr>
      <w:ind w:firstLine="420"/>
    </w:pPr>
  </w:style>
  <w:style w:type="paragraph" w:customStyle="1" w:styleId="30">
    <w:name w:val="标题2"/>
    <w:next w:val="1"/>
    <w:autoRedefine/>
    <w:qFormat/>
    <w:uiPriority w:val="0"/>
    <w:pPr>
      <w:widowControl w:val="0"/>
      <w:jc w:val="both"/>
    </w:pPr>
    <w:rPr>
      <w:rFonts w:ascii="宋体" w:hAnsi="宋体" w:eastAsia="宋体" w:cs="Times New Roman"/>
      <w:b/>
      <w:sz w:val="21"/>
      <w:szCs w:val="24"/>
      <w:lang w:val="en-US" w:eastAsia="zh-CN" w:bidi="ar-SA"/>
    </w:rPr>
  </w:style>
  <w:style w:type="paragraph" w:customStyle="1" w:styleId="31">
    <w:name w:val="1正文段落"/>
    <w:basedOn w:val="1"/>
    <w:autoRedefine/>
    <w:qFormat/>
    <w:uiPriority w:val="0"/>
    <w:pPr>
      <w:spacing w:line="360" w:lineRule="auto"/>
      <w:ind w:firstLine="200" w:firstLineChars="200"/>
      <w:jc w:val="left"/>
    </w:pPr>
    <w:rPr>
      <w:snapToGrid w:val="0"/>
      <w:kern w:val="0"/>
      <w:sz w:val="24"/>
    </w:rPr>
  </w:style>
  <w:style w:type="paragraph" w:customStyle="1" w:styleId="32">
    <w:name w:val="报告正文"/>
    <w:autoRedefine/>
    <w:qFormat/>
    <w:uiPriority w:val="0"/>
    <w:pPr>
      <w:spacing w:line="360" w:lineRule="auto"/>
      <w:ind w:firstLine="723" w:firstLineChars="200"/>
    </w:pPr>
    <w:rPr>
      <w:rFonts w:ascii="Times New Roman" w:hAnsi="Times New Roman" w:eastAsia="宋体" w:cs="宋体"/>
      <w:sz w:val="24"/>
      <w:szCs w:val="24"/>
      <w:lang w:val="en-US" w:eastAsia="zh-CN" w:bidi="ar-SA"/>
    </w:rPr>
  </w:style>
  <w:style w:type="paragraph" w:customStyle="1" w:styleId="33">
    <w:name w:val="序号标题"/>
    <w:next w:val="32"/>
    <w:autoRedefine/>
    <w:qFormat/>
    <w:uiPriority w:val="0"/>
    <w:pPr>
      <w:spacing w:line="360" w:lineRule="auto"/>
      <w:ind w:firstLine="723" w:firstLineChars="200"/>
    </w:pPr>
    <w:rPr>
      <w:rFonts w:ascii="Times New Roman" w:hAnsi="Times New Roman" w:eastAsia="宋体" w:cs="宋体"/>
      <w:b/>
      <w:sz w:val="24"/>
      <w:szCs w:val="24"/>
      <w:lang w:val="en-US" w:eastAsia="zh-CN" w:bidi="ar-SA"/>
    </w:rPr>
  </w:style>
  <w:style w:type="paragraph" w:customStyle="1" w:styleId="34">
    <w:name w:val="Char1 Char Char Char"/>
    <w:basedOn w:val="1"/>
    <w:autoRedefine/>
    <w:qFormat/>
    <w:uiPriority w:val="0"/>
    <w:rPr>
      <w:sz w:val="24"/>
    </w:rPr>
  </w:style>
  <w:style w:type="paragraph" w:customStyle="1" w:styleId="35">
    <w:name w:val="图表标注"/>
    <w:basedOn w:val="1"/>
    <w:autoRedefine/>
    <w:qFormat/>
    <w:uiPriority w:val="0"/>
    <w:pPr>
      <w:jc w:val="center"/>
      <w:outlineLvl w:val="4"/>
    </w:pPr>
    <w:rPr>
      <w:rFonts w:eastAsia="黑体"/>
      <w:bCs/>
      <w:color w:val="000000"/>
    </w:rPr>
  </w:style>
  <w:style w:type="paragraph" w:customStyle="1" w:styleId="36">
    <w:name w:val="表格正文"/>
    <w:basedOn w:val="1"/>
    <w:autoRedefine/>
    <w:qFormat/>
    <w:uiPriority w:val="0"/>
    <w:pPr>
      <w:adjustRightInd w:val="0"/>
      <w:spacing w:line="360" w:lineRule="exact"/>
      <w:jc w:val="center"/>
    </w:pPr>
    <w:rPr>
      <w:snapToGrid w:val="0"/>
    </w:rPr>
  </w:style>
  <w:style w:type="paragraph" w:customStyle="1" w:styleId="37">
    <w:name w:val="正文1"/>
    <w:basedOn w:val="1"/>
    <w:autoRedefine/>
    <w:qFormat/>
    <w:uiPriority w:val="0"/>
    <w:pPr>
      <w:spacing w:before="78" w:beforeLines="25" w:after="78" w:afterLines="25" w:line="360" w:lineRule="auto"/>
      <w:ind w:firstLine="480" w:firstLineChars="200"/>
    </w:pPr>
    <w:rPr>
      <w:sz w:val="24"/>
    </w:rPr>
  </w:style>
  <w:style w:type="paragraph" w:customStyle="1" w:styleId="38">
    <w:name w:val="[正文格式]"/>
    <w:basedOn w:val="1"/>
    <w:autoRedefine/>
    <w:qFormat/>
    <w:uiPriority w:val="0"/>
    <w:pPr>
      <w:spacing w:line="440" w:lineRule="exact"/>
      <w:ind w:firstLine="500" w:firstLineChars="200"/>
    </w:pPr>
    <w:rPr>
      <w:rFonts w:cs="宋体"/>
      <w:sz w:val="25"/>
    </w:rPr>
  </w:style>
  <w:style w:type="paragraph" w:customStyle="1" w:styleId="39">
    <w:name w:val="表格内容--中祥"/>
    <w:basedOn w:val="1"/>
    <w:autoRedefine/>
    <w:qFormat/>
    <w:uiPriority w:val="0"/>
    <w:pPr>
      <w:jc w:val="center"/>
    </w:pPr>
    <w:rPr>
      <w:kern w:val="0"/>
      <w:szCs w:val="21"/>
    </w:rPr>
  </w:style>
  <w:style w:type="paragraph" w:customStyle="1" w:styleId="40">
    <w:name w:val="表头"/>
    <w:basedOn w:val="29"/>
    <w:next w:val="1"/>
    <w:autoRedefine/>
    <w:qFormat/>
    <w:uiPriority w:val="0"/>
    <w:pPr>
      <w:keepNext/>
      <w:snapToGrid w:val="0"/>
      <w:jc w:val="center"/>
    </w:pPr>
    <w:rPr>
      <w:b/>
      <w:lang w:eastAsia="en-US"/>
    </w:rPr>
  </w:style>
  <w:style w:type="paragraph" w:customStyle="1" w:styleId="41">
    <w:name w:val="表格"/>
    <w:basedOn w:val="40"/>
    <w:next w:val="1"/>
    <w:autoRedefine/>
    <w:qFormat/>
    <w:uiPriority w:val="0"/>
    <w:pPr>
      <w:adjustRightInd w:val="0"/>
      <w:spacing w:beforeLines="10" w:afterLines="10"/>
    </w:pPr>
    <w:rPr>
      <w:rFonts w:ascii="Times New Roman" w:hAnsi="Times New Roman"/>
      <w:kern w:val="0"/>
    </w:rPr>
  </w:style>
  <w:style w:type="paragraph" w:styleId="42">
    <w:name w:val="List Paragraph"/>
    <w:basedOn w:val="1"/>
    <w:autoRedefine/>
    <w:qFormat/>
    <w:uiPriority w:val="34"/>
    <w:pPr>
      <w:ind w:firstLine="420" w:firstLineChars="200"/>
    </w:pPr>
  </w:style>
  <w:style w:type="character" w:customStyle="1" w:styleId="43">
    <w:name w:val="NormalCharacter"/>
    <w:link w:val="1"/>
    <w:autoRedefine/>
    <w:qFormat/>
    <w:uiPriority w:val="0"/>
    <w:rPr>
      <w:rFonts w:asciiTheme="minorHAnsi" w:hAnsiTheme="minorHAnsi" w:eastAsiaTheme="minorEastAsia" w:cstheme="minorBidi"/>
      <w:kern w:val="2"/>
      <w:sz w:val="21"/>
      <w:szCs w:val="24"/>
      <w:lang w:val="en-US" w:eastAsia="zh-CN" w:bidi="ar-SA"/>
    </w:rPr>
  </w:style>
  <w:style w:type="paragraph" w:customStyle="1" w:styleId="44">
    <w:name w:val="表格内容"/>
    <w:basedOn w:val="45"/>
    <w:next w:val="1"/>
    <w:autoRedefine/>
    <w:qFormat/>
    <w:uiPriority w:val="0"/>
  </w:style>
  <w:style w:type="paragraph" w:customStyle="1" w:styleId="45">
    <w:name w:val="表格标题"/>
    <w:basedOn w:val="1"/>
    <w:next w:val="44"/>
    <w:autoRedefine/>
    <w:qFormat/>
    <w:uiPriority w:val="0"/>
    <w:pPr>
      <w:spacing w:line="240" w:lineRule="auto"/>
      <w:ind w:firstLine="0" w:firstLineChars="0"/>
      <w:jc w:val="center"/>
    </w:pPr>
    <w:rPr>
      <w:b/>
      <w:kern w:val="0"/>
      <w:sz w:val="21"/>
    </w:rPr>
  </w:style>
  <w:style w:type="paragraph" w:customStyle="1" w:styleId="46">
    <w:name w:val="表格内容(真)"/>
    <w:basedOn w:val="47"/>
    <w:next w:val="1"/>
    <w:autoRedefine/>
    <w:qFormat/>
    <w:uiPriority w:val="0"/>
    <w:pPr>
      <w:spacing w:line="240" w:lineRule="atLeast"/>
    </w:pPr>
    <w:rPr>
      <w:b w:val="0"/>
    </w:rPr>
  </w:style>
  <w:style w:type="paragraph" w:customStyle="1" w:styleId="47">
    <w:name w:val="表格标题（真）"/>
    <w:basedOn w:val="1"/>
    <w:next w:val="44"/>
    <w:autoRedefine/>
    <w:qFormat/>
    <w:uiPriority w:val="0"/>
    <w:pPr>
      <w:spacing w:line="240" w:lineRule="auto"/>
      <w:ind w:firstLine="0" w:firstLineChars="0"/>
      <w:jc w:val="center"/>
    </w:pPr>
    <w:rPr>
      <w:b/>
      <w:color w:val="000000" w:themeColor="text1"/>
      <w:sz w:val="21"/>
      <w:szCs w:val="20"/>
      <w14:textFill>
        <w14:solidFill>
          <w14:schemeClr w14:val="tx1"/>
        </w14:solidFill>
      </w14:textFill>
    </w:rPr>
  </w:style>
  <w:style w:type="paragraph" w:customStyle="1" w:styleId="48">
    <w:name w:val="A正文"/>
    <w:basedOn w:val="1"/>
    <w:autoRedefine/>
    <w:qFormat/>
    <w:uiPriority w:val="0"/>
    <w:pPr>
      <w:widowControl/>
      <w:overflowPunct w:val="0"/>
      <w:autoSpaceDE w:val="0"/>
      <w:autoSpaceDN w:val="0"/>
      <w:jc w:val="left"/>
      <w:textAlignment w:val="baseline"/>
    </w:pPr>
  </w:style>
  <w:style w:type="paragraph" w:customStyle="1" w:styleId="49">
    <w:name w:val="报告表表格"/>
    <w:autoRedefine/>
    <w:qFormat/>
    <w:uiPriority w:val="0"/>
    <w:pPr>
      <w:widowControl w:val="0"/>
      <w:spacing w:line="360" w:lineRule="exact"/>
      <w:jc w:val="center"/>
    </w:pPr>
    <w:rPr>
      <w:rFonts w:ascii="Arial" w:hAnsi="Arial" w:eastAsia="宋体" w:cs="Arial Unicode MS"/>
      <w:kern w:val="2"/>
      <w:sz w:val="21"/>
      <w:szCs w:val="24"/>
      <w:lang w:val="en-US" w:eastAsia="zh-CN" w:bidi="ar-SA"/>
    </w:rPr>
  </w:style>
  <w:style w:type="paragraph" w:customStyle="1" w:styleId="50">
    <w:name w:val="1正文"/>
    <w:basedOn w:val="1"/>
    <w:qFormat/>
    <w:uiPriority w:val="0"/>
    <w:pPr>
      <w:spacing w:line="360" w:lineRule="auto"/>
      <w:ind w:firstLine="200" w:firstLineChars="200"/>
    </w:pPr>
    <w:rPr>
      <w:rFonts w:cs="宋体"/>
      <w:sz w:val="24"/>
    </w:rPr>
  </w:style>
  <w:style w:type="paragraph" w:customStyle="1" w:styleId="51">
    <w:name w:val="表格内"/>
    <w:next w:val="1"/>
    <w:autoRedefine/>
    <w:qFormat/>
    <w:uiPriority w:val="0"/>
    <w:pPr>
      <w:adjustRightInd w:val="0"/>
      <w:snapToGrid w:val="0"/>
      <w:jc w:val="center"/>
    </w:pPr>
    <w:rPr>
      <w:rFonts w:ascii="Times New Roman" w:hAnsi="Times New Roman" w:eastAsia="宋体" w:cs="Times New Roman"/>
      <w:sz w:val="21"/>
      <w:szCs w:val="22"/>
      <w:lang w:val="en-US" w:eastAsia="zh-CN" w:bidi="ar-SA"/>
    </w:rPr>
  </w:style>
  <w:style w:type="table" w:customStyle="1" w:styleId="52">
    <w:name w:val="Table Normal"/>
    <w:autoRedefine/>
    <w:unhideWhenUsed/>
    <w:qFormat/>
    <w:uiPriority w:val="2"/>
    <w:tblPr>
      <w:tblCellMar>
        <w:top w:w="0" w:type="dxa"/>
        <w:left w:w="0" w:type="dxa"/>
        <w:bottom w:w="0" w:type="dxa"/>
        <w:right w:w="0" w:type="dxa"/>
      </w:tblCellMar>
    </w:tblPr>
  </w:style>
  <w:style w:type="paragraph" w:customStyle="1" w:styleId="53">
    <w:name w:val="5级表头"/>
    <w:basedOn w:val="42"/>
    <w:autoRedefine/>
    <w:qFormat/>
    <w:uiPriority w:val="0"/>
    <w:pPr>
      <w:autoSpaceDE w:val="0"/>
      <w:spacing w:beforeAutospacing="0" w:afterAutospacing="0"/>
      <w:ind w:firstLine="0" w:firstLineChars="0"/>
      <w:jc w:val="center"/>
    </w:pPr>
    <w:rPr>
      <w:rFonts w:ascii="宋体" w:hAnsi="宋体" w:eastAsia="宋体" w:cs="Times New Roman"/>
      <w:b/>
      <w:kern w:val="2"/>
      <w:sz w:val="21"/>
      <w:szCs w:val="21"/>
    </w:rPr>
  </w:style>
  <w:style w:type="paragraph" w:customStyle="1" w:styleId="54">
    <w:name w:val="表格中文字"/>
    <w:autoRedefine/>
    <w:qFormat/>
    <w:uiPriority w:val="0"/>
    <w:pPr>
      <w:jc w:val="center"/>
    </w:pPr>
    <w:rPr>
      <w:rFonts w:ascii="Times New Roman" w:hAnsi="宋体" w:eastAsia="宋体" w:cs="Times New Roman"/>
      <w:kern w:val="18"/>
      <w:sz w:val="24"/>
      <w:szCs w:val="24"/>
      <w:lang w:val="en-US" w:eastAsia="zh-CN" w:bidi="ar-SA"/>
    </w:rPr>
  </w:style>
  <w:style w:type="paragraph" w:customStyle="1" w:styleId="55">
    <w:name w:val="正文文本 21"/>
    <w:basedOn w:val="1"/>
    <w:autoRedefine/>
    <w:qFormat/>
    <w:uiPriority w:val="0"/>
    <w:pPr>
      <w:adjustRightInd w:val="0"/>
      <w:jc w:val="center"/>
      <w:textAlignment w:val="baseline"/>
    </w:pPr>
    <w:rPr>
      <w:sz w:val="24"/>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wmf"/><Relationship Id="rId16" Type="http://schemas.openxmlformats.org/officeDocument/2006/relationships/image" Target="media/image11.wmf"/><Relationship Id="rId15" Type="http://schemas.openxmlformats.org/officeDocument/2006/relationships/image" Target="media/image10.wmf"/><Relationship Id="rId14" Type="http://schemas.openxmlformats.org/officeDocument/2006/relationships/image" Target="media/image9.wmf"/><Relationship Id="rId13" Type="http://schemas.openxmlformats.org/officeDocument/2006/relationships/image" Target="media/image8.png"/><Relationship Id="rId12" Type="http://schemas.openxmlformats.org/officeDocument/2006/relationships/image" Target="media/image7.wmf"/><Relationship Id="rId11" Type="http://schemas.openxmlformats.org/officeDocument/2006/relationships/image" Target="media/image6.wmf"/><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extobjs>
    <extobj name="ECB019B1-382A-4266-B25C-5B523AA43C14-1">
      <extobjdata type="ECB019B1-382A-4266-B25C-5B523AA43C14" data="ewoJIkZpbGVJZCIgOiAiNDM4ODE4MDE3NjYwIiwKCSJHcm91cElkIiA6ICI1ODM0NTc0MjAiLAoJIkltYWdlIiA6ICJpVkJPUncwS0dnb0FBQUFOU1VoRVVnQUFBOVVBQUFEaENBWUFBQURHU1pZNUFBQUFBWE5TUjBJQXJzNGM2UUFBSUFCSlJFRlVlSnpzM1hsY1ZGWC9CL0RQdVRNZ0tpQVlHcTZaNFFhS2M0ZXMxS3kwTkRNcnM1NTZzclJjU2d2TEpUVnRNWGRUTVZQVEZwY1dUYzN0VVZQTEpVMnR6QkptV0VRdE5UVEZEZGNRQnBpNTUvY0hNL05qbVlFQlFVQSs3OWVyVjNqdnVlZWVRUS9jN3ozbmZBOUF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SGgvd0FWaUZGQzZSbUVhQUFBQUFCSlJVNUVya0pnZ2c9PSIsCgkiVGhlbWUiIDogIiIsCgkiVHlwZSIgOiAiZmxvdyIsCgkiVXNlcklkIiA6ICI0OTk5MTM3MTEiLAoJIlZlcnNpb24iIDogIjE1Igp9Cg=="/>
    </extobj>
    <extobj name="ECB019B1-382A-4266-B25C-5B523AA43C14-2">
      <extobjdata type="ECB019B1-382A-4266-B25C-5B523AA43C14" data="ewoJIkZpbGVJZCIgOiAiNDM2NzAwODI2MDM2IiwKCSJHcm91cElkIiA6ICI1ODM0NTc0MjAiLAoJIkltYWdlIiA6ICJpVkJPUncwS0dnb0FBQUFOU1VoRVVnQUFCTXdBQUFWbENBWUFBQURqMEZEeEFBQUFBWE5TUjBJQXJzNGM2UUFBSUFCSlJFRlVlSnpzM1h0OFpIVjkvL0gzNTV5WlpKSzlzaXdMQzJzTkVIYVhrRTNtVEJRUlVVR1JBbFVVcFZndldQMTVMYlpxVmRRV3NWNWF0YTNWZXFFcXRzVWlWc1c3ZUN2S3hlSUZsTXhNWm5mRExnYUpFbUJoZ1dXenQxeG16dWYzUnliYjJXeVNuYkJKSmdtdjUrUEJJelBuZk0vNWZzNFk4bkRlZkM4U0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WJFLytQNW9sM3VISGloVWJBQUFBQUVsRlRrU3VRbUNDIiwKCSJUaGVtZSIgOiAiIiwKCSJUeXBlIiA6ICJmbG93IiwKCSJVc2VySWQiIDogIjQ5OTkxMzcxMSIsCgkiVmVyc2lvbiIgOiAiMTMxIgp9Cg=="/>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73</Pages>
  <Words>10964</Words>
  <Characters>11436</Characters>
  <Lines>163</Lines>
  <Paragraphs>46</Paragraphs>
  <TotalTime>3</TotalTime>
  <ScaleCrop>false</ScaleCrop>
  <LinksUpToDate>false</LinksUpToDate>
  <CharactersWithSpaces>11454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2021-03-11T01:56:00Z</dcterms:created>
  <dc:creator>bonne nuit</dc:creator>
  <cp:lastModifiedBy>黄叶青</cp:lastModifiedBy>
  <dcterms:modified xsi:type="dcterms:W3CDTF">2025-09-05T09:07:52Z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67E65296BF254646ACDC1CDC6056FEB1_13</vt:lpwstr>
  </property>
  <property fmtid="{D5CDD505-2E9C-101B-9397-08002B2CF9AE}" pid="4" name="KSOTemplateDocerSaveRecord">
    <vt:lpwstr>eyJoZGlkIjoiMTY0ZmI1ZjFiOTkyZmU0YmMwMDFkYWU1NDI1YzA1NDIiLCJ1c2VySWQiOiI3MzYzOTY0MjQifQ==</vt:lpwstr>
  </property>
</Properties>
</file>