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8887D8F">
      <w:pPr>
        <w:pStyle w:val="413"/>
        <w:ind w:left="1260" w:hanging="420"/>
        <w:jc w:val="both"/>
        <w:rPr>
          <w:color w:val="auto"/>
        </w:rPr>
      </w:pPr>
      <w:r>
        <w:rPr>
          <w:rFonts w:hint="eastAsia"/>
          <w:color w:val="auto"/>
        </w:rPr>
        <w:t xml:space="preserve"> </w:t>
      </w:r>
    </w:p>
    <w:p w14:paraId="3E1ACB50">
      <w:pPr>
        <w:pStyle w:val="413"/>
        <w:ind w:left="1260" w:hanging="420"/>
        <w:rPr>
          <w:color w:val="auto"/>
        </w:rPr>
      </w:pPr>
    </w:p>
    <w:p w14:paraId="47A1317E">
      <w:pPr>
        <w:pStyle w:val="413"/>
        <w:ind w:left="1260" w:hanging="420"/>
        <w:rPr>
          <w:color w:val="auto"/>
        </w:rPr>
      </w:pPr>
    </w:p>
    <w:p w14:paraId="4CEB85C2">
      <w:pPr>
        <w:pStyle w:val="413"/>
        <w:ind w:left="1260" w:hanging="420"/>
        <w:rPr>
          <w:color w:val="auto"/>
        </w:rPr>
      </w:pPr>
    </w:p>
    <w:p w14:paraId="5F4BF2BE">
      <w:pPr>
        <w:pStyle w:val="413"/>
        <w:jc w:val="both"/>
        <w:rPr>
          <w:color w:val="auto"/>
        </w:rPr>
      </w:pPr>
    </w:p>
    <w:p w14:paraId="19BD75B4">
      <w:pPr>
        <w:pStyle w:val="413"/>
        <w:ind w:left="1260" w:hanging="420"/>
        <w:rPr>
          <w:color w:val="auto"/>
        </w:rPr>
      </w:pPr>
    </w:p>
    <w:p w14:paraId="24406F8D">
      <w:pPr>
        <w:pStyle w:val="413"/>
        <w:ind w:left="1260" w:hanging="420"/>
        <w:rPr>
          <w:color w:val="auto"/>
        </w:rPr>
      </w:pPr>
    </w:p>
    <w:p w14:paraId="1F9C337F">
      <w:pPr>
        <w:pStyle w:val="413"/>
        <w:ind w:left="1260" w:hanging="420"/>
        <w:rPr>
          <w:color w:val="auto"/>
        </w:rPr>
      </w:pPr>
    </w:p>
    <w:p w14:paraId="330BB000">
      <w:pPr>
        <w:pStyle w:val="413"/>
        <w:ind w:left="1260" w:hanging="420"/>
        <w:rPr>
          <w:color w:val="auto"/>
        </w:rPr>
      </w:pPr>
    </w:p>
    <w:p w14:paraId="63F7DE82">
      <w:pPr>
        <w:pStyle w:val="413"/>
        <w:ind w:left="1260" w:hanging="420"/>
        <w:rPr>
          <w:color w:val="auto"/>
        </w:rPr>
      </w:pPr>
    </w:p>
    <w:p w14:paraId="1E3C501E">
      <w:pPr>
        <w:pStyle w:val="413"/>
        <w:ind w:left="1260" w:hanging="420"/>
        <w:rPr>
          <w:color w:val="auto"/>
        </w:rPr>
      </w:pPr>
    </w:p>
    <w:p w14:paraId="68B3D434">
      <w:pPr>
        <w:adjustRightInd w:val="0"/>
        <w:snapToGrid w:val="0"/>
        <w:jc w:val="center"/>
        <w:outlineLvl w:val="0"/>
        <w:rPr>
          <w:rFonts w:ascii="方正小标宋_GBK" w:eastAsia="方正小标宋_GBK"/>
          <w:bCs/>
          <w:color w:val="auto"/>
          <w:sz w:val="72"/>
          <w:szCs w:val="72"/>
        </w:rPr>
      </w:pPr>
      <w:bookmarkStart w:id="0" w:name="_Toc3069"/>
      <w:bookmarkStart w:id="1" w:name="_Toc252"/>
      <w:r>
        <w:rPr>
          <w:rFonts w:hint="eastAsia" w:ascii="方正小标宋_GBK" w:eastAsia="方正小标宋_GBK"/>
          <w:bCs/>
          <w:color w:val="auto"/>
          <w:sz w:val="72"/>
          <w:szCs w:val="72"/>
        </w:rPr>
        <w:t>建设项目环境影响报告表</w:t>
      </w:r>
      <w:bookmarkEnd w:id="0"/>
      <w:bookmarkEnd w:id="1"/>
    </w:p>
    <w:p w14:paraId="0809703C">
      <w:pPr>
        <w:adjustRightInd w:val="0"/>
        <w:snapToGrid w:val="0"/>
        <w:spacing w:before="192" w:beforeLines="80"/>
        <w:jc w:val="center"/>
        <w:rPr>
          <w:rFonts w:hint="eastAsia" w:ascii="楷体_GB2312" w:eastAsia="楷体_GB2312"/>
          <w:bCs/>
          <w:color w:val="auto"/>
          <w:sz w:val="48"/>
          <w:szCs w:val="48"/>
        </w:rPr>
      </w:pPr>
      <w:r>
        <w:rPr>
          <w:rFonts w:hint="eastAsia" w:ascii="楷体_GB2312" w:eastAsia="楷体_GB2312"/>
          <w:bCs/>
          <w:color w:val="auto"/>
          <w:sz w:val="48"/>
          <w:szCs w:val="48"/>
        </w:rPr>
        <w:t>（污染影响类）</w:t>
      </w:r>
    </w:p>
    <w:p w14:paraId="07A727E5">
      <w:pPr>
        <w:adjustRightInd w:val="0"/>
        <w:snapToGrid w:val="0"/>
        <w:spacing w:before="192" w:beforeLines="80"/>
        <w:jc w:val="center"/>
        <w:rPr>
          <w:rFonts w:hint="eastAsia" w:ascii="楷体_GB2312" w:eastAsia="楷体_GB2312"/>
          <w:bCs/>
          <w:color w:val="auto"/>
          <w:sz w:val="48"/>
          <w:szCs w:val="48"/>
          <w:lang w:eastAsia="zh-CN"/>
        </w:rPr>
      </w:pPr>
      <w:r>
        <w:rPr>
          <w:rFonts w:hint="eastAsia" w:ascii="楷体_GB2312" w:eastAsia="楷体_GB2312"/>
          <w:bCs/>
          <w:color w:val="auto"/>
          <w:sz w:val="48"/>
          <w:szCs w:val="48"/>
          <w:lang w:eastAsia="zh-CN"/>
        </w:rPr>
        <w:t>（</w:t>
      </w:r>
      <w:r>
        <w:rPr>
          <w:rFonts w:hint="eastAsia" w:ascii="楷体_GB2312" w:eastAsia="楷体_GB2312"/>
          <w:bCs/>
          <w:color w:val="auto"/>
          <w:sz w:val="48"/>
          <w:szCs w:val="48"/>
          <w:lang w:val="en-US" w:eastAsia="zh-CN"/>
        </w:rPr>
        <w:t>报批稿</w:t>
      </w:r>
      <w:r>
        <w:rPr>
          <w:rFonts w:hint="eastAsia" w:ascii="楷体_GB2312" w:eastAsia="楷体_GB2312"/>
          <w:bCs/>
          <w:color w:val="auto"/>
          <w:sz w:val="48"/>
          <w:szCs w:val="48"/>
          <w:lang w:eastAsia="zh-CN"/>
        </w:rPr>
        <w:t>）</w:t>
      </w:r>
    </w:p>
    <w:p w14:paraId="429CF9EC">
      <w:pPr>
        <w:pStyle w:val="413"/>
        <w:ind w:left="1260" w:hanging="420"/>
        <w:rPr>
          <w:color w:val="auto"/>
        </w:rPr>
      </w:pPr>
    </w:p>
    <w:p w14:paraId="0C8C3C02">
      <w:pPr>
        <w:pStyle w:val="413"/>
        <w:ind w:left="1260" w:hanging="420"/>
        <w:rPr>
          <w:color w:val="auto"/>
        </w:rPr>
      </w:pPr>
    </w:p>
    <w:p w14:paraId="722520EA">
      <w:pPr>
        <w:pStyle w:val="413"/>
        <w:ind w:left="1260" w:hanging="420"/>
        <w:rPr>
          <w:color w:val="auto"/>
        </w:rPr>
      </w:pPr>
    </w:p>
    <w:p w14:paraId="42031A46">
      <w:pPr>
        <w:pStyle w:val="413"/>
        <w:ind w:left="1260" w:hanging="420"/>
        <w:rPr>
          <w:color w:val="auto"/>
        </w:rPr>
      </w:pPr>
    </w:p>
    <w:p w14:paraId="1A28680B">
      <w:pPr>
        <w:pStyle w:val="413"/>
        <w:jc w:val="both"/>
        <w:rPr>
          <w:color w:val="auto"/>
        </w:rPr>
      </w:pPr>
    </w:p>
    <w:p w14:paraId="1FC4E152">
      <w:pPr>
        <w:pStyle w:val="413"/>
        <w:ind w:left="1260" w:hanging="420"/>
        <w:rPr>
          <w:color w:val="auto"/>
        </w:rPr>
      </w:pPr>
    </w:p>
    <w:p w14:paraId="35B9D2BB">
      <w:pPr>
        <w:pStyle w:val="413"/>
        <w:ind w:left="1260" w:hanging="420"/>
        <w:rPr>
          <w:color w:val="auto"/>
        </w:rPr>
      </w:pPr>
    </w:p>
    <w:p w14:paraId="0ACC1C4C">
      <w:pPr>
        <w:pStyle w:val="413"/>
        <w:ind w:left="1260" w:hanging="420"/>
        <w:rPr>
          <w:color w:val="auto"/>
        </w:rPr>
      </w:pPr>
    </w:p>
    <w:p w14:paraId="622B52FD">
      <w:pPr>
        <w:adjustRightInd w:val="0"/>
        <w:snapToGrid w:val="0"/>
        <w:spacing w:line="288" w:lineRule="auto"/>
        <w:jc w:val="left"/>
        <w:rPr>
          <w:rFonts w:ascii="仿宋_GB2312" w:eastAsia="仿宋_GB2312"/>
          <w:color w:val="auto"/>
          <w:sz w:val="36"/>
          <w:szCs w:val="36"/>
          <w:u w:val="single"/>
        </w:rPr>
      </w:pPr>
      <w:r>
        <w:rPr>
          <w:rFonts w:hint="eastAsia" w:ascii="仿宋_GB2312" w:eastAsia="仿宋_GB2312"/>
          <w:color w:val="auto"/>
          <w:sz w:val="36"/>
          <w:szCs w:val="36"/>
        </w:rPr>
        <w:t>项目名称：</w:t>
      </w:r>
      <w:bookmarkStart w:id="2" w:name="_Hlk108793140"/>
      <w:r>
        <w:rPr>
          <w:rFonts w:hint="eastAsia" w:ascii="仿宋_GB2312" w:eastAsia="仿宋_GB2312"/>
          <w:color w:val="auto"/>
          <w:sz w:val="36"/>
          <w:szCs w:val="36"/>
          <w:u w:val="single"/>
        </w:rPr>
        <w:t xml:space="preserve">   </w:t>
      </w:r>
      <w:r>
        <w:rPr>
          <w:rFonts w:hint="eastAsia" w:ascii="仿宋_GB2312" w:eastAsia="仿宋_GB2312"/>
          <w:color w:val="auto"/>
          <w:sz w:val="36"/>
          <w:szCs w:val="36"/>
          <w:u w:val="single"/>
          <w:lang w:eastAsia="zh-CN"/>
        </w:rPr>
        <w:t>年产8万件高端工业铝材浇铸件项目</w:t>
      </w:r>
      <w:r>
        <w:rPr>
          <w:rFonts w:hint="eastAsia" w:ascii="仿宋_GB2312" w:eastAsia="仿宋_GB2312"/>
          <w:color w:val="auto"/>
          <w:sz w:val="36"/>
          <w:szCs w:val="36"/>
          <w:u w:val="single"/>
        </w:rPr>
        <w:t xml:space="preserve">  </w:t>
      </w:r>
    </w:p>
    <w:bookmarkEnd w:id="2"/>
    <w:p w14:paraId="53AC44F1">
      <w:pPr>
        <w:adjustRightInd w:val="0"/>
        <w:snapToGrid w:val="0"/>
        <w:spacing w:line="288" w:lineRule="auto"/>
        <w:rPr>
          <w:rFonts w:hint="eastAsia" w:ascii="仿宋_GB2312" w:eastAsia="仿宋_GB2312"/>
          <w:color w:val="auto"/>
          <w:sz w:val="36"/>
          <w:szCs w:val="36"/>
          <w:u w:val="single"/>
          <w:lang w:eastAsia="zh-CN"/>
        </w:rPr>
      </w:pPr>
      <w:r>
        <w:rPr>
          <w:rFonts w:hint="eastAsia" w:ascii="仿宋_GB2312" w:eastAsia="仿宋_GB2312"/>
          <w:color w:val="auto"/>
          <w:sz w:val="36"/>
          <w:szCs w:val="36"/>
        </w:rPr>
        <w:t>建设单位（盖章）：</w:t>
      </w:r>
      <w:bookmarkStart w:id="3" w:name="OLE_LINK25"/>
      <w:r>
        <w:rPr>
          <w:rFonts w:hint="eastAsia" w:ascii="仿宋_GB2312" w:eastAsia="仿宋_GB2312"/>
          <w:color w:val="auto"/>
          <w:sz w:val="36"/>
          <w:szCs w:val="36"/>
          <w:u w:val="single"/>
          <w:lang w:eastAsia="zh-CN"/>
        </w:rPr>
        <w:t>池州市安安新材料科技股份有限公司</w:t>
      </w:r>
      <w:bookmarkEnd w:id="3"/>
    </w:p>
    <w:p w14:paraId="691D84F8">
      <w:pPr>
        <w:adjustRightInd w:val="0"/>
        <w:snapToGrid w:val="0"/>
        <w:spacing w:line="288" w:lineRule="auto"/>
        <w:rPr>
          <w:rFonts w:ascii="仿宋_GB2312" w:eastAsia="仿宋_GB2312"/>
          <w:color w:val="auto"/>
          <w:sz w:val="36"/>
          <w:szCs w:val="36"/>
          <w:u w:val="single" w:color="000000" w:themeColor="text1"/>
        </w:rPr>
      </w:pPr>
      <w:r>
        <w:rPr>
          <w:rFonts w:hint="eastAsia" w:ascii="仿宋_GB2312" w:eastAsia="仿宋_GB2312"/>
          <w:color w:val="auto"/>
          <w:sz w:val="36"/>
          <w:szCs w:val="36"/>
        </w:rPr>
        <w:t>编制日期：</w:t>
      </w:r>
      <w:r>
        <w:rPr>
          <w:rFonts w:hint="eastAsia" w:ascii="仿宋_GB2312" w:eastAsia="仿宋_GB2312"/>
          <w:color w:val="auto"/>
          <w:sz w:val="36"/>
          <w:szCs w:val="36"/>
          <w:u w:val="single" w:color="000000" w:themeColor="text1"/>
        </w:rPr>
        <w:t xml:space="preserve">           </w:t>
      </w:r>
      <w:r>
        <w:rPr>
          <w:rFonts w:ascii="仿宋_GB2312" w:eastAsia="仿宋_GB2312"/>
          <w:color w:val="auto"/>
          <w:sz w:val="36"/>
          <w:szCs w:val="36"/>
          <w:u w:val="single" w:color="000000" w:themeColor="text1"/>
        </w:rPr>
        <w:t xml:space="preserve">  </w:t>
      </w:r>
      <w:r>
        <w:rPr>
          <w:rFonts w:hint="eastAsia" w:eastAsia="仿宋_GB2312"/>
          <w:color w:val="auto"/>
          <w:sz w:val="36"/>
          <w:szCs w:val="36"/>
          <w:u w:val="single" w:color="000000" w:themeColor="text1"/>
        </w:rPr>
        <w:t>二〇二</w:t>
      </w:r>
      <w:r>
        <w:rPr>
          <w:rFonts w:hint="eastAsia" w:eastAsia="仿宋_GB2312"/>
          <w:color w:val="auto"/>
          <w:sz w:val="36"/>
          <w:szCs w:val="36"/>
          <w:u w:val="single" w:color="000000" w:themeColor="text1"/>
          <w:lang w:val="en-US" w:eastAsia="zh-CN"/>
        </w:rPr>
        <w:t>五</w:t>
      </w:r>
      <w:r>
        <w:rPr>
          <w:rFonts w:hint="eastAsia" w:eastAsia="仿宋_GB2312"/>
          <w:color w:val="auto"/>
          <w:sz w:val="36"/>
          <w:szCs w:val="36"/>
          <w:u w:val="single" w:color="000000" w:themeColor="text1"/>
        </w:rPr>
        <w:t>年</w:t>
      </w:r>
      <w:r>
        <w:rPr>
          <w:rFonts w:hint="eastAsia" w:eastAsia="仿宋_GB2312"/>
          <w:color w:val="auto"/>
          <w:sz w:val="36"/>
          <w:szCs w:val="36"/>
          <w:u w:val="single" w:color="000000" w:themeColor="text1"/>
          <w:lang w:val="en-US" w:eastAsia="zh-CN"/>
        </w:rPr>
        <w:t>七</w:t>
      </w:r>
      <w:r>
        <w:rPr>
          <w:rFonts w:hint="eastAsia" w:eastAsia="仿宋_GB2312"/>
          <w:color w:val="auto"/>
          <w:sz w:val="36"/>
          <w:szCs w:val="36"/>
          <w:u w:val="single" w:color="000000" w:themeColor="text1"/>
        </w:rPr>
        <w:t xml:space="preserve">月 </w:t>
      </w:r>
      <w:r>
        <w:rPr>
          <w:rFonts w:eastAsia="仿宋_GB2312"/>
          <w:color w:val="auto"/>
          <w:sz w:val="36"/>
          <w:szCs w:val="36"/>
          <w:u w:val="single" w:color="000000" w:themeColor="text1"/>
        </w:rPr>
        <w:t xml:space="preserve"> </w:t>
      </w:r>
      <w:r>
        <w:rPr>
          <w:rFonts w:hint="eastAsia" w:ascii="仿宋_GB2312" w:eastAsia="仿宋_GB2312"/>
          <w:color w:val="auto"/>
          <w:sz w:val="36"/>
          <w:szCs w:val="36"/>
          <w:u w:val="single" w:color="000000" w:themeColor="text1"/>
        </w:rPr>
        <w:t xml:space="preserve">      </w:t>
      </w:r>
      <w:bookmarkStart w:id="4" w:name="_Hlk57884087"/>
      <w:r>
        <w:rPr>
          <w:rFonts w:ascii="仿宋_GB2312" w:eastAsia="仿宋_GB2312"/>
          <w:color w:val="auto"/>
          <w:sz w:val="36"/>
          <w:szCs w:val="36"/>
          <w:u w:val="single" w:color="000000" w:themeColor="text1"/>
        </w:rPr>
        <w:t xml:space="preserve">     </w:t>
      </w:r>
    </w:p>
    <w:p w14:paraId="1358B113">
      <w:pPr>
        <w:pStyle w:val="413"/>
        <w:ind w:left="1260" w:hanging="420"/>
        <w:rPr>
          <w:color w:val="auto"/>
        </w:rPr>
      </w:pPr>
    </w:p>
    <w:p w14:paraId="3A957881">
      <w:pPr>
        <w:pStyle w:val="413"/>
        <w:ind w:left="1260" w:hanging="420"/>
        <w:rPr>
          <w:color w:val="auto"/>
        </w:rPr>
      </w:pPr>
    </w:p>
    <w:p w14:paraId="3C460063">
      <w:pPr>
        <w:pStyle w:val="413"/>
        <w:ind w:left="1260" w:hanging="420"/>
        <w:rPr>
          <w:color w:val="auto"/>
        </w:rPr>
      </w:pPr>
      <w:r>
        <w:rPr>
          <w:rFonts w:hint="eastAsia"/>
          <w:color w:val="auto"/>
        </w:rPr>
        <w:t xml:space="preserve"> </w:t>
      </w:r>
    </w:p>
    <w:p w14:paraId="4AF6213B">
      <w:pPr>
        <w:pStyle w:val="413"/>
        <w:jc w:val="left"/>
        <w:rPr>
          <w:color w:val="auto"/>
        </w:rPr>
      </w:pPr>
    </w:p>
    <w:bookmarkEnd w:id="4"/>
    <w:p w14:paraId="302CF8FB">
      <w:pPr>
        <w:adjustRightInd w:val="0"/>
        <w:snapToGrid w:val="0"/>
        <w:spacing w:line="288" w:lineRule="auto"/>
        <w:jc w:val="center"/>
        <w:rPr>
          <w:rFonts w:ascii="楷体_GB2312" w:eastAsia="楷体_GB2312"/>
          <w:color w:val="auto"/>
          <w:sz w:val="36"/>
          <w:szCs w:val="36"/>
        </w:rPr>
        <w:sectPr>
          <w:headerReference r:id="rId5" w:type="default"/>
          <w:footerReference r:id="rId6" w:type="default"/>
          <w:pgSz w:w="11907" w:h="16840"/>
          <w:pgMar w:top="1149" w:right="1134" w:bottom="993" w:left="1247" w:header="680" w:footer="680" w:gutter="0"/>
          <w:pgNumType w:start="1"/>
          <w:cols w:space="720" w:num="1"/>
          <w:docGrid w:linePitch="286" w:charSpace="0"/>
        </w:sectPr>
      </w:pPr>
      <w:r>
        <w:rPr>
          <w:rFonts w:hint="eastAsia" w:ascii="楷体_GB2312" w:eastAsia="楷体_GB2312"/>
          <w:color w:val="auto"/>
          <w:sz w:val="36"/>
          <w:szCs w:val="36"/>
        </w:rPr>
        <w:t>中华人民共和国生态环境部制</w:t>
      </w:r>
    </w:p>
    <w:sdt>
      <w:sdtPr>
        <w:rPr>
          <w:rFonts w:ascii="宋体" w:hAnsi="宋体"/>
          <w:color w:val="auto"/>
          <w:sz w:val="21"/>
        </w:rPr>
        <w:id w:val="147480488"/>
        <w15:color w:val="DBDBDB"/>
        <w:docPartObj>
          <w:docPartGallery w:val="Table of Contents"/>
          <w:docPartUnique/>
        </w:docPartObj>
      </w:sdtPr>
      <w:sdtEndPr>
        <w:rPr>
          <w:rFonts w:ascii="宋体" w:hAnsi="宋体"/>
          <w:color w:val="auto"/>
          <w:sz w:val="21"/>
        </w:rPr>
      </w:sdtEndPr>
      <w:sdtContent>
        <w:p w14:paraId="67F66F1D">
          <w:pPr>
            <w:spacing w:line="240" w:lineRule="auto"/>
            <w:jc w:val="center"/>
            <w:rPr>
              <w:color w:val="auto"/>
            </w:rPr>
          </w:pPr>
          <w:r>
            <w:rPr>
              <w:rFonts w:ascii="宋体" w:hAnsi="宋体"/>
              <w:b/>
              <w:bCs/>
              <w:color w:val="auto"/>
            </w:rPr>
            <w:t>目</w:t>
          </w:r>
          <w:r>
            <w:rPr>
              <w:rFonts w:hint="eastAsia" w:ascii="宋体" w:hAnsi="宋体"/>
              <w:b/>
              <w:bCs/>
              <w:color w:val="auto"/>
            </w:rPr>
            <w:t xml:space="preserve">  </w:t>
          </w:r>
          <w:r>
            <w:rPr>
              <w:rFonts w:ascii="宋体" w:hAnsi="宋体"/>
              <w:b/>
              <w:bCs/>
              <w:color w:val="auto"/>
            </w:rPr>
            <w:t>录</w:t>
          </w:r>
        </w:p>
        <w:p w14:paraId="0E1AAD2B">
          <w:pPr>
            <w:pStyle w:val="48"/>
            <w:tabs>
              <w:tab w:val="right" w:leader="dot" w:pos="9526"/>
            </w:tabs>
            <w:rPr>
              <w:color w:val="auto"/>
            </w:rPr>
          </w:pPr>
          <w:r>
            <w:rPr>
              <w:color w:val="auto"/>
              <w:sz w:val="24"/>
            </w:rPr>
            <w:fldChar w:fldCharType="begin"/>
          </w:r>
          <w:r>
            <w:rPr>
              <w:color w:val="auto"/>
              <w:sz w:val="24"/>
            </w:rPr>
            <w:instrText xml:space="preserve">TOC \o "1-1" \h \u </w:instrText>
          </w:r>
          <w:r>
            <w:rPr>
              <w:color w:val="auto"/>
              <w:sz w:val="24"/>
            </w:rPr>
            <w:fldChar w:fldCharType="separate"/>
          </w:r>
        </w:p>
        <w:p w14:paraId="03853F4A">
          <w:pPr>
            <w:pStyle w:val="48"/>
            <w:tabs>
              <w:tab w:val="right" w:leader="dot" w:pos="9526"/>
            </w:tabs>
            <w:rPr>
              <w:rFonts w:hint="default" w:ascii="Times New Roman" w:hAnsi="Times New Roman" w:eastAsia="宋体" w:cs="Times New Roman"/>
              <w:color w:val="auto"/>
              <w:sz w:val="22"/>
              <w:szCs w:val="22"/>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_Toc29315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一、建设项目基本情况</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_Toc29315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1</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1298E946">
          <w:pPr>
            <w:pStyle w:val="48"/>
            <w:tabs>
              <w:tab w:val="right" w:leader="dot" w:pos="9526"/>
            </w:tabs>
            <w:rPr>
              <w:rFonts w:hint="default" w:ascii="Times New Roman" w:hAnsi="Times New Roman" w:eastAsia="宋体" w:cs="Times New Roman"/>
              <w:color w:val="auto"/>
              <w:sz w:val="22"/>
              <w:szCs w:val="22"/>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_Toc5518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kern w:val="2"/>
              <w:sz w:val="22"/>
              <w:szCs w:val="22"/>
              <w:lang w:val="en-US" w:eastAsia="zh-CN" w:bidi="ar-SA"/>
            </w:rPr>
            <w:t>二、建设项目工程分析</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_Toc5518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20</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47A7CBDB">
          <w:pPr>
            <w:pStyle w:val="48"/>
            <w:tabs>
              <w:tab w:val="right" w:leader="dot" w:pos="9526"/>
            </w:tabs>
            <w:rPr>
              <w:rFonts w:hint="default" w:ascii="Times New Roman" w:hAnsi="Times New Roman" w:eastAsia="宋体" w:cs="Times New Roman"/>
              <w:color w:val="auto"/>
              <w:sz w:val="22"/>
              <w:szCs w:val="22"/>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_Toc29876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三、区域环境质量现状、环境保护目标及评价标准</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_Toc29876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42</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70ED1525">
          <w:pPr>
            <w:pStyle w:val="48"/>
            <w:tabs>
              <w:tab w:val="right" w:leader="dot" w:pos="9526"/>
            </w:tabs>
            <w:rPr>
              <w:rFonts w:hint="default" w:ascii="Times New Roman" w:hAnsi="Times New Roman" w:eastAsia="宋体" w:cs="Times New Roman"/>
              <w:color w:val="auto"/>
              <w:sz w:val="22"/>
              <w:szCs w:val="22"/>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_Toc9831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四、主要环境影响和保护措施</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_Toc9831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49</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05F4A650">
          <w:pPr>
            <w:pStyle w:val="48"/>
            <w:tabs>
              <w:tab w:val="right" w:leader="dot" w:pos="9526"/>
            </w:tabs>
            <w:rPr>
              <w:rFonts w:hint="default" w:ascii="Times New Roman" w:hAnsi="Times New Roman" w:eastAsia="宋体" w:cs="Times New Roman"/>
              <w:color w:val="auto"/>
              <w:sz w:val="22"/>
              <w:szCs w:val="22"/>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_Toc32651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五、环境保护措施监督检查清单</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_Toc32651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82</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74644906">
          <w:pPr>
            <w:pStyle w:val="48"/>
            <w:tabs>
              <w:tab w:val="right" w:leader="dot" w:pos="9526"/>
            </w:tabs>
            <w:rPr>
              <w:rFonts w:hint="default" w:ascii="Times New Roman" w:hAnsi="Times New Roman" w:eastAsia="宋体" w:cs="Times New Roman"/>
              <w:color w:val="auto"/>
              <w:sz w:val="22"/>
              <w:szCs w:val="22"/>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_Toc22627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六、结论</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_Toc22627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84</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4F55BD42">
          <w:pPr>
            <w:pStyle w:val="48"/>
            <w:tabs>
              <w:tab w:val="right" w:leader="dot" w:pos="9526"/>
            </w:tabs>
            <w:rPr>
              <w:color w:val="auto"/>
            </w:rPr>
          </w:pP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HYPERLINK \l _Toc18324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附表</w:t>
          </w:r>
          <w:r>
            <w:rPr>
              <w:rFonts w:hint="default" w:ascii="Times New Roman" w:hAnsi="Times New Roman" w:eastAsia="宋体" w:cs="Times New Roman"/>
              <w:color w:val="auto"/>
              <w:sz w:val="22"/>
              <w:szCs w:val="22"/>
            </w:rPr>
            <w:tab/>
          </w:r>
          <w:r>
            <w:rPr>
              <w:rFonts w:hint="default" w:ascii="Times New Roman" w:hAnsi="Times New Roman" w:eastAsia="宋体" w:cs="Times New Roman"/>
              <w:color w:val="auto"/>
              <w:sz w:val="22"/>
              <w:szCs w:val="22"/>
            </w:rPr>
            <w:fldChar w:fldCharType="begin"/>
          </w:r>
          <w:r>
            <w:rPr>
              <w:rFonts w:hint="default" w:ascii="Times New Roman" w:hAnsi="Times New Roman" w:eastAsia="宋体" w:cs="Times New Roman"/>
              <w:color w:val="auto"/>
              <w:sz w:val="22"/>
              <w:szCs w:val="22"/>
            </w:rPr>
            <w:instrText xml:space="preserve"> PAGEREF _Toc18324 \h </w:instrText>
          </w:r>
          <w:r>
            <w:rPr>
              <w:rFonts w:hint="default" w:ascii="Times New Roman" w:hAnsi="Times New Roman" w:eastAsia="宋体" w:cs="Times New Roman"/>
              <w:color w:val="auto"/>
              <w:sz w:val="22"/>
              <w:szCs w:val="22"/>
            </w:rPr>
            <w:fldChar w:fldCharType="separate"/>
          </w:r>
          <w:r>
            <w:rPr>
              <w:rFonts w:hint="default" w:ascii="Times New Roman" w:hAnsi="Times New Roman" w:eastAsia="宋体" w:cs="Times New Roman"/>
              <w:color w:val="auto"/>
              <w:sz w:val="22"/>
              <w:szCs w:val="22"/>
            </w:rPr>
            <w:t>85</w:t>
          </w:r>
          <w:r>
            <w:rPr>
              <w:rFonts w:hint="default" w:ascii="Times New Roman" w:hAnsi="Times New Roman" w:eastAsia="宋体" w:cs="Times New Roman"/>
              <w:color w:val="auto"/>
              <w:sz w:val="22"/>
              <w:szCs w:val="22"/>
            </w:rPr>
            <w:fldChar w:fldCharType="end"/>
          </w:r>
          <w:r>
            <w:rPr>
              <w:rFonts w:hint="default" w:ascii="Times New Roman" w:hAnsi="Times New Roman" w:eastAsia="宋体" w:cs="Times New Roman"/>
              <w:color w:val="auto"/>
              <w:sz w:val="22"/>
              <w:szCs w:val="22"/>
            </w:rPr>
            <w:fldChar w:fldCharType="end"/>
          </w:r>
        </w:p>
        <w:p w14:paraId="4030C42D">
          <w:pPr>
            <w:rPr>
              <w:color w:val="auto"/>
            </w:rPr>
            <w:sectPr>
              <w:footerReference r:id="rId7" w:type="default"/>
              <w:pgSz w:w="11907" w:h="16840"/>
              <w:pgMar w:top="1149" w:right="1134" w:bottom="993" w:left="1247" w:header="680" w:footer="680" w:gutter="0"/>
              <w:pgNumType w:start="1"/>
              <w:cols w:space="720" w:num="1"/>
              <w:docGrid w:linePitch="286" w:charSpace="0"/>
            </w:sectPr>
          </w:pPr>
          <w:r>
            <w:rPr>
              <w:color w:val="auto"/>
            </w:rPr>
            <w:fldChar w:fldCharType="end"/>
          </w:r>
        </w:p>
      </w:sdtContent>
    </w:sdt>
    <w:p w14:paraId="4E5CDC1B">
      <w:pPr>
        <w:pStyle w:val="3"/>
        <w:rPr>
          <w:color w:val="auto"/>
        </w:rPr>
      </w:pPr>
      <w:bookmarkStart w:id="5" w:name="_Toc29315"/>
      <w:r>
        <w:rPr>
          <w:rFonts w:hint="eastAsia"/>
          <w:color w:val="auto"/>
        </w:rPr>
        <w:t>一、</w:t>
      </w:r>
      <w:r>
        <w:rPr>
          <w:color w:val="auto"/>
        </w:rPr>
        <w:t>建设项目基本情况</w:t>
      </w:r>
      <w:bookmarkEnd w:id="5"/>
    </w:p>
    <w:tbl>
      <w:tblPr>
        <w:tblStyle w:val="69"/>
        <w:tblW w:w="50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334"/>
        <w:gridCol w:w="3179"/>
        <w:gridCol w:w="1129"/>
        <w:gridCol w:w="4108"/>
      </w:tblGrid>
      <w:tr w14:paraId="6A42B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4" w:hRule="atLeast"/>
          <w:jc w:val="center"/>
        </w:trPr>
        <w:tc>
          <w:tcPr>
            <w:tcW w:w="684" w:type="pct"/>
            <w:tcMar>
              <w:top w:w="16" w:type="dxa"/>
              <w:left w:w="16" w:type="dxa"/>
              <w:bottom w:w="0" w:type="dxa"/>
              <w:right w:w="16" w:type="dxa"/>
            </w:tcMar>
            <w:vAlign w:val="center"/>
          </w:tcPr>
          <w:p w14:paraId="490A0715">
            <w:pPr>
              <w:pStyle w:val="413"/>
              <w:rPr>
                <w:color w:val="auto"/>
                <w:sz w:val="21"/>
              </w:rPr>
            </w:pPr>
            <w:r>
              <w:rPr>
                <w:rFonts w:hint="eastAsia"/>
                <w:color w:val="auto"/>
                <w:sz w:val="21"/>
              </w:rPr>
              <w:t>建设项目名称</w:t>
            </w:r>
          </w:p>
        </w:tc>
        <w:tc>
          <w:tcPr>
            <w:tcW w:w="4315" w:type="pct"/>
            <w:gridSpan w:val="3"/>
            <w:vAlign w:val="center"/>
          </w:tcPr>
          <w:p w14:paraId="49B20279">
            <w:pPr>
              <w:pStyle w:val="413"/>
              <w:rPr>
                <w:rFonts w:hint="eastAsia" w:eastAsia="宋体"/>
                <w:color w:val="auto"/>
                <w:sz w:val="21"/>
                <w:highlight w:val="yellow"/>
                <w:lang w:eastAsia="zh-CN"/>
              </w:rPr>
            </w:pPr>
            <w:r>
              <w:rPr>
                <w:rFonts w:hint="eastAsia"/>
                <w:color w:val="auto"/>
                <w:sz w:val="21"/>
                <w:lang w:eastAsia="zh-CN"/>
              </w:rPr>
              <w:t>年产8万件高端工业铝材浇铸件项目</w:t>
            </w:r>
          </w:p>
        </w:tc>
      </w:tr>
      <w:tr w14:paraId="1683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84" w:type="pct"/>
            <w:tcMar>
              <w:top w:w="16" w:type="dxa"/>
              <w:left w:w="16" w:type="dxa"/>
              <w:bottom w:w="0" w:type="dxa"/>
              <w:right w:w="16" w:type="dxa"/>
            </w:tcMar>
            <w:vAlign w:val="center"/>
          </w:tcPr>
          <w:p w14:paraId="6D8BBABC">
            <w:pPr>
              <w:pStyle w:val="413"/>
              <w:rPr>
                <w:color w:val="auto"/>
                <w:sz w:val="21"/>
              </w:rPr>
            </w:pPr>
            <w:r>
              <w:rPr>
                <w:rFonts w:hint="eastAsia"/>
                <w:color w:val="auto"/>
                <w:sz w:val="21"/>
              </w:rPr>
              <w:t>项目代码</w:t>
            </w:r>
          </w:p>
        </w:tc>
        <w:tc>
          <w:tcPr>
            <w:tcW w:w="4315" w:type="pct"/>
            <w:gridSpan w:val="3"/>
            <w:vAlign w:val="center"/>
          </w:tcPr>
          <w:p w14:paraId="30446DBC">
            <w:pPr>
              <w:pStyle w:val="413"/>
              <w:rPr>
                <w:rFonts w:hint="eastAsia" w:eastAsia="宋体"/>
                <w:color w:val="auto"/>
                <w:sz w:val="21"/>
                <w:lang w:eastAsia="zh-CN"/>
              </w:rPr>
            </w:pPr>
            <w:r>
              <w:rPr>
                <w:rFonts w:hint="eastAsia"/>
                <w:color w:val="auto"/>
                <w:sz w:val="21"/>
                <w:lang w:eastAsia="zh-CN"/>
              </w:rPr>
              <w:t>2410-341763-04-02-778359</w:t>
            </w:r>
          </w:p>
        </w:tc>
      </w:tr>
      <w:tr w14:paraId="0300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684" w:type="pct"/>
            <w:tcMar>
              <w:top w:w="16" w:type="dxa"/>
              <w:left w:w="16" w:type="dxa"/>
              <w:bottom w:w="0" w:type="dxa"/>
              <w:right w:w="16" w:type="dxa"/>
            </w:tcMar>
            <w:vAlign w:val="center"/>
          </w:tcPr>
          <w:p w14:paraId="343EB681">
            <w:pPr>
              <w:pStyle w:val="413"/>
              <w:rPr>
                <w:color w:val="auto"/>
                <w:sz w:val="21"/>
              </w:rPr>
            </w:pPr>
            <w:r>
              <w:rPr>
                <w:rFonts w:hint="eastAsia"/>
                <w:color w:val="auto"/>
                <w:sz w:val="21"/>
              </w:rPr>
              <w:t>建设单位</w:t>
            </w:r>
          </w:p>
          <w:p w14:paraId="0B22A251">
            <w:pPr>
              <w:pStyle w:val="413"/>
              <w:rPr>
                <w:color w:val="auto"/>
                <w:sz w:val="21"/>
              </w:rPr>
            </w:pPr>
            <w:r>
              <w:rPr>
                <w:rFonts w:hint="eastAsia"/>
                <w:color w:val="auto"/>
                <w:sz w:val="21"/>
              </w:rPr>
              <w:t>联系人</w:t>
            </w:r>
          </w:p>
        </w:tc>
        <w:tc>
          <w:tcPr>
            <w:tcW w:w="1630" w:type="pct"/>
            <w:vAlign w:val="center"/>
          </w:tcPr>
          <w:p w14:paraId="71158FD9">
            <w:pPr>
              <w:pStyle w:val="413"/>
              <w:rPr>
                <w:rFonts w:hint="default" w:eastAsia="宋体"/>
                <w:color w:val="auto"/>
                <w:sz w:val="21"/>
                <w:lang w:val="en-US" w:eastAsia="zh-CN"/>
              </w:rPr>
            </w:pPr>
            <w:r>
              <w:rPr>
                <w:rFonts w:hint="eastAsia"/>
                <w:color w:val="auto"/>
                <w:sz w:val="21"/>
                <w:lang w:val="en-US" w:eastAsia="zh-CN"/>
              </w:rPr>
              <w:t>史益文</w:t>
            </w:r>
          </w:p>
        </w:tc>
        <w:tc>
          <w:tcPr>
            <w:tcW w:w="579" w:type="pct"/>
            <w:vAlign w:val="center"/>
          </w:tcPr>
          <w:p w14:paraId="3DE3D2A9">
            <w:pPr>
              <w:pStyle w:val="413"/>
              <w:rPr>
                <w:color w:val="auto"/>
                <w:sz w:val="21"/>
              </w:rPr>
            </w:pPr>
            <w:r>
              <w:rPr>
                <w:rFonts w:hint="eastAsia"/>
                <w:color w:val="auto"/>
                <w:sz w:val="21"/>
              </w:rPr>
              <w:t>联系方式</w:t>
            </w:r>
          </w:p>
        </w:tc>
        <w:tc>
          <w:tcPr>
            <w:tcW w:w="2105" w:type="pct"/>
            <w:vAlign w:val="center"/>
          </w:tcPr>
          <w:p w14:paraId="08939F5D">
            <w:pPr>
              <w:pStyle w:val="413"/>
              <w:rPr>
                <w:rFonts w:hint="default" w:eastAsia="宋体"/>
                <w:color w:val="auto"/>
                <w:sz w:val="21"/>
                <w:lang w:val="en-US" w:eastAsia="zh-CN"/>
              </w:rPr>
            </w:pPr>
            <w:r>
              <w:rPr>
                <w:rFonts w:hint="default" w:eastAsia="宋体"/>
                <w:color w:val="auto"/>
                <w:sz w:val="21"/>
                <w:lang w:val="en-US" w:eastAsia="zh-CN"/>
              </w:rPr>
              <w:t>18756372965</w:t>
            </w:r>
          </w:p>
        </w:tc>
      </w:tr>
      <w:tr w14:paraId="37999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84" w:type="pct"/>
            <w:tcMar>
              <w:top w:w="16" w:type="dxa"/>
              <w:left w:w="16" w:type="dxa"/>
              <w:bottom w:w="0" w:type="dxa"/>
              <w:right w:w="16" w:type="dxa"/>
            </w:tcMar>
            <w:vAlign w:val="center"/>
          </w:tcPr>
          <w:p w14:paraId="791CDF8F">
            <w:pPr>
              <w:pStyle w:val="413"/>
              <w:rPr>
                <w:color w:val="auto"/>
                <w:sz w:val="21"/>
              </w:rPr>
            </w:pPr>
            <w:r>
              <w:rPr>
                <w:rFonts w:hint="eastAsia"/>
                <w:color w:val="auto"/>
                <w:sz w:val="21"/>
              </w:rPr>
              <w:t>建设地点</w:t>
            </w:r>
          </w:p>
        </w:tc>
        <w:tc>
          <w:tcPr>
            <w:tcW w:w="4315" w:type="pct"/>
            <w:gridSpan w:val="3"/>
            <w:vAlign w:val="center"/>
          </w:tcPr>
          <w:p w14:paraId="4FC54D60">
            <w:pPr>
              <w:pStyle w:val="413"/>
              <w:rPr>
                <w:rFonts w:hint="default" w:eastAsia="宋体"/>
                <w:color w:val="auto"/>
                <w:sz w:val="21"/>
                <w:lang w:val="en-US" w:eastAsia="zh-CN"/>
              </w:rPr>
            </w:pPr>
            <w:r>
              <w:rPr>
                <w:rFonts w:hint="eastAsia"/>
                <w:color w:val="auto"/>
                <w:sz w:val="21"/>
              </w:rPr>
              <w:t>安徽省</w:t>
            </w:r>
            <w:r>
              <w:rPr>
                <w:rFonts w:hint="eastAsia"/>
                <w:color w:val="auto"/>
                <w:sz w:val="21"/>
                <w:lang w:val="en-US" w:eastAsia="zh-CN"/>
              </w:rPr>
              <w:t>池州</w:t>
            </w:r>
            <w:r>
              <w:rPr>
                <w:rFonts w:hint="eastAsia"/>
                <w:color w:val="auto"/>
                <w:sz w:val="21"/>
              </w:rPr>
              <w:t>市</w:t>
            </w:r>
            <w:bookmarkStart w:id="6" w:name="OLE_LINK16"/>
            <w:r>
              <w:rPr>
                <w:rFonts w:hint="eastAsia"/>
                <w:color w:val="auto"/>
                <w:sz w:val="21"/>
              </w:rPr>
              <w:t>皖江江南新兴产业集中区</w:t>
            </w:r>
            <w:bookmarkEnd w:id="6"/>
            <w:r>
              <w:rPr>
                <w:rFonts w:hint="eastAsia"/>
                <w:color w:val="auto"/>
                <w:sz w:val="21"/>
                <w:lang w:val="en-US" w:eastAsia="zh-CN"/>
              </w:rPr>
              <w:t>安安产业园</w:t>
            </w:r>
          </w:p>
        </w:tc>
      </w:tr>
      <w:tr w14:paraId="52D6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5" w:hRule="atLeast"/>
          <w:jc w:val="center"/>
        </w:trPr>
        <w:tc>
          <w:tcPr>
            <w:tcW w:w="684" w:type="pct"/>
            <w:tcMar>
              <w:top w:w="16" w:type="dxa"/>
              <w:left w:w="16" w:type="dxa"/>
              <w:bottom w:w="0" w:type="dxa"/>
              <w:right w:w="16" w:type="dxa"/>
            </w:tcMar>
            <w:vAlign w:val="center"/>
          </w:tcPr>
          <w:p w14:paraId="5C0AE390">
            <w:pPr>
              <w:pStyle w:val="413"/>
              <w:rPr>
                <w:color w:val="auto"/>
                <w:sz w:val="21"/>
              </w:rPr>
            </w:pPr>
            <w:r>
              <w:rPr>
                <w:rFonts w:hint="eastAsia"/>
                <w:color w:val="auto"/>
                <w:sz w:val="21"/>
              </w:rPr>
              <w:t>地理坐标</w:t>
            </w:r>
          </w:p>
        </w:tc>
        <w:tc>
          <w:tcPr>
            <w:tcW w:w="4315" w:type="pct"/>
            <w:gridSpan w:val="3"/>
            <w:vAlign w:val="center"/>
          </w:tcPr>
          <w:p w14:paraId="5067B5A9">
            <w:pPr>
              <w:pStyle w:val="413"/>
              <w:rPr>
                <w:color w:val="auto"/>
                <w:sz w:val="21"/>
              </w:rPr>
            </w:pPr>
            <w:r>
              <w:rPr>
                <w:rFonts w:hint="eastAsia"/>
                <w:color w:val="auto"/>
                <w:sz w:val="21"/>
              </w:rPr>
              <w:t>（东经：</w:t>
            </w:r>
            <w:r>
              <w:rPr>
                <w:rFonts w:hint="eastAsia"/>
                <w:color w:val="auto"/>
                <w:sz w:val="21"/>
                <w:u w:val="single"/>
              </w:rPr>
              <w:t>11</w:t>
            </w:r>
            <w:r>
              <w:rPr>
                <w:rFonts w:hint="eastAsia"/>
                <w:color w:val="auto"/>
                <w:sz w:val="21"/>
                <w:u w:val="single"/>
                <w:lang w:val="en-US" w:eastAsia="zh-CN"/>
              </w:rPr>
              <w:t>7</w:t>
            </w:r>
            <w:r>
              <w:rPr>
                <w:rFonts w:hint="eastAsia"/>
                <w:color w:val="auto"/>
                <w:sz w:val="21"/>
              </w:rPr>
              <w:t>度</w:t>
            </w:r>
            <w:r>
              <w:rPr>
                <w:rFonts w:hint="eastAsia"/>
                <w:color w:val="auto"/>
                <w:sz w:val="21"/>
                <w:u w:val="single"/>
                <w:lang w:val="en-US" w:eastAsia="zh-CN"/>
              </w:rPr>
              <w:t>39</w:t>
            </w:r>
            <w:r>
              <w:rPr>
                <w:rFonts w:hint="eastAsia"/>
                <w:color w:val="auto"/>
                <w:sz w:val="21"/>
              </w:rPr>
              <w:t>分</w:t>
            </w:r>
            <w:r>
              <w:rPr>
                <w:rFonts w:hint="eastAsia"/>
                <w:color w:val="auto"/>
                <w:sz w:val="21"/>
                <w:u w:val="single"/>
              </w:rPr>
              <w:t>1</w:t>
            </w:r>
            <w:r>
              <w:rPr>
                <w:rFonts w:hint="eastAsia"/>
                <w:color w:val="auto"/>
                <w:sz w:val="21"/>
                <w:u w:val="single"/>
                <w:lang w:val="en-US" w:eastAsia="zh-CN"/>
              </w:rPr>
              <w:t>7.556</w:t>
            </w:r>
            <w:r>
              <w:rPr>
                <w:rFonts w:hint="eastAsia"/>
                <w:color w:val="auto"/>
                <w:sz w:val="21"/>
              </w:rPr>
              <w:t>秒，北纬：</w:t>
            </w:r>
            <w:r>
              <w:rPr>
                <w:rFonts w:hint="eastAsia"/>
                <w:color w:val="auto"/>
                <w:sz w:val="21"/>
                <w:u w:val="single"/>
              </w:rPr>
              <w:t>30</w:t>
            </w:r>
            <w:r>
              <w:rPr>
                <w:rFonts w:hint="eastAsia"/>
                <w:color w:val="auto"/>
                <w:sz w:val="21"/>
              </w:rPr>
              <w:t>度</w:t>
            </w:r>
            <w:r>
              <w:rPr>
                <w:rFonts w:hint="eastAsia"/>
                <w:color w:val="auto"/>
                <w:sz w:val="21"/>
                <w:u w:val="single"/>
                <w:lang w:val="en-US" w:eastAsia="zh-CN"/>
              </w:rPr>
              <w:t>43</w:t>
            </w:r>
            <w:r>
              <w:rPr>
                <w:rFonts w:hint="eastAsia"/>
                <w:color w:val="auto"/>
                <w:sz w:val="21"/>
              </w:rPr>
              <w:t>分</w:t>
            </w:r>
            <w:r>
              <w:rPr>
                <w:rFonts w:hint="eastAsia"/>
                <w:color w:val="auto"/>
                <w:sz w:val="21"/>
                <w:u w:val="single"/>
                <w:lang w:val="en-US" w:eastAsia="zh-CN"/>
              </w:rPr>
              <w:t>8.552</w:t>
            </w:r>
            <w:r>
              <w:rPr>
                <w:rFonts w:hint="eastAsia"/>
                <w:color w:val="auto"/>
                <w:sz w:val="21"/>
              </w:rPr>
              <w:t>秒）</w:t>
            </w:r>
          </w:p>
        </w:tc>
      </w:tr>
      <w:tr w14:paraId="7B1C4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24" w:hRule="atLeast"/>
          <w:jc w:val="center"/>
        </w:trPr>
        <w:tc>
          <w:tcPr>
            <w:tcW w:w="684" w:type="pct"/>
            <w:tcMar>
              <w:top w:w="16" w:type="dxa"/>
              <w:left w:w="16" w:type="dxa"/>
              <w:bottom w:w="0" w:type="dxa"/>
              <w:right w:w="16" w:type="dxa"/>
            </w:tcMar>
            <w:vAlign w:val="center"/>
          </w:tcPr>
          <w:p w14:paraId="3B26BBBD">
            <w:pPr>
              <w:pStyle w:val="413"/>
              <w:rPr>
                <w:color w:val="auto"/>
                <w:sz w:val="21"/>
              </w:rPr>
            </w:pPr>
            <w:r>
              <w:rPr>
                <w:rFonts w:hint="eastAsia"/>
                <w:color w:val="auto"/>
                <w:sz w:val="21"/>
              </w:rPr>
              <w:t>国民经济</w:t>
            </w:r>
          </w:p>
          <w:p w14:paraId="1E7893C8">
            <w:pPr>
              <w:pStyle w:val="413"/>
              <w:rPr>
                <w:color w:val="auto"/>
                <w:sz w:val="21"/>
              </w:rPr>
            </w:pPr>
            <w:r>
              <w:rPr>
                <w:rFonts w:hint="eastAsia"/>
                <w:color w:val="auto"/>
                <w:sz w:val="21"/>
              </w:rPr>
              <w:t>行业类别</w:t>
            </w:r>
          </w:p>
        </w:tc>
        <w:tc>
          <w:tcPr>
            <w:tcW w:w="1630" w:type="pct"/>
            <w:vAlign w:val="center"/>
          </w:tcPr>
          <w:p w14:paraId="3BDDEBC7">
            <w:pPr>
              <w:pStyle w:val="413"/>
              <w:spacing w:before="120" w:beforeLines="50" w:after="120" w:afterLines="50"/>
              <w:rPr>
                <w:rFonts w:hint="eastAsia" w:eastAsia="宋体"/>
                <w:color w:val="auto"/>
                <w:sz w:val="21"/>
                <w:lang w:eastAsia="zh-CN"/>
              </w:rPr>
            </w:pPr>
            <w:r>
              <w:rPr>
                <w:rFonts w:hint="eastAsia"/>
                <w:color w:val="auto"/>
                <w:sz w:val="21"/>
                <w:lang w:eastAsia="zh-CN"/>
              </w:rPr>
              <w:t>C3392 有色金属铸造</w:t>
            </w:r>
          </w:p>
        </w:tc>
        <w:tc>
          <w:tcPr>
            <w:tcW w:w="579" w:type="pct"/>
            <w:vAlign w:val="center"/>
          </w:tcPr>
          <w:p w14:paraId="566A7030">
            <w:pPr>
              <w:pStyle w:val="413"/>
              <w:rPr>
                <w:color w:val="auto"/>
                <w:sz w:val="21"/>
              </w:rPr>
            </w:pPr>
            <w:bookmarkStart w:id="7" w:name="_Hlk49843745"/>
            <w:r>
              <w:rPr>
                <w:rFonts w:hint="eastAsia"/>
                <w:color w:val="auto"/>
                <w:sz w:val="21"/>
              </w:rPr>
              <w:t>建设项目</w:t>
            </w:r>
          </w:p>
          <w:p w14:paraId="7B9EB211">
            <w:pPr>
              <w:pStyle w:val="413"/>
              <w:rPr>
                <w:color w:val="auto"/>
                <w:sz w:val="21"/>
              </w:rPr>
            </w:pPr>
            <w:r>
              <w:rPr>
                <w:rFonts w:hint="eastAsia"/>
                <w:color w:val="auto"/>
                <w:sz w:val="21"/>
              </w:rPr>
              <w:t>行业类别</w:t>
            </w:r>
            <w:bookmarkEnd w:id="7"/>
          </w:p>
        </w:tc>
        <w:tc>
          <w:tcPr>
            <w:tcW w:w="2105" w:type="pct"/>
            <w:vAlign w:val="center"/>
          </w:tcPr>
          <w:p w14:paraId="766E32DA">
            <w:pPr>
              <w:pStyle w:val="413"/>
              <w:rPr>
                <w:rFonts w:hint="eastAsia" w:eastAsia="宋体"/>
                <w:color w:val="auto"/>
                <w:sz w:val="21"/>
                <w:lang w:val="en-US" w:eastAsia="zh-CN"/>
              </w:rPr>
            </w:pPr>
            <w:r>
              <w:rPr>
                <w:rFonts w:hint="eastAsia"/>
                <w:color w:val="auto"/>
                <w:sz w:val="21"/>
              </w:rPr>
              <w:t>“三十、金属制品业 3</w:t>
            </w:r>
            <w:r>
              <w:rPr>
                <w:rFonts w:hint="eastAsia"/>
                <w:color w:val="auto"/>
                <w:sz w:val="21"/>
                <w:lang w:val="en-US" w:eastAsia="zh-CN"/>
              </w:rPr>
              <w:t>3</w:t>
            </w:r>
            <w:r>
              <w:rPr>
                <w:rFonts w:hint="eastAsia"/>
                <w:color w:val="auto"/>
                <w:sz w:val="21"/>
              </w:rPr>
              <w:t>”中的“铸造及其他金属制品制造339</w:t>
            </w:r>
            <w:r>
              <w:rPr>
                <w:rFonts w:hint="default"/>
                <w:color w:val="auto"/>
                <w:sz w:val="21"/>
                <w:lang w:val="en-US" w:eastAsia="zh-CN"/>
              </w:rPr>
              <w:t>”</w:t>
            </w:r>
          </w:p>
        </w:tc>
      </w:tr>
      <w:tr w14:paraId="2EF4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58" w:hRule="atLeast"/>
          <w:jc w:val="center"/>
        </w:trPr>
        <w:tc>
          <w:tcPr>
            <w:tcW w:w="684" w:type="pct"/>
            <w:tcMar>
              <w:top w:w="16" w:type="dxa"/>
              <w:left w:w="16" w:type="dxa"/>
              <w:bottom w:w="0" w:type="dxa"/>
              <w:right w:w="16" w:type="dxa"/>
            </w:tcMar>
            <w:vAlign w:val="center"/>
          </w:tcPr>
          <w:p w14:paraId="23D09E79">
            <w:pPr>
              <w:pStyle w:val="413"/>
              <w:rPr>
                <w:color w:val="auto"/>
                <w:sz w:val="21"/>
              </w:rPr>
            </w:pPr>
            <w:r>
              <w:rPr>
                <w:rFonts w:hint="eastAsia"/>
                <w:color w:val="auto"/>
                <w:sz w:val="21"/>
              </w:rPr>
              <w:t>建设性质</w:t>
            </w:r>
          </w:p>
        </w:tc>
        <w:tc>
          <w:tcPr>
            <w:tcW w:w="1630" w:type="pct"/>
            <w:vAlign w:val="center"/>
          </w:tcPr>
          <w:p w14:paraId="1ABFF1F1">
            <w:pPr>
              <w:pStyle w:val="413"/>
              <w:jc w:val="left"/>
              <w:rPr>
                <w:color w:val="auto"/>
                <w:sz w:val="21"/>
              </w:rPr>
            </w:pPr>
            <w:r>
              <w:rPr>
                <w:color w:val="auto"/>
                <w:sz w:val="21"/>
              </w:rPr>
              <w:sym w:font="Wingdings 2" w:char="00A3"/>
            </w:r>
            <w:r>
              <w:rPr>
                <w:rFonts w:hint="eastAsia"/>
                <w:color w:val="auto"/>
                <w:sz w:val="21"/>
              </w:rPr>
              <w:t>新建（迁建）</w:t>
            </w:r>
          </w:p>
          <w:p w14:paraId="10B774B2">
            <w:pPr>
              <w:pStyle w:val="413"/>
              <w:jc w:val="left"/>
              <w:rPr>
                <w:color w:val="auto"/>
                <w:sz w:val="21"/>
              </w:rPr>
            </w:pPr>
            <w:r>
              <w:rPr>
                <w:color w:val="auto"/>
                <w:sz w:val="21"/>
              </w:rPr>
              <w:sym w:font="Wingdings 2" w:char="0052"/>
            </w:r>
            <w:r>
              <w:rPr>
                <w:rFonts w:hint="eastAsia"/>
                <w:color w:val="auto"/>
                <w:sz w:val="21"/>
              </w:rPr>
              <w:t>改建</w:t>
            </w:r>
          </w:p>
          <w:p w14:paraId="50512A11">
            <w:pPr>
              <w:pStyle w:val="413"/>
              <w:jc w:val="left"/>
              <w:rPr>
                <w:color w:val="auto"/>
                <w:sz w:val="21"/>
              </w:rPr>
            </w:pPr>
            <w:r>
              <w:rPr>
                <w:color w:val="auto"/>
                <w:sz w:val="21"/>
              </w:rPr>
              <w:sym w:font="Wingdings 2" w:char="00A3"/>
            </w:r>
            <w:r>
              <w:rPr>
                <w:rFonts w:hint="eastAsia"/>
                <w:color w:val="auto"/>
                <w:sz w:val="21"/>
              </w:rPr>
              <w:t>扩建</w:t>
            </w:r>
          </w:p>
          <w:p w14:paraId="2D45128E">
            <w:pPr>
              <w:pStyle w:val="413"/>
              <w:jc w:val="left"/>
              <w:rPr>
                <w:color w:val="auto"/>
                <w:sz w:val="21"/>
              </w:rPr>
            </w:pPr>
            <w:r>
              <w:rPr>
                <w:color w:val="auto"/>
                <w:sz w:val="21"/>
              </w:rPr>
              <w:sym w:font="Wingdings 2" w:char="00A3"/>
            </w:r>
            <w:r>
              <w:rPr>
                <w:rFonts w:hint="eastAsia"/>
                <w:color w:val="auto"/>
                <w:sz w:val="21"/>
              </w:rPr>
              <w:t>技术改造</w:t>
            </w:r>
          </w:p>
        </w:tc>
        <w:tc>
          <w:tcPr>
            <w:tcW w:w="579" w:type="pct"/>
            <w:vAlign w:val="center"/>
          </w:tcPr>
          <w:p w14:paraId="291F2A61">
            <w:pPr>
              <w:pStyle w:val="413"/>
              <w:rPr>
                <w:color w:val="auto"/>
                <w:sz w:val="21"/>
              </w:rPr>
            </w:pPr>
            <w:r>
              <w:rPr>
                <w:rFonts w:hint="eastAsia"/>
                <w:color w:val="auto"/>
                <w:sz w:val="21"/>
              </w:rPr>
              <w:t>建设项目</w:t>
            </w:r>
          </w:p>
          <w:p w14:paraId="784DA1D3">
            <w:pPr>
              <w:pStyle w:val="413"/>
              <w:rPr>
                <w:color w:val="auto"/>
                <w:sz w:val="21"/>
              </w:rPr>
            </w:pPr>
            <w:r>
              <w:rPr>
                <w:rFonts w:hint="eastAsia"/>
                <w:color w:val="auto"/>
                <w:sz w:val="21"/>
              </w:rPr>
              <w:t>申报情形</w:t>
            </w:r>
          </w:p>
        </w:tc>
        <w:tc>
          <w:tcPr>
            <w:tcW w:w="2105" w:type="pct"/>
            <w:vAlign w:val="center"/>
          </w:tcPr>
          <w:p w14:paraId="5115737F">
            <w:pPr>
              <w:pStyle w:val="413"/>
              <w:jc w:val="left"/>
              <w:rPr>
                <w:color w:val="auto"/>
                <w:sz w:val="21"/>
              </w:rPr>
            </w:pPr>
            <w:r>
              <w:rPr>
                <w:color w:val="auto"/>
                <w:sz w:val="21"/>
              </w:rPr>
              <w:sym w:font="Wingdings 2" w:char="F052"/>
            </w:r>
            <w:r>
              <w:rPr>
                <w:rFonts w:hint="eastAsia"/>
                <w:color w:val="auto"/>
                <w:sz w:val="21"/>
              </w:rPr>
              <w:t>首次申报项目</w:t>
            </w:r>
          </w:p>
          <w:p w14:paraId="5FA29023">
            <w:pPr>
              <w:pStyle w:val="413"/>
              <w:jc w:val="left"/>
              <w:rPr>
                <w:color w:val="auto"/>
                <w:sz w:val="21"/>
              </w:rPr>
            </w:pPr>
            <w:r>
              <w:rPr>
                <w:color w:val="auto"/>
                <w:sz w:val="21"/>
              </w:rPr>
              <w:sym w:font="Wingdings 2" w:char="F0A3"/>
            </w:r>
            <w:r>
              <w:rPr>
                <w:rFonts w:hint="eastAsia"/>
                <w:color w:val="auto"/>
                <w:sz w:val="21"/>
              </w:rPr>
              <w:t>不予批准后再次申报项目</w:t>
            </w:r>
          </w:p>
          <w:p w14:paraId="29994EB7">
            <w:pPr>
              <w:pStyle w:val="413"/>
              <w:jc w:val="left"/>
              <w:rPr>
                <w:color w:val="auto"/>
                <w:sz w:val="21"/>
              </w:rPr>
            </w:pPr>
            <w:r>
              <w:rPr>
                <w:color w:val="auto"/>
                <w:sz w:val="21"/>
              </w:rPr>
              <w:sym w:font="Wingdings 2" w:char="F0A3"/>
            </w:r>
            <w:r>
              <w:rPr>
                <w:rFonts w:hint="eastAsia"/>
                <w:color w:val="auto"/>
                <w:sz w:val="21"/>
              </w:rPr>
              <w:t>超五年重新审核项目</w:t>
            </w:r>
          </w:p>
          <w:p w14:paraId="39157219">
            <w:pPr>
              <w:pStyle w:val="413"/>
              <w:jc w:val="left"/>
              <w:rPr>
                <w:color w:val="auto"/>
                <w:sz w:val="21"/>
              </w:rPr>
            </w:pPr>
            <w:r>
              <w:rPr>
                <w:color w:val="auto"/>
                <w:sz w:val="21"/>
              </w:rPr>
              <w:sym w:font="Wingdings 2" w:char="F0A3"/>
            </w:r>
            <w:r>
              <w:rPr>
                <w:rFonts w:hint="eastAsia"/>
                <w:color w:val="auto"/>
                <w:sz w:val="21"/>
              </w:rPr>
              <w:t>重大变动重新报批项目</w:t>
            </w:r>
          </w:p>
        </w:tc>
      </w:tr>
      <w:tr w14:paraId="29F86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7" w:hRule="atLeast"/>
          <w:jc w:val="center"/>
        </w:trPr>
        <w:tc>
          <w:tcPr>
            <w:tcW w:w="684" w:type="pct"/>
            <w:tcMar>
              <w:top w:w="16" w:type="dxa"/>
              <w:left w:w="16" w:type="dxa"/>
              <w:bottom w:w="0" w:type="dxa"/>
              <w:right w:w="16" w:type="dxa"/>
            </w:tcMar>
            <w:vAlign w:val="center"/>
          </w:tcPr>
          <w:p w14:paraId="16C1C9A2">
            <w:pPr>
              <w:pStyle w:val="413"/>
              <w:rPr>
                <w:color w:val="auto"/>
                <w:sz w:val="21"/>
              </w:rPr>
            </w:pPr>
            <w:r>
              <w:rPr>
                <w:rFonts w:hint="eastAsia"/>
                <w:color w:val="auto"/>
                <w:sz w:val="21"/>
              </w:rPr>
              <w:t>项目审批</w:t>
            </w:r>
          </w:p>
          <w:p w14:paraId="14C1A70D">
            <w:pPr>
              <w:pStyle w:val="413"/>
              <w:rPr>
                <w:color w:val="auto"/>
                <w:sz w:val="21"/>
              </w:rPr>
            </w:pPr>
            <w:r>
              <w:rPr>
                <w:rFonts w:hint="eastAsia"/>
                <w:color w:val="auto"/>
                <w:sz w:val="21"/>
              </w:rPr>
              <w:t>备案部门</w:t>
            </w:r>
          </w:p>
        </w:tc>
        <w:tc>
          <w:tcPr>
            <w:tcW w:w="1630" w:type="pct"/>
            <w:vAlign w:val="center"/>
          </w:tcPr>
          <w:p w14:paraId="196F245C">
            <w:pPr>
              <w:pStyle w:val="413"/>
              <w:rPr>
                <w:rFonts w:hint="eastAsia" w:eastAsia="宋体"/>
                <w:color w:val="auto"/>
                <w:sz w:val="21"/>
                <w:lang w:val="en-US" w:eastAsia="zh-CN"/>
              </w:rPr>
            </w:pPr>
            <w:bookmarkStart w:id="8" w:name="OLE_LINK18"/>
            <w:r>
              <w:rPr>
                <w:rFonts w:hint="eastAsia"/>
                <w:color w:val="auto"/>
                <w:sz w:val="21"/>
              </w:rPr>
              <w:t>皖江江南新兴产业集中区管委会</w:t>
            </w:r>
            <w:r>
              <w:rPr>
                <w:rFonts w:hint="eastAsia"/>
                <w:color w:val="auto"/>
                <w:sz w:val="21"/>
                <w:lang w:val="en-US" w:eastAsia="zh-CN"/>
              </w:rPr>
              <w:t>产业发展部</w:t>
            </w:r>
            <w:bookmarkEnd w:id="8"/>
          </w:p>
        </w:tc>
        <w:tc>
          <w:tcPr>
            <w:tcW w:w="579" w:type="pct"/>
            <w:vAlign w:val="center"/>
          </w:tcPr>
          <w:p w14:paraId="20D0B37E">
            <w:pPr>
              <w:pStyle w:val="413"/>
              <w:rPr>
                <w:color w:val="auto"/>
                <w:sz w:val="21"/>
              </w:rPr>
            </w:pPr>
            <w:r>
              <w:rPr>
                <w:rFonts w:hint="eastAsia"/>
                <w:color w:val="auto"/>
                <w:sz w:val="21"/>
              </w:rPr>
              <w:t>项目审批</w:t>
            </w:r>
          </w:p>
          <w:p w14:paraId="40902322">
            <w:pPr>
              <w:pStyle w:val="413"/>
              <w:rPr>
                <w:color w:val="auto"/>
                <w:sz w:val="21"/>
              </w:rPr>
            </w:pPr>
            <w:r>
              <w:rPr>
                <w:rFonts w:hint="eastAsia"/>
                <w:color w:val="auto"/>
                <w:sz w:val="21"/>
              </w:rPr>
              <w:t>备案文号</w:t>
            </w:r>
          </w:p>
        </w:tc>
        <w:tc>
          <w:tcPr>
            <w:tcW w:w="2105" w:type="pct"/>
            <w:vAlign w:val="center"/>
          </w:tcPr>
          <w:p w14:paraId="0A4774FD">
            <w:pPr>
              <w:pStyle w:val="413"/>
              <w:rPr>
                <w:color w:val="auto"/>
                <w:sz w:val="21"/>
              </w:rPr>
            </w:pPr>
            <w:r>
              <w:rPr>
                <w:rFonts w:hint="eastAsia"/>
                <w:color w:val="auto"/>
                <w:sz w:val="21"/>
              </w:rPr>
              <w:t>江南管产</w:t>
            </w:r>
            <w:r>
              <w:rPr>
                <w:rFonts w:hint="eastAsia"/>
                <w:color w:val="auto"/>
                <w:sz w:val="21"/>
                <w:lang w:val="en-US" w:eastAsia="zh-CN"/>
              </w:rPr>
              <w:t>[</w:t>
            </w:r>
            <w:r>
              <w:rPr>
                <w:rFonts w:hint="eastAsia"/>
                <w:color w:val="auto"/>
                <w:sz w:val="21"/>
              </w:rPr>
              <w:t>2024</w:t>
            </w:r>
            <w:r>
              <w:rPr>
                <w:rFonts w:hint="eastAsia"/>
                <w:color w:val="auto"/>
                <w:sz w:val="21"/>
                <w:lang w:val="en-US" w:eastAsia="zh-CN"/>
              </w:rPr>
              <w:t>]</w:t>
            </w:r>
            <w:r>
              <w:rPr>
                <w:rFonts w:hint="eastAsia"/>
                <w:color w:val="auto"/>
                <w:sz w:val="21"/>
              </w:rPr>
              <w:t>251号</w:t>
            </w:r>
          </w:p>
        </w:tc>
      </w:tr>
      <w:tr w14:paraId="2F8C7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8" w:hRule="atLeast"/>
          <w:jc w:val="center"/>
        </w:trPr>
        <w:tc>
          <w:tcPr>
            <w:tcW w:w="684" w:type="pct"/>
            <w:tcMar>
              <w:top w:w="16" w:type="dxa"/>
              <w:left w:w="16" w:type="dxa"/>
              <w:bottom w:w="0" w:type="dxa"/>
              <w:right w:w="16" w:type="dxa"/>
            </w:tcMar>
            <w:vAlign w:val="center"/>
          </w:tcPr>
          <w:p w14:paraId="2547DE37">
            <w:pPr>
              <w:pStyle w:val="413"/>
              <w:rPr>
                <w:color w:val="auto"/>
                <w:sz w:val="21"/>
              </w:rPr>
            </w:pPr>
            <w:r>
              <w:rPr>
                <w:rFonts w:hint="eastAsia"/>
                <w:color w:val="auto"/>
                <w:sz w:val="21"/>
              </w:rPr>
              <w:t>总投资</w:t>
            </w:r>
          </w:p>
          <w:p w14:paraId="17AE384D">
            <w:pPr>
              <w:pStyle w:val="413"/>
              <w:rPr>
                <w:color w:val="auto"/>
                <w:sz w:val="21"/>
              </w:rPr>
            </w:pPr>
            <w:r>
              <w:rPr>
                <w:rFonts w:hint="eastAsia"/>
                <w:color w:val="auto"/>
                <w:sz w:val="21"/>
              </w:rPr>
              <w:t>（万元）</w:t>
            </w:r>
          </w:p>
        </w:tc>
        <w:tc>
          <w:tcPr>
            <w:tcW w:w="1630" w:type="pct"/>
            <w:vAlign w:val="center"/>
          </w:tcPr>
          <w:p w14:paraId="045A8E57">
            <w:pPr>
              <w:widowControl/>
              <w:jc w:val="center"/>
              <w:rPr>
                <w:rFonts w:hint="default"/>
                <w:color w:val="auto"/>
                <w:sz w:val="21"/>
                <w:lang w:val="en-US"/>
              </w:rPr>
            </w:pPr>
            <w:r>
              <w:rPr>
                <w:rFonts w:hint="eastAsia"/>
                <w:color w:val="auto"/>
                <w:sz w:val="21"/>
                <w:lang w:val="en-US" w:eastAsia="zh-CN"/>
              </w:rPr>
              <w:t>2000</w:t>
            </w:r>
          </w:p>
        </w:tc>
        <w:tc>
          <w:tcPr>
            <w:tcW w:w="579" w:type="pct"/>
            <w:tcMar>
              <w:top w:w="16" w:type="dxa"/>
              <w:left w:w="16" w:type="dxa"/>
              <w:bottom w:w="0" w:type="dxa"/>
              <w:right w:w="16" w:type="dxa"/>
            </w:tcMar>
            <w:vAlign w:val="center"/>
          </w:tcPr>
          <w:p w14:paraId="759DB62D">
            <w:pPr>
              <w:pStyle w:val="413"/>
              <w:rPr>
                <w:color w:val="auto"/>
                <w:sz w:val="21"/>
              </w:rPr>
            </w:pPr>
            <w:r>
              <w:rPr>
                <w:rFonts w:hint="eastAsia"/>
                <w:color w:val="auto"/>
                <w:sz w:val="21"/>
              </w:rPr>
              <w:t>环保投资</w:t>
            </w:r>
          </w:p>
          <w:p w14:paraId="2B608813">
            <w:pPr>
              <w:pStyle w:val="413"/>
              <w:rPr>
                <w:color w:val="auto"/>
                <w:sz w:val="21"/>
              </w:rPr>
            </w:pPr>
            <w:r>
              <w:rPr>
                <w:rFonts w:hint="eastAsia"/>
                <w:color w:val="auto"/>
                <w:sz w:val="21"/>
              </w:rPr>
              <w:t>（万元）</w:t>
            </w:r>
          </w:p>
        </w:tc>
        <w:tc>
          <w:tcPr>
            <w:tcW w:w="2105" w:type="pct"/>
            <w:vAlign w:val="center"/>
          </w:tcPr>
          <w:p w14:paraId="05ACBAF0">
            <w:pPr>
              <w:pStyle w:val="413"/>
              <w:rPr>
                <w:rFonts w:hint="default"/>
                <w:color w:val="auto"/>
                <w:sz w:val="21"/>
                <w:lang w:val="en-US"/>
              </w:rPr>
            </w:pPr>
            <w:r>
              <w:rPr>
                <w:rFonts w:hint="eastAsia"/>
                <w:color w:val="auto"/>
                <w:sz w:val="21"/>
                <w:lang w:val="en-US" w:eastAsia="zh-CN"/>
              </w:rPr>
              <w:t>20</w:t>
            </w:r>
          </w:p>
        </w:tc>
      </w:tr>
      <w:tr w14:paraId="1AE98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84" w:type="pct"/>
            <w:tcMar>
              <w:top w:w="16" w:type="dxa"/>
              <w:left w:w="16" w:type="dxa"/>
              <w:bottom w:w="0" w:type="dxa"/>
              <w:right w:w="16" w:type="dxa"/>
            </w:tcMar>
            <w:vAlign w:val="center"/>
          </w:tcPr>
          <w:p w14:paraId="75F9D588">
            <w:pPr>
              <w:pStyle w:val="413"/>
              <w:rPr>
                <w:color w:val="auto"/>
                <w:sz w:val="21"/>
              </w:rPr>
            </w:pPr>
            <w:r>
              <w:rPr>
                <w:rFonts w:hint="eastAsia"/>
                <w:color w:val="auto"/>
                <w:sz w:val="21"/>
              </w:rPr>
              <w:t>环保投资</w:t>
            </w:r>
          </w:p>
          <w:p w14:paraId="268E5970">
            <w:pPr>
              <w:pStyle w:val="413"/>
              <w:rPr>
                <w:color w:val="auto"/>
                <w:sz w:val="21"/>
              </w:rPr>
            </w:pPr>
            <w:r>
              <w:rPr>
                <w:rFonts w:hint="eastAsia"/>
                <w:color w:val="auto"/>
                <w:sz w:val="21"/>
              </w:rPr>
              <w:t>占比（</w:t>
            </w:r>
            <w:r>
              <w:rPr>
                <w:color w:val="auto"/>
                <w:sz w:val="21"/>
              </w:rPr>
              <w:t>%</w:t>
            </w:r>
            <w:r>
              <w:rPr>
                <w:rFonts w:hint="eastAsia"/>
                <w:color w:val="auto"/>
                <w:sz w:val="21"/>
              </w:rPr>
              <w:t>）</w:t>
            </w:r>
          </w:p>
        </w:tc>
        <w:tc>
          <w:tcPr>
            <w:tcW w:w="1630" w:type="pct"/>
            <w:vAlign w:val="center"/>
          </w:tcPr>
          <w:p w14:paraId="6D42C919">
            <w:pPr>
              <w:pStyle w:val="413"/>
              <w:rPr>
                <w:color w:val="auto"/>
                <w:sz w:val="21"/>
              </w:rPr>
            </w:pPr>
            <w:r>
              <w:rPr>
                <w:rFonts w:hint="eastAsia"/>
                <w:color w:val="auto"/>
                <w:sz w:val="21"/>
                <w:lang w:val="en-US" w:eastAsia="zh-CN"/>
              </w:rPr>
              <w:t>1</w:t>
            </w:r>
            <w:r>
              <w:rPr>
                <w:rFonts w:hint="eastAsia"/>
                <w:color w:val="auto"/>
                <w:sz w:val="21"/>
              </w:rPr>
              <w:t>%</w:t>
            </w:r>
          </w:p>
        </w:tc>
        <w:tc>
          <w:tcPr>
            <w:tcW w:w="579" w:type="pct"/>
            <w:tcMar>
              <w:top w:w="16" w:type="dxa"/>
              <w:left w:w="16" w:type="dxa"/>
              <w:bottom w:w="0" w:type="dxa"/>
              <w:right w:w="16" w:type="dxa"/>
            </w:tcMar>
            <w:vAlign w:val="center"/>
          </w:tcPr>
          <w:p w14:paraId="09932A0C">
            <w:pPr>
              <w:pStyle w:val="413"/>
              <w:rPr>
                <w:color w:val="auto"/>
                <w:sz w:val="21"/>
              </w:rPr>
            </w:pPr>
            <w:r>
              <w:rPr>
                <w:rFonts w:hint="eastAsia"/>
                <w:color w:val="auto"/>
                <w:sz w:val="21"/>
              </w:rPr>
              <w:t>施工工期</w:t>
            </w:r>
          </w:p>
        </w:tc>
        <w:tc>
          <w:tcPr>
            <w:tcW w:w="2105" w:type="pct"/>
            <w:vAlign w:val="center"/>
          </w:tcPr>
          <w:p w14:paraId="721895CD">
            <w:pPr>
              <w:pStyle w:val="413"/>
              <w:rPr>
                <w:color w:val="auto"/>
                <w:sz w:val="21"/>
              </w:rPr>
            </w:pPr>
            <w:r>
              <w:rPr>
                <w:rFonts w:hint="eastAsia"/>
                <w:color w:val="auto"/>
                <w:sz w:val="21"/>
                <w:lang w:val="en-US" w:eastAsia="zh-CN"/>
              </w:rPr>
              <w:t>15</w:t>
            </w:r>
            <w:r>
              <w:rPr>
                <w:rFonts w:hint="eastAsia"/>
                <w:color w:val="auto"/>
                <w:sz w:val="21"/>
              </w:rPr>
              <w:t>个月</w:t>
            </w:r>
          </w:p>
        </w:tc>
      </w:tr>
      <w:tr w14:paraId="0594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84" w:type="pct"/>
            <w:tcMar>
              <w:top w:w="16" w:type="dxa"/>
              <w:left w:w="16" w:type="dxa"/>
              <w:bottom w:w="0" w:type="dxa"/>
              <w:right w:w="16" w:type="dxa"/>
            </w:tcMar>
            <w:vAlign w:val="center"/>
          </w:tcPr>
          <w:p w14:paraId="49CB6AA2">
            <w:pPr>
              <w:pStyle w:val="413"/>
              <w:rPr>
                <w:color w:val="auto"/>
                <w:sz w:val="21"/>
              </w:rPr>
            </w:pPr>
            <w:r>
              <w:rPr>
                <w:rFonts w:hint="eastAsia"/>
                <w:color w:val="auto"/>
                <w:sz w:val="21"/>
              </w:rPr>
              <w:t>是否开工建设</w:t>
            </w:r>
          </w:p>
        </w:tc>
        <w:tc>
          <w:tcPr>
            <w:tcW w:w="1630" w:type="pct"/>
            <w:vAlign w:val="center"/>
          </w:tcPr>
          <w:p w14:paraId="0A3163F3">
            <w:pPr>
              <w:pStyle w:val="413"/>
              <w:rPr>
                <w:color w:val="auto"/>
                <w:sz w:val="21"/>
              </w:rPr>
            </w:pPr>
            <w:r>
              <w:rPr>
                <w:color w:val="auto"/>
                <w:sz w:val="21"/>
              </w:rPr>
              <w:sym w:font="Wingdings 2" w:char="0052"/>
            </w:r>
            <w:r>
              <w:rPr>
                <w:rFonts w:hint="eastAsia"/>
                <w:color w:val="auto"/>
                <w:sz w:val="21"/>
              </w:rPr>
              <w:t>否</w:t>
            </w:r>
          </w:p>
          <w:p w14:paraId="636ED6BD">
            <w:pPr>
              <w:pStyle w:val="413"/>
              <w:rPr>
                <w:color w:val="auto"/>
                <w:sz w:val="21"/>
              </w:rPr>
            </w:pPr>
            <w:r>
              <w:rPr>
                <w:color w:val="auto"/>
                <w:sz w:val="21"/>
              </w:rPr>
              <w:sym w:font="Wingdings 2" w:char="00A3"/>
            </w:r>
            <w:r>
              <w:rPr>
                <w:rFonts w:hint="eastAsia"/>
                <w:color w:val="auto"/>
                <w:sz w:val="21"/>
              </w:rPr>
              <w:t>是：</w:t>
            </w:r>
          </w:p>
        </w:tc>
        <w:tc>
          <w:tcPr>
            <w:tcW w:w="579" w:type="pct"/>
            <w:tcMar>
              <w:top w:w="16" w:type="dxa"/>
              <w:left w:w="16" w:type="dxa"/>
              <w:bottom w:w="0" w:type="dxa"/>
              <w:right w:w="16" w:type="dxa"/>
            </w:tcMar>
            <w:vAlign w:val="center"/>
          </w:tcPr>
          <w:p w14:paraId="752F7E0C">
            <w:pPr>
              <w:pStyle w:val="413"/>
              <w:rPr>
                <w:color w:val="auto"/>
              </w:rPr>
            </w:pPr>
            <w:r>
              <w:rPr>
                <w:rFonts w:hint="eastAsia"/>
                <w:color w:val="auto"/>
                <w:sz w:val="21"/>
              </w:rPr>
              <w:t>用地面积（</w:t>
            </w:r>
            <w:r>
              <w:rPr>
                <w:color w:val="auto"/>
                <w:sz w:val="21"/>
              </w:rPr>
              <w:t>m</w:t>
            </w:r>
            <w:r>
              <w:rPr>
                <w:color w:val="auto"/>
                <w:sz w:val="21"/>
                <w:vertAlign w:val="superscript"/>
              </w:rPr>
              <w:t>2</w:t>
            </w:r>
            <w:r>
              <w:rPr>
                <w:rFonts w:hint="eastAsia"/>
                <w:color w:val="auto"/>
                <w:sz w:val="21"/>
              </w:rPr>
              <w:t>）</w:t>
            </w:r>
          </w:p>
        </w:tc>
        <w:tc>
          <w:tcPr>
            <w:tcW w:w="2105" w:type="pct"/>
            <w:vAlign w:val="center"/>
          </w:tcPr>
          <w:p w14:paraId="73F7400B">
            <w:pPr>
              <w:pStyle w:val="413"/>
              <w:rPr>
                <w:rFonts w:hint="default"/>
                <w:color w:val="auto"/>
                <w:sz w:val="21"/>
                <w:lang w:val="en-US"/>
              </w:rPr>
            </w:pPr>
            <w:r>
              <w:rPr>
                <w:rFonts w:hint="eastAsia"/>
                <w:color w:val="auto"/>
                <w:sz w:val="21"/>
                <w:lang w:val="en-US" w:eastAsia="zh-CN"/>
              </w:rPr>
              <w:t>5500</w:t>
            </w:r>
          </w:p>
        </w:tc>
      </w:tr>
      <w:tr w14:paraId="77C12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 w:hRule="atLeast"/>
          <w:jc w:val="center"/>
        </w:trPr>
        <w:tc>
          <w:tcPr>
            <w:tcW w:w="684" w:type="pct"/>
            <w:vAlign w:val="center"/>
          </w:tcPr>
          <w:p w14:paraId="6830D373">
            <w:pPr>
              <w:pStyle w:val="413"/>
              <w:rPr>
                <w:color w:val="auto"/>
                <w:sz w:val="24"/>
                <w:szCs w:val="24"/>
              </w:rPr>
            </w:pPr>
            <w:r>
              <w:rPr>
                <w:rFonts w:hint="eastAsia"/>
                <w:color w:val="auto"/>
                <w:sz w:val="24"/>
                <w:szCs w:val="24"/>
              </w:rPr>
              <w:t>专项评价</w:t>
            </w:r>
          </w:p>
          <w:p w14:paraId="59E1D720">
            <w:pPr>
              <w:pStyle w:val="413"/>
              <w:rPr>
                <w:color w:val="auto"/>
                <w:sz w:val="21"/>
              </w:rPr>
            </w:pPr>
            <w:r>
              <w:rPr>
                <w:rFonts w:hint="eastAsia"/>
                <w:color w:val="auto"/>
                <w:sz w:val="24"/>
                <w:szCs w:val="24"/>
              </w:rPr>
              <w:t>设置情况</w:t>
            </w:r>
          </w:p>
        </w:tc>
        <w:tc>
          <w:tcPr>
            <w:tcW w:w="4315" w:type="pct"/>
            <w:gridSpan w:val="3"/>
            <w:vAlign w:val="center"/>
          </w:tcPr>
          <w:p w14:paraId="489EEDFA">
            <w:pPr>
              <w:pStyle w:val="413"/>
              <w:ind w:firstLine="480" w:firstLineChars="200"/>
              <w:rPr>
                <w:rFonts w:hint="eastAsia" w:ascii="黑体" w:hAnsi="黑体" w:eastAsia="黑体"/>
                <w:color w:val="auto"/>
                <w:sz w:val="24"/>
                <w:szCs w:val="24"/>
              </w:rPr>
            </w:pPr>
            <w:r>
              <w:rPr>
                <w:rFonts w:hint="eastAsia" w:ascii="黑体" w:hAnsi="黑体" w:eastAsia="黑体"/>
                <w:color w:val="auto"/>
                <w:sz w:val="24"/>
                <w:szCs w:val="24"/>
              </w:rPr>
              <w:t>表</w:t>
            </w:r>
            <w:r>
              <w:rPr>
                <w:rFonts w:eastAsia="黑体" w:cs="Times New Roman"/>
                <w:color w:val="auto"/>
                <w:sz w:val="24"/>
                <w:szCs w:val="24"/>
              </w:rPr>
              <w:t>1-1</w:t>
            </w:r>
            <w:r>
              <w:rPr>
                <w:rFonts w:ascii="黑体" w:hAnsi="黑体" w:eastAsia="黑体"/>
                <w:color w:val="auto"/>
                <w:sz w:val="24"/>
                <w:szCs w:val="24"/>
              </w:rPr>
              <w:t xml:space="preserve">  </w:t>
            </w:r>
            <w:r>
              <w:rPr>
                <w:rFonts w:hint="eastAsia" w:ascii="黑体" w:hAnsi="黑体" w:eastAsia="黑体"/>
                <w:color w:val="auto"/>
                <w:sz w:val="24"/>
                <w:szCs w:val="24"/>
              </w:rPr>
              <w:t>本项目专项评价设置情况说明表</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3752"/>
              <w:gridCol w:w="2666"/>
              <w:gridCol w:w="742"/>
            </w:tblGrid>
            <w:tr w14:paraId="2ED3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3" w:type="pct"/>
                  <w:shd w:val="clear" w:color="auto" w:fill="auto"/>
                  <w:vAlign w:val="center"/>
                </w:tcPr>
                <w:p w14:paraId="1F3C7531">
                  <w:pPr>
                    <w:pStyle w:val="413"/>
                    <w:spacing w:line="240" w:lineRule="auto"/>
                    <w:rPr>
                      <w:b/>
                      <w:bCs/>
                      <w:color w:val="auto"/>
                      <w:sz w:val="18"/>
                      <w:szCs w:val="18"/>
                    </w:rPr>
                  </w:pPr>
                  <w:r>
                    <w:rPr>
                      <w:b/>
                      <w:bCs/>
                      <w:color w:val="auto"/>
                      <w:sz w:val="18"/>
                      <w:szCs w:val="18"/>
                    </w:rPr>
                    <w:t>专项评价类别</w:t>
                  </w:r>
                </w:p>
              </w:tc>
              <w:tc>
                <w:tcPr>
                  <w:tcW w:w="2246" w:type="pct"/>
                  <w:shd w:val="clear" w:color="auto" w:fill="auto"/>
                  <w:vAlign w:val="center"/>
                </w:tcPr>
                <w:p w14:paraId="5DCD7A17">
                  <w:pPr>
                    <w:pStyle w:val="413"/>
                    <w:spacing w:line="240" w:lineRule="auto"/>
                    <w:rPr>
                      <w:b/>
                      <w:bCs/>
                      <w:color w:val="auto"/>
                      <w:sz w:val="18"/>
                      <w:szCs w:val="18"/>
                    </w:rPr>
                  </w:pPr>
                  <w:r>
                    <w:rPr>
                      <w:b/>
                      <w:bCs/>
                      <w:color w:val="auto"/>
                      <w:sz w:val="18"/>
                      <w:szCs w:val="18"/>
                    </w:rPr>
                    <w:t>设置原则</w:t>
                  </w:r>
                </w:p>
              </w:tc>
              <w:tc>
                <w:tcPr>
                  <w:tcW w:w="1596" w:type="pct"/>
                  <w:shd w:val="clear" w:color="auto" w:fill="auto"/>
                  <w:vAlign w:val="center"/>
                </w:tcPr>
                <w:p w14:paraId="5F574959">
                  <w:pPr>
                    <w:pStyle w:val="413"/>
                    <w:spacing w:line="240" w:lineRule="auto"/>
                    <w:rPr>
                      <w:b/>
                      <w:bCs/>
                      <w:color w:val="auto"/>
                      <w:sz w:val="18"/>
                      <w:szCs w:val="18"/>
                    </w:rPr>
                  </w:pPr>
                  <w:r>
                    <w:rPr>
                      <w:b/>
                      <w:bCs/>
                      <w:color w:val="auto"/>
                      <w:sz w:val="18"/>
                      <w:szCs w:val="18"/>
                    </w:rPr>
                    <w:t>项目情况</w:t>
                  </w:r>
                </w:p>
              </w:tc>
              <w:tc>
                <w:tcPr>
                  <w:tcW w:w="444" w:type="pct"/>
                  <w:shd w:val="clear" w:color="auto" w:fill="auto"/>
                  <w:vAlign w:val="center"/>
                </w:tcPr>
                <w:p w14:paraId="4A66AB99">
                  <w:pPr>
                    <w:pStyle w:val="413"/>
                    <w:spacing w:line="240" w:lineRule="auto"/>
                    <w:rPr>
                      <w:b/>
                      <w:bCs/>
                      <w:color w:val="auto"/>
                      <w:sz w:val="18"/>
                      <w:szCs w:val="18"/>
                    </w:rPr>
                  </w:pPr>
                  <w:r>
                    <w:rPr>
                      <w:b/>
                      <w:bCs/>
                      <w:color w:val="auto"/>
                      <w:sz w:val="18"/>
                      <w:szCs w:val="18"/>
                    </w:rPr>
                    <w:t>设置与否</w:t>
                  </w:r>
                </w:p>
              </w:tc>
            </w:tr>
            <w:tr w14:paraId="4E4A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3" w:type="pct"/>
                  <w:shd w:val="clear" w:color="auto" w:fill="auto"/>
                  <w:vAlign w:val="center"/>
                </w:tcPr>
                <w:p w14:paraId="5D339D0C">
                  <w:pPr>
                    <w:pStyle w:val="413"/>
                    <w:spacing w:line="240" w:lineRule="auto"/>
                    <w:rPr>
                      <w:color w:val="auto"/>
                      <w:sz w:val="18"/>
                      <w:szCs w:val="18"/>
                    </w:rPr>
                  </w:pPr>
                  <w:r>
                    <w:rPr>
                      <w:color w:val="auto"/>
                      <w:sz w:val="18"/>
                      <w:szCs w:val="18"/>
                    </w:rPr>
                    <w:t>大气</w:t>
                  </w:r>
                </w:p>
              </w:tc>
              <w:tc>
                <w:tcPr>
                  <w:tcW w:w="2246" w:type="pct"/>
                  <w:shd w:val="clear" w:color="auto" w:fill="auto"/>
                  <w:vAlign w:val="center"/>
                </w:tcPr>
                <w:p w14:paraId="63867118">
                  <w:pPr>
                    <w:autoSpaceDE w:val="0"/>
                    <w:autoSpaceDN w:val="0"/>
                    <w:adjustRightInd w:val="0"/>
                    <w:spacing w:line="240" w:lineRule="auto"/>
                    <w:jc w:val="center"/>
                    <w:rPr>
                      <w:color w:val="auto"/>
                      <w:sz w:val="18"/>
                      <w:szCs w:val="18"/>
                    </w:rPr>
                  </w:pPr>
                  <w:r>
                    <w:rPr>
                      <w:rFonts w:hint="eastAsia"/>
                      <w:color w:val="auto"/>
                      <w:sz w:val="18"/>
                      <w:szCs w:val="18"/>
                    </w:rPr>
                    <w:t>排放废气含有毒有害污染物、二噁英、苯并</w:t>
                  </w:r>
                  <w:r>
                    <w:rPr>
                      <w:color w:val="auto"/>
                      <w:sz w:val="18"/>
                      <w:szCs w:val="18"/>
                    </w:rPr>
                    <w:t>[a]</w:t>
                  </w:r>
                  <w:r>
                    <w:rPr>
                      <w:rFonts w:hint="eastAsia"/>
                      <w:color w:val="auto"/>
                      <w:sz w:val="18"/>
                      <w:szCs w:val="18"/>
                    </w:rPr>
                    <w:t>芘、氰化物、氯气且厂界外</w:t>
                  </w:r>
                  <w:r>
                    <w:rPr>
                      <w:color w:val="auto"/>
                      <w:sz w:val="18"/>
                      <w:szCs w:val="18"/>
                    </w:rPr>
                    <w:t>500</w:t>
                  </w:r>
                  <w:r>
                    <w:rPr>
                      <w:rFonts w:hint="eastAsia"/>
                      <w:color w:val="auto"/>
                      <w:sz w:val="18"/>
                      <w:szCs w:val="18"/>
                    </w:rPr>
                    <w:t>米范围内有环境空气保护目标的建设项目</w:t>
                  </w:r>
                </w:p>
              </w:tc>
              <w:tc>
                <w:tcPr>
                  <w:tcW w:w="1596" w:type="pct"/>
                  <w:shd w:val="clear" w:color="auto" w:fill="auto"/>
                  <w:vAlign w:val="center"/>
                </w:tcPr>
                <w:p w14:paraId="3B25F8A1">
                  <w:pPr>
                    <w:pStyle w:val="413"/>
                    <w:spacing w:line="240" w:lineRule="auto"/>
                    <w:rPr>
                      <w:color w:val="auto"/>
                      <w:sz w:val="18"/>
                      <w:szCs w:val="18"/>
                    </w:rPr>
                  </w:pPr>
                  <w:r>
                    <w:rPr>
                      <w:rFonts w:hint="eastAsia"/>
                      <w:color w:val="auto"/>
                      <w:sz w:val="18"/>
                      <w:szCs w:val="18"/>
                    </w:rPr>
                    <w:t>排放废气不含有毒有害污染物、二噁英、苯并</w:t>
                  </w:r>
                  <w:r>
                    <w:rPr>
                      <w:color w:val="auto"/>
                      <w:sz w:val="18"/>
                      <w:szCs w:val="18"/>
                    </w:rPr>
                    <w:t>[a]</w:t>
                  </w:r>
                  <w:r>
                    <w:rPr>
                      <w:rFonts w:hint="eastAsia"/>
                      <w:color w:val="auto"/>
                      <w:sz w:val="18"/>
                      <w:szCs w:val="18"/>
                    </w:rPr>
                    <w:t>芘、氰化物、氯气</w:t>
                  </w:r>
                </w:p>
              </w:tc>
              <w:tc>
                <w:tcPr>
                  <w:tcW w:w="444" w:type="pct"/>
                  <w:shd w:val="clear" w:color="auto" w:fill="auto"/>
                  <w:vAlign w:val="center"/>
                </w:tcPr>
                <w:p w14:paraId="7ECE405E">
                  <w:pPr>
                    <w:pStyle w:val="413"/>
                    <w:spacing w:line="240" w:lineRule="auto"/>
                    <w:rPr>
                      <w:color w:val="auto"/>
                      <w:sz w:val="18"/>
                      <w:szCs w:val="18"/>
                    </w:rPr>
                  </w:pPr>
                  <w:r>
                    <w:rPr>
                      <w:rFonts w:hint="eastAsia"/>
                      <w:color w:val="auto"/>
                      <w:sz w:val="18"/>
                      <w:szCs w:val="18"/>
                    </w:rPr>
                    <w:t>否</w:t>
                  </w:r>
                </w:p>
              </w:tc>
            </w:tr>
            <w:tr w14:paraId="2982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3" w:type="pct"/>
                  <w:shd w:val="clear" w:color="auto" w:fill="auto"/>
                  <w:vAlign w:val="center"/>
                </w:tcPr>
                <w:p w14:paraId="15B93B0F">
                  <w:pPr>
                    <w:pStyle w:val="413"/>
                    <w:spacing w:line="240" w:lineRule="auto"/>
                    <w:rPr>
                      <w:color w:val="auto"/>
                      <w:sz w:val="18"/>
                      <w:szCs w:val="18"/>
                    </w:rPr>
                  </w:pPr>
                  <w:r>
                    <w:rPr>
                      <w:color w:val="auto"/>
                      <w:sz w:val="18"/>
                      <w:szCs w:val="18"/>
                    </w:rPr>
                    <w:t>地表水</w:t>
                  </w:r>
                </w:p>
              </w:tc>
              <w:tc>
                <w:tcPr>
                  <w:tcW w:w="2246" w:type="pct"/>
                  <w:shd w:val="clear" w:color="auto" w:fill="auto"/>
                  <w:vAlign w:val="center"/>
                </w:tcPr>
                <w:p w14:paraId="087FC1AA">
                  <w:pPr>
                    <w:autoSpaceDE w:val="0"/>
                    <w:autoSpaceDN w:val="0"/>
                    <w:adjustRightInd w:val="0"/>
                    <w:spacing w:line="240" w:lineRule="auto"/>
                    <w:jc w:val="center"/>
                    <w:rPr>
                      <w:color w:val="auto"/>
                      <w:sz w:val="18"/>
                      <w:szCs w:val="18"/>
                    </w:rPr>
                  </w:pPr>
                  <w:r>
                    <w:rPr>
                      <w:rFonts w:hint="eastAsia"/>
                      <w:color w:val="auto"/>
                      <w:sz w:val="18"/>
                      <w:szCs w:val="18"/>
                    </w:rPr>
                    <w:t>新增工业废水直排建设项目（槽罐车外送污水处理厂的除外）；新增废水直排的污水集中处理厂</w:t>
                  </w:r>
                </w:p>
              </w:tc>
              <w:tc>
                <w:tcPr>
                  <w:tcW w:w="1596" w:type="pct"/>
                  <w:shd w:val="clear" w:color="auto" w:fill="auto"/>
                  <w:vAlign w:val="center"/>
                </w:tcPr>
                <w:p w14:paraId="037C47D8">
                  <w:pPr>
                    <w:pStyle w:val="413"/>
                    <w:spacing w:line="240" w:lineRule="auto"/>
                    <w:rPr>
                      <w:color w:val="auto"/>
                      <w:sz w:val="18"/>
                      <w:szCs w:val="18"/>
                    </w:rPr>
                  </w:pPr>
                  <w:r>
                    <w:rPr>
                      <w:color w:val="auto"/>
                      <w:sz w:val="18"/>
                      <w:szCs w:val="18"/>
                    </w:rPr>
                    <w:t>本项目</w:t>
                  </w:r>
                  <w:r>
                    <w:rPr>
                      <w:rFonts w:hint="eastAsia"/>
                      <w:color w:val="auto"/>
                      <w:sz w:val="18"/>
                      <w:szCs w:val="18"/>
                      <w:lang w:val="en-US" w:eastAsia="zh-CN"/>
                    </w:rPr>
                    <w:t>生活污水经化粪池处理后与循环冷却排水</w:t>
                  </w:r>
                  <w:r>
                    <w:rPr>
                      <w:rFonts w:hint="eastAsia"/>
                      <w:color w:val="auto"/>
                      <w:sz w:val="18"/>
                      <w:szCs w:val="18"/>
                    </w:rPr>
                    <w:t>进入皖江江南新兴产业集中区第一污水处理厂处理</w:t>
                  </w:r>
                </w:p>
              </w:tc>
              <w:tc>
                <w:tcPr>
                  <w:tcW w:w="444" w:type="pct"/>
                  <w:shd w:val="clear" w:color="auto" w:fill="auto"/>
                  <w:vAlign w:val="center"/>
                </w:tcPr>
                <w:p w14:paraId="29D671C9">
                  <w:pPr>
                    <w:pStyle w:val="413"/>
                    <w:spacing w:line="240" w:lineRule="auto"/>
                    <w:rPr>
                      <w:color w:val="auto"/>
                      <w:sz w:val="18"/>
                      <w:szCs w:val="18"/>
                    </w:rPr>
                  </w:pPr>
                  <w:r>
                    <w:rPr>
                      <w:rFonts w:hint="eastAsia"/>
                      <w:color w:val="auto"/>
                      <w:sz w:val="18"/>
                      <w:szCs w:val="18"/>
                    </w:rPr>
                    <w:t>否</w:t>
                  </w:r>
                </w:p>
              </w:tc>
            </w:tr>
            <w:tr w14:paraId="1BFA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3" w:type="pct"/>
                  <w:shd w:val="clear" w:color="auto" w:fill="auto"/>
                  <w:vAlign w:val="center"/>
                </w:tcPr>
                <w:p w14:paraId="3F9143A1">
                  <w:pPr>
                    <w:pStyle w:val="413"/>
                    <w:spacing w:line="240" w:lineRule="auto"/>
                    <w:rPr>
                      <w:color w:val="auto"/>
                      <w:sz w:val="18"/>
                      <w:szCs w:val="18"/>
                    </w:rPr>
                  </w:pPr>
                  <w:r>
                    <w:rPr>
                      <w:color w:val="auto"/>
                      <w:sz w:val="18"/>
                      <w:szCs w:val="18"/>
                    </w:rPr>
                    <w:t>环境风险</w:t>
                  </w:r>
                </w:p>
              </w:tc>
              <w:tc>
                <w:tcPr>
                  <w:tcW w:w="2246" w:type="pct"/>
                  <w:shd w:val="clear" w:color="auto" w:fill="auto"/>
                  <w:vAlign w:val="center"/>
                </w:tcPr>
                <w:p w14:paraId="5A8E7F2F">
                  <w:pPr>
                    <w:pStyle w:val="413"/>
                    <w:spacing w:line="240" w:lineRule="auto"/>
                    <w:rPr>
                      <w:color w:val="auto"/>
                      <w:sz w:val="18"/>
                      <w:szCs w:val="18"/>
                    </w:rPr>
                  </w:pPr>
                  <w:r>
                    <w:rPr>
                      <w:rFonts w:hint="eastAsia"/>
                      <w:color w:val="auto"/>
                      <w:sz w:val="18"/>
                      <w:szCs w:val="18"/>
                    </w:rPr>
                    <w:t>有毒有害和易燃易爆危险物质存储量超过临界量的建设项目</w:t>
                  </w:r>
                </w:p>
              </w:tc>
              <w:tc>
                <w:tcPr>
                  <w:tcW w:w="1596" w:type="pct"/>
                  <w:shd w:val="clear" w:color="auto" w:fill="auto"/>
                  <w:vAlign w:val="center"/>
                </w:tcPr>
                <w:p w14:paraId="24C750B9">
                  <w:pPr>
                    <w:pStyle w:val="413"/>
                    <w:spacing w:line="240" w:lineRule="auto"/>
                    <w:rPr>
                      <w:rFonts w:hint="default" w:eastAsia="宋体"/>
                      <w:color w:val="auto"/>
                      <w:sz w:val="18"/>
                      <w:szCs w:val="18"/>
                      <w:lang w:val="en-US" w:eastAsia="zh-CN"/>
                    </w:rPr>
                  </w:pPr>
                  <w:r>
                    <w:rPr>
                      <w:rFonts w:hint="eastAsia"/>
                      <w:color w:val="auto"/>
                      <w:sz w:val="18"/>
                      <w:szCs w:val="18"/>
                    </w:rPr>
                    <w:t>涉及易燃易爆危险物质，但存储量未超过临界量</w:t>
                  </w:r>
                  <w:r>
                    <w:rPr>
                      <w:rFonts w:hint="eastAsia"/>
                      <w:color w:val="auto"/>
                      <w:sz w:val="18"/>
                      <w:szCs w:val="18"/>
                      <w:lang w:eastAsia="zh-CN"/>
                    </w:rPr>
                    <w:t>，</w:t>
                  </w:r>
                  <w:r>
                    <w:rPr>
                      <w:rFonts w:hint="eastAsia"/>
                      <w:color w:val="auto"/>
                      <w:sz w:val="18"/>
                      <w:szCs w:val="18"/>
                      <w:lang w:val="en-US" w:eastAsia="zh-CN"/>
                    </w:rPr>
                    <w:t>本项目Q值为0.126&lt;1</w:t>
                  </w:r>
                </w:p>
              </w:tc>
              <w:tc>
                <w:tcPr>
                  <w:tcW w:w="444" w:type="pct"/>
                  <w:shd w:val="clear" w:color="auto" w:fill="auto"/>
                  <w:vAlign w:val="center"/>
                </w:tcPr>
                <w:p w14:paraId="4D647F7C">
                  <w:pPr>
                    <w:pStyle w:val="413"/>
                    <w:spacing w:line="240" w:lineRule="auto"/>
                    <w:rPr>
                      <w:color w:val="auto"/>
                      <w:sz w:val="18"/>
                      <w:szCs w:val="18"/>
                    </w:rPr>
                  </w:pPr>
                  <w:r>
                    <w:rPr>
                      <w:rFonts w:hint="eastAsia"/>
                      <w:color w:val="auto"/>
                      <w:sz w:val="18"/>
                      <w:szCs w:val="18"/>
                    </w:rPr>
                    <w:t>否</w:t>
                  </w:r>
                </w:p>
              </w:tc>
            </w:tr>
            <w:tr w14:paraId="1C290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3" w:type="pct"/>
                  <w:shd w:val="clear" w:color="auto" w:fill="auto"/>
                  <w:vAlign w:val="center"/>
                </w:tcPr>
                <w:p w14:paraId="397296A4">
                  <w:pPr>
                    <w:pStyle w:val="413"/>
                    <w:spacing w:line="240" w:lineRule="auto"/>
                    <w:rPr>
                      <w:color w:val="auto"/>
                      <w:sz w:val="18"/>
                      <w:szCs w:val="18"/>
                    </w:rPr>
                  </w:pPr>
                  <w:r>
                    <w:rPr>
                      <w:color w:val="auto"/>
                      <w:sz w:val="18"/>
                      <w:szCs w:val="18"/>
                    </w:rPr>
                    <w:t>生态</w:t>
                  </w:r>
                </w:p>
              </w:tc>
              <w:tc>
                <w:tcPr>
                  <w:tcW w:w="2246" w:type="pct"/>
                  <w:shd w:val="clear" w:color="auto" w:fill="auto"/>
                  <w:vAlign w:val="center"/>
                </w:tcPr>
                <w:p w14:paraId="783B6A02">
                  <w:pPr>
                    <w:autoSpaceDE w:val="0"/>
                    <w:autoSpaceDN w:val="0"/>
                    <w:adjustRightInd w:val="0"/>
                    <w:spacing w:line="240" w:lineRule="auto"/>
                    <w:jc w:val="center"/>
                    <w:rPr>
                      <w:color w:val="auto"/>
                      <w:sz w:val="18"/>
                      <w:szCs w:val="18"/>
                    </w:rPr>
                  </w:pPr>
                  <w:r>
                    <w:rPr>
                      <w:rFonts w:hint="eastAsia"/>
                      <w:color w:val="auto"/>
                      <w:sz w:val="18"/>
                      <w:szCs w:val="18"/>
                    </w:rPr>
                    <w:t>取水口下游</w:t>
                  </w:r>
                  <w:r>
                    <w:rPr>
                      <w:color w:val="auto"/>
                      <w:sz w:val="18"/>
                      <w:szCs w:val="18"/>
                    </w:rPr>
                    <w:t>500</w:t>
                  </w:r>
                  <w:r>
                    <w:rPr>
                      <w:rFonts w:hint="eastAsia"/>
                      <w:color w:val="auto"/>
                      <w:sz w:val="18"/>
                      <w:szCs w:val="18"/>
                    </w:rPr>
                    <w:t>米范围内有重要水生生物的自然产卵场、索饵场、越冬场和洄游通道的新增河道取水的污染类建设项目</w:t>
                  </w:r>
                </w:p>
              </w:tc>
              <w:tc>
                <w:tcPr>
                  <w:tcW w:w="1596" w:type="pct"/>
                  <w:shd w:val="clear" w:color="auto" w:fill="auto"/>
                  <w:vAlign w:val="center"/>
                </w:tcPr>
                <w:p w14:paraId="02F2E277">
                  <w:pPr>
                    <w:pStyle w:val="413"/>
                    <w:spacing w:line="240" w:lineRule="auto"/>
                    <w:rPr>
                      <w:color w:val="auto"/>
                      <w:sz w:val="18"/>
                      <w:szCs w:val="18"/>
                    </w:rPr>
                  </w:pPr>
                  <w:r>
                    <w:rPr>
                      <w:color w:val="auto"/>
                      <w:sz w:val="18"/>
                      <w:szCs w:val="18"/>
                    </w:rPr>
                    <w:t>不涉及</w:t>
                  </w:r>
                </w:p>
              </w:tc>
              <w:tc>
                <w:tcPr>
                  <w:tcW w:w="444" w:type="pct"/>
                  <w:shd w:val="clear" w:color="auto" w:fill="auto"/>
                  <w:vAlign w:val="center"/>
                </w:tcPr>
                <w:p w14:paraId="60AEDCF8">
                  <w:pPr>
                    <w:pStyle w:val="413"/>
                    <w:spacing w:line="240" w:lineRule="auto"/>
                    <w:rPr>
                      <w:color w:val="auto"/>
                      <w:sz w:val="18"/>
                      <w:szCs w:val="18"/>
                    </w:rPr>
                  </w:pPr>
                  <w:r>
                    <w:rPr>
                      <w:rFonts w:hint="eastAsia"/>
                      <w:color w:val="auto"/>
                      <w:sz w:val="18"/>
                      <w:szCs w:val="18"/>
                    </w:rPr>
                    <w:t>否</w:t>
                  </w:r>
                </w:p>
              </w:tc>
            </w:tr>
            <w:tr w14:paraId="131A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3" w:type="pct"/>
                  <w:shd w:val="clear" w:color="auto" w:fill="auto"/>
                  <w:vAlign w:val="center"/>
                </w:tcPr>
                <w:p w14:paraId="70210951">
                  <w:pPr>
                    <w:pStyle w:val="413"/>
                    <w:spacing w:line="240" w:lineRule="auto"/>
                    <w:rPr>
                      <w:color w:val="auto"/>
                      <w:sz w:val="18"/>
                      <w:szCs w:val="18"/>
                    </w:rPr>
                  </w:pPr>
                  <w:r>
                    <w:rPr>
                      <w:color w:val="auto"/>
                      <w:sz w:val="18"/>
                      <w:szCs w:val="18"/>
                    </w:rPr>
                    <w:t>海洋</w:t>
                  </w:r>
                </w:p>
              </w:tc>
              <w:tc>
                <w:tcPr>
                  <w:tcW w:w="2246" w:type="pct"/>
                  <w:shd w:val="clear" w:color="auto" w:fill="auto"/>
                  <w:vAlign w:val="center"/>
                </w:tcPr>
                <w:p w14:paraId="732283C4">
                  <w:pPr>
                    <w:pStyle w:val="413"/>
                    <w:spacing w:line="240" w:lineRule="auto"/>
                    <w:rPr>
                      <w:color w:val="auto"/>
                      <w:sz w:val="18"/>
                      <w:szCs w:val="18"/>
                    </w:rPr>
                  </w:pPr>
                  <w:r>
                    <w:rPr>
                      <w:rFonts w:hint="eastAsia"/>
                      <w:color w:val="auto"/>
                      <w:sz w:val="18"/>
                      <w:szCs w:val="18"/>
                    </w:rPr>
                    <w:t>直接向海排放污染物的海洋工程建设项目</w:t>
                  </w:r>
                </w:p>
              </w:tc>
              <w:tc>
                <w:tcPr>
                  <w:tcW w:w="1596" w:type="pct"/>
                  <w:shd w:val="clear" w:color="auto" w:fill="auto"/>
                  <w:vAlign w:val="center"/>
                </w:tcPr>
                <w:p w14:paraId="2C9F7C2B">
                  <w:pPr>
                    <w:pStyle w:val="413"/>
                    <w:spacing w:line="240" w:lineRule="auto"/>
                    <w:rPr>
                      <w:color w:val="auto"/>
                      <w:sz w:val="18"/>
                      <w:szCs w:val="18"/>
                    </w:rPr>
                  </w:pPr>
                  <w:r>
                    <w:rPr>
                      <w:color w:val="auto"/>
                      <w:sz w:val="18"/>
                      <w:szCs w:val="18"/>
                    </w:rPr>
                    <w:t>不涉及</w:t>
                  </w:r>
                </w:p>
              </w:tc>
              <w:tc>
                <w:tcPr>
                  <w:tcW w:w="444" w:type="pct"/>
                  <w:shd w:val="clear" w:color="auto" w:fill="auto"/>
                  <w:vAlign w:val="center"/>
                </w:tcPr>
                <w:p w14:paraId="209FDABE">
                  <w:pPr>
                    <w:pStyle w:val="413"/>
                    <w:spacing w:line="240" w:lineRule="auto"/>
                    <w:rPr>
                      <w:color w:val="auto"/>
                      <w:sz w:val="18"/>
                      <w:szCs w:val="18"/>
                    </w:rPr>
                  </w:pPr>
                  <w:r>
                    <w:rPr>
                      <w:rFonts w:hint="eastAsia"/>
                      <w:color w:val="auto"/>
                      <w:sz w:val="18"/>
                      <w:szCs w:val="18"/>
                    </w:rPr>
                    <w:t>否</w:t>
                  </w:r>
                </w:p>
              </w:tc>
            </w:tr>
          </w:tbl>
          <w:p w14:paraId="780BE573">
            <w:pPr>
              <w:pStyle w:val="413"/>
              <w:ind w:firstLine="480" w:firstLineChars="200"/>
              <w:jc w:val="left"/>
              <w:rPr>
                <w:color w:val="auto"/>
                <w:sz w:val="21"/>
              </w:rPr>
            </w:pPr>
            <w:r>
              <w:rPr>
                <w:rFonts w:hint="eastAsia"/>
                <w:color w:val="auto"/>
                <w:sz w:val="24"/>
                <w:szCs w:val="24"/>
              </w:rPr>
              <w:t>依据表1</w:t>
            </w:r>
            <w:r>
              <w:rPr>
                <w:color w:val="auto"/>
                <w:sz w:val="24"/>
                <w:szCs w:val="24"/>
              </w:rPr>
              <w:t>-1</w:t>
            </w:r>
            <w:r>
              <w:rPr>
                <w:rFonts w:hint="eastAsia"/>
                <w:color w:val="auto"/>
                <w:sz w:val="24"/>
                <w:szCs w:val="24"/>
              </w:rPr>
              <w:t>，本项目无需设置专项评价。</w:t>
            </w:r>
          </w:p>
        </w:tc>
      </w:tr>
      <w:tr w14:paraId="7D1AB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6" w:hRule="atLeast"/>
          <w:jc w:val="center"/>
        </w:trPr>
        <w:tc>
          <w:tcPr>
            <w:tcW w:w="684" w:type="pct"/>
            <w:vAlign w:val="center"/>
          </w:tcPr>
          <w:p w14:paraId="234E251A">
            <w:pPr>
              <w:pStyle w:val="413"/>
              <w:rPr>
                <w:color w:val="auto"/>
                <w:sz w:val="24"/>
                <w:szCs w:val="24"/>
              </w:rPr>
            </w:pPr>
            <w:r>
              <w:rPr>
                <w:rFonts w:hint="eastAsia"/>
                <w:color w:val="auto"/>
                <w:sz w:val="24"/>
                <w:szCs w:val="24"/>
              </w:rPr>
              <w:t>规划情况</w:t>
            </w:r>
          </w:p>
        </w:tc>
        <w:tc>
          <w:tcPr>
            <w:tcW w:w="4315" w:type="pct"/>
            <w:gridSpan w:val="3"/>
            <w:vAlign w:val="center"/>
          </w:tcPr>
          <w:p w14:paraId="0486EFED">
            <w:pPr>
              <w:pStyle w:val="413"/>
              <w:widowControl w:val="0"/>
              <w:jc w:val="left"/>
              <w:rPr>
                <w:rFonts w:hint="eastAsia"/>
                <w:color w:val="auto"/>
                <w:sz w:val="24"/>
                <w:szCs w:val="24"/>
              </w:rPr>
            </w:pPr>
            <w:r>
              <w:rPr>
                <w:rFonts w:hint="eastAsia"/>
                <w:color w:val="auto"/>
                <w:sz w:val="24"/>
                <w:szCs w:val="24"/>
              </w:rPr>
              <w:t>规划名称：《安徽省江南产业集中区总体规划》</w:t>
            </w:r>
          </w:p>
          <w:p w14:paraId="41F249F1">
            <w:pPr>
              <w:pStyle w:val="413"/>
              <w:widowControl w:val="0"/>
              <w:jc w:val="left"/>
              <w:rPr>
                <w:rFonts w:hint="eastAsia"/>
                <w:color w:val="auto"/>
                <w:sz w:val="24"/>
                <w:szCs w:val="24"/>
              </w:rPr>
            </w:pPr>
            <w:r>
              <w:rPr>
                <w:rFonts w:hint="eastAsia"/>
                <w:color w:val="auto"/>
                <w:sz w:val="24"/>
                <w:szCs w:val="24"/>
              </w:rPr>
              <w:t>审批机关：安徽省人民政府</w:t>
            </w:r>
          </w:p>
          <w:p w14:paraId="7C6F51DA">
            <w:pPr>
              <w:pStyle w:val="413"/>
              <w:widowControl w:val="0"/>
              <w:jc w:val="left"/>
              <w:rPr>
                <w:rFonts w:hint="eastAsia"/>
                <w:color w:val="auto"/>
                <w:sz w:val="24"/>
                <w:szCs w:val="24"/>
              </w:rPr>
            </w:pPr>
            <w:r>
              <w:rPr>
                <w:rFonts w:hint="eastAsia"/>
                <w:color w:val="auto"/>
                <w:sz w:val="24"/>
                <w:szCs w:val="24"/>
              </w:rPr>
              <w:t>审批文件名称：安徽省人民政府关于安徽省江南产业集中区总体规划的批复</w:t>
            </w:r>
          </w:p>
          <w:p w14:paraId="069181AA">
            <w:pPr>
              <w:pStyle w:val="413"/>
              <w:widowControl w:val="0"/>
              <w:jc w:val="left"/>
              <w:rPr>
                <w:rFonts w:cs="微软雅黑"/>
                <w:color w:val="auto"/>
                <w:sz w:val="24"/>
                <w:szCs w:val="16"/>
                <w:shd w:val="clear" w:color="auto" w:fill="FFFFFF"/>
              </w:rPr>
            </w:pPr>
            <w:r>
              <w:rPr>
                <w:rFonts w:hint="eastAsia"/>
                <w:color w:val="auto"/>
                <w:sz w:val="24"/>
                <w:szCs w:val="24"/>
              </w:rPr>
              <w:t>文号：皖政秘[2016]138号</w:t>
            </w:r>
          </w:p>
        </w:tc>
      </w:tr>
      <w:tr w14:paraId="671C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84" w:type="pct"/>
            <w:vAlign w:val="center"/>
          </w:tcPr>
          <w:p w14:paraId="488DAEBD">
            <w:pPr>
              <w:pStyle w:val="413"/>
              <w:rPr>
                <w:color w:val="auto"/>
                <w:sz w:val="24"/>
                <w:szCs w:val="24"/>
              </w:rPr>
            </w:pPr>
            <w:r>
              <w:rPr>
                <w:rFonts w:hint="eastAsia"/>
                <w:color w:val="auto"/>
                <w:sz w:val="24"/>
                <w:szCs w:val="24"/>
              </w:rPr>
              <w:t>规划环境影响评价情况</w:t>
            </w:r>
          </w:p>
        </w:tc>
        <w:tc>
          <w:tcPr>
            <w:tcW w:w="4315" w:type="pct"/>
            <w:gridSpan w:val="3"/>
            <w:vAlign w:val="center"/>
          </w:tcPr>
          <w:p w14:paraId="47758270">
            <w:pPr>
              <w:pStyle w:val="413"/>
              <w:jc w:val="left"/>
              <w:rPr>
                <w:rFonts w:hint="eastAsia"/>
                <w:color w:val="auto"/>
                <w:sz w:val="24"/>
                <w:szCs w:val="24"/>
              </w:rPr>
            </w:pPr>
            <w:r>
              <w:rPr>
                <w:rFonts w:hint="eastAsia"/>
                <w:color w:val="auto"/>
                <w:sz w:val="24"/>
                <w:szCs w:val="24"/>
              </w:rPr>
              <w:t>1、总体规划环评名称：《安徽省江南产业集中区总体规划环境影响报告书》</w:t>
            </w:r>
          </w:p>
          <w:p w14:paraId="5C177075">
            <w:pPr>
              <w:pStyle w:val="413"/>
              <w:jc w:val="left"/>
              <w:rPr>
                <w:rFonts w:hint="eastAsia"/>
                <w:color w:val="auto"/>
                <w:sz w:val="24"/>
                <w:szCs w:val="24"/>
              </w:rPr>
            </w:pPr>
            <w:r>
              <w:rPr>
                <w:rFonts w:hint="eastAsia"/>
                <w:color w:val="auto"/>
                <w:sz w:val="24"/>
                <w:szCs w:val="24"/>
              </w:rPr>
              <w:t>审查机关：原安徽省环境保护厅</w:t>
            </w:r>
          </w:p>
          <w:p w14:paraId="30C3B979">
            <w:pPr>
              <w:pStyle w:val="413"/>
              <w:jc w:val="left"/>
              <w:rPr>
                <w:rFonts w:hint="eastAsia"/>
                <w:color w:val="auto"/>
                <w:sz w:val="24"/>
                <w:szCs w:val="24"/>
              </w:rPr>
            </w:pPr>
            <w:r>
              <w:rPr>
                <w:rFonts w:hint="eastAsia"/>
                <w:color w:val="auto"/>
                <w:sz w:val="24"/>
                <w:szCs w:val="24"/>
              </w:rPr>
              <w:t>审批文件名称及文号：《关于安徽省江南产业集中区总体规划环境影响报告书审查意见的函》，皖环函〔2018〕374号</w:t>
            </w:r>
          </w:p>
          <w:p w14:paraId="3B7BAFF1">
            <w:pPr>
              <w:pStyle w:val="413"/>
              <w:jc w:val="left"/>
              <w:rPr>
                <w:rFonts w:hint="eastAsia"/>
                <w:color w:val="auto"/>
                <w:sz w:val="24"/>
                <w:szCs w:val="24"/>
              </w:rPr>
            </w:pPr>
            <w:r>
              <w:rPr>
                <w:rFonts w:hint="eastAsia"/>
                <w:color w:val="auto"/>
                <w:sz w:val="24"/>
                <w:szCs w:val="24"/>
              </w:rPr>
              <w:t>2、产业发展规划环评名称：《安徽省江南产业集中区产业发展规划（2019-2030年）环境影响报告书》</w:t>
            </w:r>
          </w:p>
          <w:p w14:paraId="790AD3EB">
            <w:pPr>
              <w:pStyle w:val="413"/>
              <w:jc w:val="left"/>
              <w:rPr>
                <w:rFonts w:hint="eastAsia"/>
                <w:color w:val="auto"/>
                <w:sz w:val="24"/>
                <w:szCs w:val="24"/>
              </w:rPr>
            </w:pPr>
            <w:r>
              <w:rPr>
                <w:rFonts w:hint="eastAsia"/>
                <w:color w:val="auto"/>
                <w:sz w:val="24"/>
                <w:szCs w:val="24"/>
              </w:rPr>
              <w:t>审查机关：安徽省生态环境厅</w:t>
            </w:r>
          </w:p>
          <w:p w14:paraId="46A63F11">
            <w:pPr>
              <w:pStyle w:val="413"/>
              <w:jc w:val="left"/>
              <w:rPr>
                <w:color w:val="auto"/>
                <w:sz w:val="21"/>
              </w:rPr>
            </w:pPr>
            <w:r>
              <w:rPr>
                <w:rFonts w:hint="eastAsia"/>
                <w:color w:val="auto"/>
                <w:sz w:val="24"/>
                <w:szCs w:val="24"/>
              </w:rPr>
              <w:t>审批文件名称及文号：关于印发《安徽省江南产业集中区产业发展规划（2019-2030 年）环境影响报告书审查意见》的函，皖环函〔2020〕107号</w:t>
            </w:r>
          </w:p>
        </w:tc>
      </w:tr>
      <w:tr w14:paraId="2FC5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84" w:type="pct"/>
            <w:vAlign w:val="center"/>
          </w:tcPr>
          <w:p w14:paraId="32F882EB">
            <w:pPr>
              <w:pStyle w:val="413"/>
              <w:rPr>
                <w:color w:val="auto"/>
                <w:sz w:val="21"/>
              </w:rPr>
            </w:pPr>
            <w:r>
              <w:rPr>
                <w:rFonts w:hint="eastAsia"/>
                <w:color w:val="auto"/>
                <w:sz w:val="24"/>
                <w:szCs w:val="24"/>
              </w:rPr>
              <w:t>规划及规划环境影响评价符合性分析</w:t>
            </w:r>
          </w:p>
        </w:tc>
        <w:tc>
          <w:tcPr>
            <w:tcW w:w="4315" w:type="pct"/>
            <w:gridSpan w:val="3"/>
            <w:vAlign w:val="center"/>
          </w:tcPr>
          <w:p w14:paraId="5FCDD557">
            <w:pPr>
              <w:rPr>
                <w:b/>
                <w:bCs/>
                <w:color w:val="auto"/>
              </w:rPr>
            </w:pPr>
            <w:r>
              <w:rPr>
                <w:rFonts w:hint="eastAsia"/>
                <w:b/>
                <w:bCs/>
                <w:color w:val="auto"/>
              </w:rPr>
              <w:t>1、与《安徽省江南产业集中区总体规划》的符合性分析</w:t>
            </w:r>
          </w:p>
          <w:p w14:paraId="37B56A1C">
            <w:pPr>
              <w:ind w:firstLine="480" w:firstLineChars="200"/>
              <w:rPr>
                <w:rFonts w:hint="eastAsia"/>
                <w:color w:val="auto"/>
              </w:rPr>
            </w:pPr>
            <w:r>
              <w:rPr>
                <w:rFonts w:hint="eastAsia"/>
                <w:color w:val="auto"/>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主导产业包括电子信息产业、高端装备制造和新材料三大主导产业。其中高端装备制造业主要大力发展汽车及关键零部件产业、先进成套装备及通用基础装备制造业、高端专用装备制造业等。</w:t>
            </w:r>
          </w:p>
          <w:p w14:paraId="31225D02">
            <w:pPr>
              <w:ind w:firstLine="480" w:firstLineChars="200"/>
              <w:rPr>
                <w:color w:val="auto"/>
              </w:rPr>
            </w:pPr>
            <w:r>
              <w:rPr>
                <w:rFonts w:hint="eastAsia"/>
                <w:color w:val="auto"/>
              </w:rPr>
              <w:t>综上所述，本项目主要生产高端工业铝材浇铸件，</w:t>
            </w:r>
            <w:r>
              <w:rPr>
                <w:rFonts w:hint="eastAsia"/>
                <w:color w:val="auto"/>
                <w:lang w:val="en-US" w:eastAsia="zh-CN"/>
              </w:rPr>
              <w:t>产品应用于汽车零部件，</w:t>
            </w:r>
            <w:r>
              <w:rPr>
                <w:rFonts w:hint="eastAsia"/>
                <w:color w:val="auto"/>
              </w:rPr>
              <w:t>属于主导产业高端装备制造业</w:t>
            </w:r>
            <w:r>
              <w:rPr>
                <w:rFonts w:hint="eastAsia"/>
                <w:color w:val="auto"/>
                <w:lang w:eastAsia="zh-CN"/>
              </w:rPr>
              <w:t>，</w:t>
            </w:r>
            <w:r>
              <w:rPr>
                <w:rFonts w:hint="eastAsia"/>
                <w:color w:val="auto"/>
                <w:lang w:val="en-US" w:eastAsia="zh-CN"/>
              </w:rPr>
              <w:t>与</w:t>
            </w:r>
            <w:r>
              <w:rPr>
                <w:rFonts w:hint="eastAsia"/>
                <w:color w:val="auto"/>
              </w:rPr>
              <w:t>主要大力发展汽车及关键零部件产业</w:t>
            </w:r>
            <w:r>
              <w:rPr>
                <w:rFonts w:hint="eastAsia"/>
                <w:color w:val="auto"/>
                <w:lang w:val="en-US" w:eastAsia="zh-CN"/>
              </w:rPr>
              <w:t>相符合</w:t>
            </w:r>
            <w:r>
              <w:rPr>
                <w:rFonts w:hint="eastAsia"/>
                <w:color w:val="auto"/>
              </w:rPr>
              <w:t>。</w:t>
            </w:r>
            <w:r>
              <w:rPr>
                <w:rFonts w:hint="default" w:ascii="Times New Roman" w:hAnsi="Times New Roman" w:eastAsia="宋体" w:cs="Times New Roman"/>
                <w:b w:val="0"/>
                <w:bCs w:val="0"/>
                <w:color w:val="auto"/>
              </w:rPr>
              <w:t>且根据《皖江江南新兴产业集中区国土空间规划</w:t>
            </w:r>
            <w:r>
              <w:rPr>
                <w:rFonts w:hint="eastAsia" w:ascii="Times New Roman" w:hAnsi="Times New Roman" w:eastAsia="宋体" w:cs="Times New Roman"/>
                <w:b w:val="0"/>
                <w:bCs w:val="0"/>
                <w:color w:val="auto"/>
                <w:lang w:eastAsia="zh-CN"/>
              </w:rPr>
              <w:t>（</w:t>
            </w:r>
            <w:r>
              <w:rPr>
                <w:rFonts w:hint="default" w:ascii="Times New Roman" w:hAnsi="Times New Roman" w:eastAsia="宋体" w:cs="Times New Roman"/>
                <w:b w:val="0"/>
                <w:bCs w:val="0"/>
                <w:color w:val="auto"/>
              </w:rPr>
              <w:t>2021-2035年</w:t>
            </w:r>
            <w:r>
              <w:rPr>
                <w:rFonts w:hint="eastAsia" w:ascii="Times New Roman" w:hAnsi="Times New Roman" w:eastAsia="宋体" w:cs="Times New Roman"/>
                <w:b w:val="0"/>
                <w:bCs w:val="0"/>
                <w:color w:val="auto"/>
                <w:lang w:eastAsia="zh-CN"/>
              </w:rPr>
              <w:t>）</w:t>
            </w:r>
            <w:r>
              <w:rPr>
                <w:rFonts w:hint="default" w:ascii="Times New Roman" w:hAnsi="Times New Roman" w:eastAsia="宋体" w:cs="Times New Roman"/>
                <w:b w:val="0"/>
                <w:bCs w:val="0"/>
                <w:color w:val="auto"/>
              </w:rPr>
              <w:t>》中规划用地布局图可知，项目属于工业用地，具体见</w:t>
            </w:r>
            <w:r>
              <w:rPr>
                <w:rFonts w:hint="eastAsia" w:ascii="Times New Roman" w:hAnsi="Times New Roman" w:eastAsia="宋体" w:cs="Times New Roman"/>
                <w:b w:val="0"/>
                <w:bCs w:val="0"/>
                <w:color w:val="auto"/>
                <w:lang w:eastAsia="zh-CN"/>
              </w:rPr>
              <w:t>附图</w:t>
            </w:r>
            <w:r>
              <w:rPr>
                <w:rFonts w:hint="eastAsia" w:ascii="Times New Roman" w:hAnsi="Times New Roman" w:eastAsia="宋体" w:cs="Times New Roman"/>
                <w:b w:val="0"/>
                <w:bCs w:val="0"/>
                <w:color w:val="auto"/>
                <w:lang w:val="en-US" w:eastAsia="zh-CN"/>
              </w:rPr>
              <w:t>2</w:t>
            </w:r>
            <w:r>
              <w:rPr>
                <w:rFonts w:hint="default" w:ascii="Times New Roman" w:hAnsi="Times New Roman" w:eastAsia="宋体" w:cs="Times New Roman"/>
                <w:b w:val="0"/>
                <w:bCs w:val="0"/>
                <w:color w:val="auto"/>
              </w:rPr>
              <w:t>。</w:t>
            </w:r>
            <w:r>
              <w:rPr>
                <w:rFonts w:hint="eastAsia"/>
                <w:color w:val="auto"/>
              </w:rPr>
              <w:t>故本项目与《安徽省江南产业集中区总体规划》相符。</w:t>
            </w:r>
          </w:p>
          <w:p w14:paraId="498791D4">
            <w:pPr>
              <w:rPr>
                <w:rFonts w:hint="eastAsia"/>
                <w:b/>
                <w:bCs/>
                <w:color w:val="auto"/>
              </w:rPr>
            </w:pPr>
            <w:r>
              <w:rPr>
                <w:rFonts w:hint="eastAsia"/>
                <w:b/>
                <w:bCs/>
                <w:color w:val="auto"/>
                <w:lang w:val="en-US" w:eastAsia="zh-CN"/>
              </w:rPr>
              <w:t>2、与</w:t>
            </w:r>
            <w:r>
              <w:rPr>
                <w:rFonts w:hint="eastAsia"/>
                <w:b/>
                <w:bCs/>
                <w:color w:val="auto"/>
              </w:rPr>
              <w:t>《安徽省江南产业集中区总体规划</w:t>
            </w:r>
            <w:r>
              <w:rPr>
                <w:rFonts w:hint="eastAsia"/>
                <w:b/>
                <w:bCs/>
                <w:color w:val="auto"/>
                <w:lang w:val="en-US" w:eastAsia="zh-CN"/>
              </w:rPr>
              <w:t>环境影响报告书</w:t>
            </w:r>
            <w:r>
              <w:rPr>
                <w:rFonts w:hint="eastAsia"/>
                <w:b/>
                <w:bCs/>
                <w:color w:val="auto"/>
              </w:rPr>
              <w:t>》审查意见相符性分析</w:t>
            </w:r>
          </w:p>
          <w:p w14:paraId="28897DD7">
            <w:pPr>
              <w:ind w:firstLine="480" w:firstLineChars="200"/>
              <w:rPr>
                <w:color w:val="auto"/>
              </w:rPr>
            </w:pPr>
            <w:r>
              <w:rPr>
                <w:rFonts w:hint="eastAsia"/>
                <w:color w:val="auto"/>
              </w:rPr>
              <w:t>2018年3月27日，</w:t>
            </w:r>
            <w:r>
              <w:rPr>
                <w:rFonts w:hint="eastAsia"/>
                <w:color w:val="auto"/>
                <w:lang w:val="en-US" w:eastAsia="zh-CN"/>
              </w:rPr>
              <w:t>原</w:t>
            </w:r>
            <w:r>
              <w:rPr>
                <w:rFonts w:hint="eastAsia"/>
                <w:color w:val="auto"/>
              </w:rPr>
              <w:t>安徽省环境保护厅对《安徽省江南产业集中区总体规划环境影响报告书》（皖环函[2018]374号）出具了审查意见。本项目与江南产业集中区规划环评审查意见的符合性</w:t>
            </w:r>
            <w:r>
              <w:rPr>
                <w:color w:val="auto"/>
              </w:rPr>
              <w:t>如下表所示。</w:t>
            </w:r>
          </w:p>
          <w:p w14:paraId="4465953B">
            <w:pPr>
              <w:jc w:val="center"/>
              <w:rPr>
                <w:rFonts w:eastAsia="黑体"/>
                <w:color w:val="auto"/>
              </w:rPr>
            </w:pPr>
            <w:r>
              <w:rPr>
                <w:rFonts w:eastAsia="黑体"/>
                <w:color w:val="auto"/>
              </w:rPr>
              <w:t>表1-</w:t>
            </w:r>
            <w:r>
              <w:rPr>
                <w:rFonts w:hint="eastAsia" w:eastAsia="黑体"/>
                <w:color w:val="auto"/>
                <w:lang w:val="en-US" w:eastAsia="zh-CN"/>
              </w:rPr>
              <w:t>2</w:t>
            </w:r>
            <w:r>
              <w:rPr>
                <w:rFonts w:eastAsia="黑体"/>
                <w:color w:val="auto"/>
              </w:rPr>
              <w:t xml:space="preserve">  项目与</w:t>
            </w:r>
            <w:r>
              <w:rPr>
                <w:rFonts w:hint="eastAsia" w:eastAsia="黑体"/>
                <w:color w:val="auto"/>
              </w:rPr>
              <w:t>（皖环函[2018]374号）</w:t>
            </w:r>
            <w:r>
              <w:rPr>
                <w:rFonts w:eastAsia="黑体"/>
                <w:color w:val="auto"/>
              </w:rPr>
              <w:t>符合性分析</w:t>
            </w:r>
          </w:p>
          <w:tbl>
            <w:tblPr>
              <w:tblStyle w:val="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4195"/>
              <w:gridCol w:w="2578"/>
              <w:gridCol w:w="714"/>
            </w:tblGrid>
            <w:tr w14:paraId="3456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5" w:type="pct"/>
                  <w:vAlign w:val="center"/>
                </w:tcPr>
                <w:p w14:paraId="434FA3E5">
                  <w:pPr>
                    <w:pStyle w:val="906"/>
                    <w:spacing w:line="240" w:lineRule="auto"/>
                    <w:rPr>
                      <w:rFonts w:hint="eastAsia" w:eastAsia="宋体"/>
                      <w:color w:val="auto"/>
                      <w:lang w:eastAsia="zh-CN"/>
                    </w:rPr>
                  </w:pPr>
                  <w:r>
                    <w:rPr>
                      <w:rFonts w:hint="eastAsia"/>
                      <w:color w:val="auto"/>
                      <w:lang w:val="en-US" w:eastAsia="zh-CN"/>
                    </w:rPr>
                    <w:t>序号</w:t>
                  </w:r>
                </w:p>
              </w:tc>
              <w:tc>
                <w:tcPr>
                  <w:tcW w:w="2512" w:type="pct"/>
                  <w:vAlign w:val="center"/>
                </w:tcPr>
                <w:p w14:paraId="27612763">
                  <w:pPr>
                    <w:pStyle w:val="906"/>
                    <w:spacing w:line="240" w:lineRule="auto"/>
                    <w:rPr>
                      <w:color w:val="auto"/>
                    </w:rPr>
                  </w:pPr>
                  <w:r>
                    <w:rPr>
                      <w:color w:val="auto"/>
                    </w:rPr>
                    <w:t>规划环评</w:t>
                  </w:r>
                  <w:r>
                    <w:rPr>
                      <w:rFonts w:hint="eastAsia"/>
                      <w:color w:val="auto"/>
                      <w:lang w:val="en-US" w:eastAsia="zh-CN"/>
                    </w:rPr>
                    <w:t>审查</w:t>
                  </w:r>
                  <w:r>
                    <w:rPr>
                      <w:color w:val="auto"/>
                    </w:rPr>
                    <w:t>意见相关要求</w:t>
                  </w:r>
                </w:p>
              </w:tc>
              <w:tc>
                <w:tcPr>
                  <w:tcW w:w="1544" w:type="pct"/>
                  <w:vAlign w:val="center"/>
                </w:tcPr>
                <w:p w14:paraId="234B1874">
                  <w:pPr>
                    <w:pStyle w:val="906"/>
                    <w:spacing w:line="240" w:lineRule="auto"/>
                    <w:rPr>
                      <w:color w:val="auto"/>
                    </w:rPr>
                  </w:pPr>
                  <w:r>
                    <w:rPr>
                      <w:color w:val="auto"/>
                    </w:rPr>
                    <w:t>本项目情况</w:t>
                  </w:r>
                </w:p>
              </w:tc>
              <w:tc>
                <w:tcPr>
                  <w:tcW w:w="427" w:type="pct"/>
                  <w:vAlign w:val="center"/>
                </w:tcPr>
                <w:p w14:paraId="3B69FEC0">
                  <w:pPr>
                    <w:pStyle w:val="906"/>
                    <w:spacing w:line="240" w:lineRule="auto"/>
                    <w:rPr>
                      <w:color w:val="auto"/>
                    </w:rPr>
                  </w:pPr>
                  <w:r>
                    <w:rPr>
                      <w:color w:val="auto"/>
                    </w:rPr>
                    <w:t>符合性分析</w:t>
                  </w:r>
                </w:p>
              </w:tc>
            </w:tr>
            <w:tr w14:paraId="28ED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5" w:type="pct"/>
                  <w:vAlign w:val="center"/>
                </w:tcPr>
                <w:p w14:paraId="62CA0153">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p>
              </w:tc>
              <w:tc>
                <w:tcPr>
                  <w:tcW w:w="2512" w:type="pct"/>
                  <w:vAlign w:val="center"/>
                </w:tcPr>
                <w:p w14:paraId="2F12F0AC">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一）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544" w:type="pct"/>
                  <w:vAlign w:val="center"/>
                </w:tcPr>
                <w:p w14:paraId="27794C86">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铜陵淡水豚国家级自然保护区、安徽贵池十八索省级自然保护区等重点环境敏感目标不属于本项目评价范围内。</w:t>
                  </w:r>
                </w:p>
              </w:tc>
              <w:tc>
                <w:tcPr>
                  <w:tcW w:w="427" w:type="pct"/>
                  <w:vAlign w:val="center"/>
                </w:tcPr>
                <w:p w14:paraId="4762C30B">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eastAsia="zh-CN"/>
                    </w:rPr>
                    <w:t>符合</w:t>
                  </w:r>
                </w:p>
              </w:tc>
            </w:tr>
            <w:tr w14:paraId="7380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5" w:type="pct"/>
                  <w:vAlign w:val="center"/>
                </w:tcPr>
                <w:p w14:paraId="36C538FC">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w:t>
                  </w:r>
                </w:p>
              </w:tc>
              <w:tc>
                <w:tcPr>
                  <w:tcW w:w="2512" w:type="pct"/>
                  <w:vAlign w:val="center"/>
                </w:tcPr>
                <w:p w14:paraId="3B89B87B">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（二）</w:t>
                  </w:r>
                  <w:r>
                    <w:rPr>
                      <w:rFonts w:hint="default" w:ascii="Times New Roman" w:hAnsi="Times New Roman" w:eastAsia="宋体" w:cs="Times New Roman"/>
                      <w:color w:val="auto"/>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防护问题，确保自然保护区和居民区生态环境质量不降低。</w:t>
                  </w:r>
                </w:p>
              </w:tc>
              <w:tc>
                <w:tcPr>
                  <w:tcW w:w="1544" w:type="pct"/>
                  <w:vAlign w:val="center"/>
                </w:tcPr>
                <w:p w14:paraId="4C6FFCA0">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本项目拟选址于安徽省池州市皖江江南新兴产业集中区</w:t>
                  </w:r>
                  <w:r>
                    <w:rPr>
                      <w:rFonts w:hint="eastAsia" w:ascii="Times New Roman" w:hAnsi="Times New Roman" w:eastAsia="宋体" w:cs="Times New Roman"/>
                      <w:color w:val="auto"/>
                      <w:lang w:val="en-US" w:eastAsia="zh-CN"/>
                    </w:rPr>
                    <w:t>安安产业园7#</w:t>
                  </w:r>
                  <w:r>
                    <w:rPr>
                      <w:rFonts w:hint="default" w:ascii="Times New Roman" w:hAnsi="Times New Roman" w:eastAsia="宋体" w:cs="Times New Roman"/>
                      <w:color w:val="auto"/>
                      <w:lang w:val="en-US" w:eastAsia="zh-CN"/>
                    </w:rPr>
                    <w:t>厂房，用地性质为工业用地</w:t>
                  </w:r>
                  <w:r>
                    <w:rPr>
                      <w:rFonts w:hint="eastAsia" w:ascii="Times New Roman" w:hAnsi="Times New Roman" w:eastAsia="宋体" w:cs="Times New Roman"/>
                      <w:color w:val="auto"/>
                      <w:lang w:val="en-US" w:eastAsia="zh-CN"/>
                    </w:rPr>
                    <w:t>，用地范围内无自然保护区和居住区。</w:t>
                  </w:r>
                </w:p>
              </w:tc>
              <w:tc>
                <w:tcPr>
                  <w:tcW w:w="427" w:type="pct"/>
                  <w:vAlign w:val="center"/>
                </w:tcPr>
                <w:p w14:paraId="755126A2">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eastAsia="zh-CN"/>
                    </w:rPr>
                    <w:t>符合</w:t>
                  </w:r>
                </w:p>
              </w:tc>
            </w:tr>
            <w:tr w14:paraId="2B7DA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jc w:val="center"/>
              </w:trPr>
              <w:tc>
                <w:tcPr>
                  <w:tcW w:w="515" w:type="pct"/>
                  <w:vAlign w:val="center"/>
                </w:tcPr>
                <w:p w14:paraId="24E3AF8E">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w:t>
                  </w:r>
                </w:p>
              </w:tc>
              <w:tc>
                <w:tcPr>
                  <w:tcW w:w="2512" w:type="pct"/>
                  <w:vAlign w:val="center"/>
                </w:tcPr>
                <w:p w14:paraId="3424E678">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（三）要坚决落实关于“共抓大保护，不搞大开发”的要求，在规划确定的集中区产业定位总体框架下，充分考虑与区域产业布局的互补，进一步优化发展重点，最大限度控制集中区污染物排放量和排放强度。</w:t>
                  </w:r>
                </w:p>
              </w:tc>
              <w:tc>
                <w:tcPr>
                  <w:tcW w:w="1544" w:type="pct"/>
                  <w:vAlign w:val="center"/>
                </w:tcPr>
                <w:p w14:paraId="3262FD03">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本项目拟选址于安徽省池州市皖江江南新兴产业集中区</w:t>
                  </w:r>
                  <w:r>
                    <w:rPr>
                      <w:rFonts w:hint="eastAsia" w:ascii="Times New Roman" w:hAnsi="Times New Roman" w:eastAsia="宋体" w:cs="Times New Roman"/>
                      <w:color w:val="auto"/>
                      <w:lang w:val="en-US" w:eastAsia="zh-CN"/>
                    </w:rPr>
                    <w:t>安安产业园7#</w:t>
                  </w:r>
                  <w:r>
                    <w:rPr>
                      <w:rFonts w:hint="default" w:ascii="Times New Roman" w:hAnsi="Times New Roman" w:eastAsia="宋体" w:cs="Times New Roman"/>
                      <w:color w:val="auto"/>
                      <w:lang w:val="en-US" w:eastAsia="zh-CN"/>
                    </w:rPr>
                    <w:t>厂房，符合园区产业规划，</w:t>
                  </w:r>
                  <w:r>
                    <w:rPr>
                      <w:rFonts w:hint="eastAsia" w:cs="Times New Roman"/>
                      <w:color w:val="auto"/>
                      <w:lang w:val="en-US" w:eastAsia="zh-CN"/>
                    </w:rPr>
                    <w:t>本项目熔化、浇铸、扒渣产生的废气经布袋除尘装置</w:t>
                  </w:r>
                  <w:r>
                    <w:rPr>
                      <w:rFonts w:hint="default" w:ascii="Times New Roman" w:hAnsi="Times New Roman" w:eastAsia="宋体" w:cs="Times New Roman"/>
                      <w:color w:val="auto"/>
                      <w:lang w:val="en-US" w:eastAsia="zh-CN"/>
                    </w:rPr>
                    <w:t>可达标排放</w:t>
                  </w:r>
                  <w:r>
                    <w:rPr>
                      <w:rFonts w:hint="eastAsia" w:cs="Times New Roman"/>
                      <w:color w:val="auto"/>
                      <w:lang w:val="en-US" w:eastAsia="zh-CN"/>
                    </w:rPr>
                    <w:t>，</w:t>
                  </w:r>
                  <w:r>
                    <w:rPr>
                      <w:rFonts w:hint="default" w:ascii="Times New Roman" w:hAnsi="Times New Roman" w:eastAsia="宋体" w:cs="Times New Roman"/>
                      <w:color w:val="auto"/>
                      <w:lang w:eastAsia="zh-CN"/>
                    </w:rPr>
                    <w:t>生活污水</w:t>
                  </w:r>
                  <w:r>
                    <w:rPr>
                      <w:rFonts w:hint="eastAsia" w:ascii="Times New Roman" w:hAnsi="Times New Roman" w:eastAsia="宋体" w:cs="Times New Roman"/>
                      <w:color w:val="auto"/>
                      <w:lang w:val="en-US" w:eastAsia="zh-CN"/>
                    </w:rPr>
                    <w:t>经</w:t>
                  </w:r>
                  <w:r>
                    <w:rPr>
                      <w:rFonts w:hint="eastAsia" w:cs="Times New Roman"/>
                      <w:color w:val="auto"/>
                      <w:lang w:val="en-US" w:eastAsia="zh-CN"/>
                    </w:rPr>
                    <w:t>化粪池隔油池处理</w:t>
                  </w:r>
                  <w:r>
                    <w:rPr>
                      <w:rFonts w:hint="eastAsia" w:ascii="Times New Roman" w:hAnsi="Times New Roman" w:eastAsia="宋体" w:cs="Times New Roman"/>
                      <w:color w:val="auto"/>
                      <w:lang w:val="en-US" w:eastAsia="zh-CN"/>
                    </w:rPr>
                    <w:t>后</w:t>
                  </w:r>
                  <w:r>
                    <w:rPr>
                      <w:rFonts w:hint="default" w:ascii="Times New Roman" w:hAnsi="Times New Roman" w:eastAsia="宋体" w:cs="Times New Roman"/>
                      <w:color w:val="auto"/>
                      <w:lang w:eastAsia="zh-CN"/>
                    </w:rPr>
                    <w:t>排入皖江江南新兴产业集中区第一污水处理厂处理</w:t>
                  </w:r>
                  <w:r>
                    <w:rPr>
                      <w:rFonts w:hint="default" w:ascii="Times New Roman" w:hAnsi="Times New Roman" w:eastAsia="宋体" w:cs="Times New Roman"/>
                      <w:color w:val="auto"/>
                      <w:lang w:val="en-US" w:eastAsia="zh-CN"/>
                    </w:rPr>
                    <w:t>。</w:t>
                  </w:r>
                </w:p>
              </w:tc>
              <w:tc>
                <w:tcPr>
                  <w:tcW w:w="427" w:type="pct"/>
                  <w:vAlign w:val="center"/>
                </w:tcPr>
                <w:p w14:paraId="0FB05FA1">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eastAsia="zh-CN"/>
                    </w:rPr>
                    <w:t>符合</w:t>
                  </w:r>
                </w:p>
              </w:tc>
            </w:tr>
            <w:tr w14:paraId="0BBB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5" w:type="pct"/>
                  <w:vAlign w:val="center"/>
                </w:tcPr>
                <w:p w14:paraId="7DD65173">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w:t>
                  </w:r>
                </w:p>
              </w:tc>
              <w:tc>
                <w:tcPr>
                  <w:tcW w:w="2512" w:type="pct"/>
                  <w:vAlign w:val="center"/>
                </w:tcPr>
                <w:p w14:paraId="6ACD5426">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（四）</w:t>
                  </w:r>
                  <w:r>
                    <w:rPr>
                      <w:rFonts w:hint="default" w:ascii="Times New Roman" w:hAnsi="Times New Roman" w:eastAsia="宋体" w:cs="Times New Roman"/>
                      <w:color w:val="auto"/>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总量控制，切实提高水资源利用率。集中区开发应同步建设完善污水收水管网，确保集中区内污水全收集、全处理，充分考虑中水回用等节水措施，确保集中区建设不降低区域地表水环境质量和水体功能。</w:t>
                  </w:r>
                </w:p>
              </w:tc>
              <w:tc>
                <w:tcPr>
                  <w:tcW w:w="1544" w:type="pct"/>
                  <w:vAlign w:val="center"/>
                </w:tcPr>
                <w:p w14:paraId="152BA574">
                  <w:pPr>
                    <w:pStyle w:val="906"/>
                    <w:spacing w:line="240" w:lineRule="auto"/>
                    <w:rPr>
                      <w:rFonts w:hint="eastAsia"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本项目实施</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雨污分流</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措施，</w:t>
                  </w:r>
                  <w:r>
                    <w:rPr>
                      <w:rFonts w:hint="default" w:ascii="Times New Roman" w:hAnsi="Times New Roman" w:eastAsia="宋体" w:cs="Times New Roman"/>
                      <w:color w:val="auto"/>
                      <w:lang w:eastAsia="zh-CN"/>
                    </w:rPr>
                    <w:t>生活污水</w:t>
                  </w:r>
                  <w:r>
                    <w:rPr>
                      <w:rFonts w:hint="eastAsia" w:ascii="Times New Roman" w:hAnsi="Times New Roman" w:eastAsia="宋体" w:cs="Times New Roman"/>
                      <w:color w:val="auto"/>
                      <w:lang w:val="en-US" w:eastAsia="zh-CN"/>
                    </w:rPr>
                    <w:t>经</w:t>
                  </w:r>
                  <w:r>
                    <w:rPr>
                      <w:rFonts w:hint="eastAsia" w:cs="Times New Roman"/>
                      <w:color w:val="auto"/>
                      <w:lang w:val="en-US" w:eastAsia="zh-CN"/>
                    </w:rPr>
                    <w:t>化粪池隔油池处理</w:t>
                  </w:r>
                  <w:r>
                    <w:rPr>
                      <w:rFonts w:hint="eastAsia" w:ascii="Times New Roman" w:hAnsi="Times New Roman" w:eastAsia="宋体" w:cs="Times New Roman"/>
                      <w:color w:val="auto"/>
                      <w:lang w:val="en-US" w:eastAsia="zh-CN"/>
                    </w:rPr>
                    <w:t>后</w:t>
                  </w:r>
                  <w:r>
                    <w:rPr>
                      <w:rFonts w:hint="default" w:ascii="Times New Roman" w:hAnsi="Times New Roman" w:eastAsia="宋体" w:cs="Times New Roman"/>
                      <w:color w:val="auto"/>
                      <w:lang w:eastAsia="zh-CN"/>
                    </w:rPr>
                    <w:t>排入</w:t>
                  </w:r>
                  <w:r>
                    <w:rPr>
                      <w:rFonts w:hint="eastAsia" w:ascii="Times New Roman" w:hAnsi="Times New Roman" w:eastAsia="宋体" w:cs="Times New Roman"/>
                      <w:color w:val="auto"/>
                      <w:lang w:val="en-US" w:eastAsia="zh-CN"/>
                    </w:rPr>
                    <w:t>园区配套</w:t>
                  </w:r>
                  <w:r>
                    <w:rPr>
                      <w:rFonts w:hint="default" w:ascii="Times New Roman" w:hAnsi="Times New Roman" w:eastAsia="宋体" w:cs="Times New Roman"/>
                      <w:color w:val="auto"/>
                      <w:lang w:eastAsia="zh-CN"/>
                    </w:rPr>
                    <w:t>市政管网进入皖江江南新兴产业集中区第一污水处理厂处理。</w:t>
                  </w:r>
                </w:p>
              </w:tc>
              <w:tc>
                <w:tcPr>
                  <w:tcW w:w="427" w:type="pct"/>
                  <w:vAlign w:val="center"/>
                </w:tcPr>
                <w:p w14:paraId="708E48C3">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eastAsia="zh-CN"/>
                    </w:rPr>
                    <w:t>符合</w:t>
                  </w:r>
                </w:p>
              </w:tc>
            </w:tr>
            <w:tr w14:paraId="5085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5" w:type="pct"/>
                  <w:vAlign w:val="center"/>
                </w:tcPr>
                <w:p w14:paraId="5A37451F">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w:t>
                  </w:r>
                </w:p>
              </w:tc>
              <w:tc>
                <w:tcPr>
                  <w:tcW w:w="2512" w:type="pct"/>
                  <w:vAlign w:val="center"/>
                </w:tcPr>
                <w:p w14:paraId="2AE13B5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五）加快集中区燃气、集中供气等清洁能源规划实施进度，全面落实《安徽省大气污染防治行动计划实施方案》各项要求。按规定落实各类固体废物的收集和处理处置，特别是危险废物的收集、暂存、转运、处置。</w:t>
                  </w:r>
                </w:p>
              </w:tc>
              <w:tc>
                <w:tcPr>
                  <w:tcW w:w="1544" w:type="pct"/>
                  <w:vAlign w:val="center"/>
                </w:tcPr>
                <w:p w14:paraId="0E8B891C">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本项目厂区已建成燃气管网，项目产生的</w:t>
                  </w:r>
                  <w:r>
                    <w:rPr>
                      <w:rFonts w:hint="eastAsia" w:cs="Times New Roman"/>
                      <w:color w:val="auto"/>
                      <w:lang w:val="en-US" w:eastAsia="zh-CN"/>
                    </w:rPr>
                    <w:t>一般固废经暂存后外售综合利用</w:t>
                  </w:r>
                  <w:r>
                    <w:rPr>
                      <w:rFonts w:hint="default" w:ascii="Times New Roman" w:hAnsi="Times New Roman" w:eastAsia="宋体" w:cs="Times New Roman"/>
                      <w:color w:val="auto"/>
                      <w:lang w:val="en-US" w:eastAsia="zh-CN"/>
                    </w:rPr>
                    <w:t>，产生的危险废物</w:t>
                  </w:r>
                  <w:r>
                    <w:rPr>
                      <w:rFonts w:hint="eastAsia" w:cs="Times New Roman"/>
                      <w:color w:val="auto"/>
                      <w:lang w:val="en-US" w:eastAsia="zh-CN"/>
                    </w:rPr>
                    <w:t>严格按照规范</w:t>
                  </w:r>
                  <w:r>
                    <w:rPr>
                      <w:rFonts w:hint="default" w:ascii="Times New Roman" w:hAnsi="Times New Roman" w:eastAsia="宋体" w:cs="Times New Roman"/>
                      <w:color w:val="auto"/>
                      <w:lang w:val="en-US" w:eastAsia="zh-CN"/>
                    </w:rPr>
                    <w:t>收集、暂存、转运、处置。</w:t>
                  </w:r>
                </w:p>
              </w:tc>
              <w:tc>
                <w:tcPr>
                  <w:tcW w:w="427" w:type="pct"/>
                  <w:vAlign w:val="center"/>
                </w:tcPr>
                <w:p w14:paraId="14BD0A0F">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eastAsia="zh-CN"/>
                    </w:rPr>
                    <w:t>符合</w:t>
                  </w:r>
                </w:p>
              </w:tc>
            </w:tr>
            <w:tr w14:paraId="322B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5" w:type="pct"/>
                  <w:vAlign w:val="center"/>
                </w:tcPr>
                <w:p w14:paraId="79175356">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6</w:t>
                  </w:r>
                </w:p>
              </w:tc>
              <w:tc>
                <w:tcPr>
                  <w:tcW w:w="2512" w:type="pct"/>
                  <w:vAlign w:val="center"/>
                </w:tcPr>
                <w:p w14:paraId="3BCE3AEE">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（六）</w:t>
                  </w:r>
                  <w:r>
                    <w:rPr>
                      <w:rFonts w:hint="default" w:ascii="Times New Roman" w:hAnsi="Times New Roman" w:eastAsia="宋体" w:cs="Times New Roman"/>
                      <w:color w:val="auto"/>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1544" w:type="pct"/>
                  <w:vAlign w:val="center"/>
                </w:tcPr>
                <w:p w14:paraId="436ADA54">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本次评价要求企业建立相应的环境风险防范措施和突发环境事件应急预案。</w:t>
                  </w:r>
                </w:p>
              </w:tc>
              <w:tc>
                <w:tcPr>
                  <w:tcW w:w="427" w:type="pct"/>
                  <w:vAlign w:val="center"/>
                </w:tcPr>
                <w:p w14:paraId="6FCD365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r w14:paraId="45FA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15" w:type="pct"/>
                  <w:vAlign w:val="center"/>
                </w:tcPr>
                <w:p w14:paraId="4B3F9CFF">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7</w:t>
                  </w:r>
                </w:p>
              </w:tc>
              <w:tc>
                <w:tcPr>
                  <w:tcW w:w="2512" w:type="pct"/>
                  <w:vAlign w:val="center"/>
                </w:tcPr>
                <w:p w14:paraId="7B1231A9">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（七）</w:t>
                  </w:r>
                  <w:r>
                    <w:rPr>
                      <w:rFonts w:hint="default" w:ascii="Times New Roman" w:hAnsi="Times New Roman" w:eastAsia="宋体" w:cs="Times New Roman"/>
                      <w:color w:val="auto"/>
                      <w:lang w:val="en-US" w:eastAsia="zh-CN"/>
                    </w:rPr>
                    <w:t>加强环境保护制度建设和管理。入区项目应严格执行环境影响评价制度和环保</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三同时</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制度；新增污染物排放总量，应严格按照污染物排放总量控制的要求执行</w:t>
                  </w:r>
                  <w:r>
                    <w:rPr>
                      <w:rFonts w:hint="eastAsia" w:ascii="Times New Roman" w:hAnsi="Times New Roman" w:eastAsia="宋体" w:cs="Times New Roman"/>
                      <w:color w:val="auto"/>
                      <w:lang w:val="en-US" w:eastAsia="zh-CN"/>
                    </w:rPr>
                    <w:t>。</w:t>
                  </w:r>
                </w:p>
              </w:tc>
              <w:tc>
                <w:tcPr>
                  <w:tcW w:w="1544" w:type="pct"/>
                  <w:vAlign w:val="center"/>
                </w:tcPr>
                <w:p w14:paraId="07FAB38C">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本项目严格执行环境影响评价制度和环保</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三同时</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制度</w:t>
                  </w:r>
                  <w:r>
                    <w:rPr>
                      <w:rFonts w:hint="eastAsia" w:ascii="Times New Roman" w:hAnsi="Times New Roman" w:eastAsia="宋体" w:cs="Times New Roman"/>
                      <w:color w:val="auto"/>
                      <w:lang w:val="en-US" w:eastAsia="zh-CN"/>
                    </w:rPr>
                    <w:t>。新增污染物排放总量严格按照污染物排放总量控制的要求执行</w:t>
                  </w:r>
                  <w:r>
                    <w:rPr>
                      <w:rFonts w:hint="default" w:ascii="Times New Roman" w:hAnsi="Times New Roman" w:eastAsia="宋体" w:cs="Times New Roman"/>
                      <w:color w:val="auto"/>
                      <w:lang w:val="en-US" w:eastAsia="zh-CN"/>
                    </w:rPr>
                    <w:t>。</w:t>
                  </w:r>
                </w:p>
              </w:tc>
              <w:tc>
                <w:tcPr>
                  <w:tcW w:w="427" w:type="pct"/>
                  <w:vAlign w:val="center"/>
                </w:tcPr>
                <w:p w14:paraId="389CC7BE">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eastAsia="zh-CN"/>
                    </w:rPr>
                    <w:t>符合</w:t>
                  </w:r>
                </w:p>
              </w:tc>
            </w:tr>
          </w:tbl>
          <w:p w14:paraId="37556E5A">
            <w:pPr>
              <w:ind w:firstLine="480" w:firstLineChars="200"/>
              <w:rPr>
                <w:rFonts w:hint="eastAsia"/>
                <w:color w:val="auto"/>
                <w:lang w:val="en-US" w:eastAsia="zh-CN"/>
              </w:rPr>
            </w:pPr>
            <w:r>
              <w:rPr>
                <w:rFonts w:hint="eastAsia"/>
                <w:color w:val="auto"/>
              </w:rPr>
              <w:t>综上所述，本项目符合《安徽省江南产业集中区总体规划环境影响报告书》（皖环函[2018]374号）</w:t>
            </w:r>
            <w:r>
              <w:rPr>
                <w:rFonts w:hint="eastAsia"/>
                <w:color w:val="auto"/>
                <w:lang w:val="en-US" w:eastAsia="zh-CN"/>
              </w:rPr>
              <w:t>及其审查意见</w:t>
            </w:r>
            <w:r>
              <w:rPr>
                <w:rFonts w:hint="eastAsia"/>
                <w:color w:val="auto"/>
              </w:rPr>
              <w:t>要求。</w:t>
            </w:r>
          </w:p>
          <w:p w14:paraId="22946F34">
            <w:pPr>
              <w:rPr>
                <w:b/>
                <w:bCs/>
                <w:color w:val="auto"/>
              </w:rPr>
            </w:pPr>
            <w:r>
              <w:rPr>
                <w:rFonts w:hint="eastAsia"/>
                <w:b/>
                <w:bCs/>
                <w:color w:val="auto"/>
              </w:rPr>
              <w:t>2、与《安徽省江南产业集中区产业发展规划（2019-2030）</w:t>
            </w:r>
            <w:r>
              <w:rPr>
                <w:rFonts w:hint="eastAsia"/>
                <w:b/>
                <w:bCs/>
                <w:color w:val="auto"/>
                <w:lang w:val="en-US" w:eastAsia="zh-CN"/>
              </w:rPr>
              <w:t>环境影响报告书</w:t>
            </w:r>
            <w:r>
              <w:rPr>
                <w:rFonts w:hint="eastAsia"/>
                <w:b/>
                <w:bCs/>
                <w:color w:val="auto"/>
              </w:rPr>
              <w:t>》及审查意见相符性分析</w:t>
            </w:r>
          </w:p>
          <w:p w14:paraId="7519C19D">
            <w:pPr>
              <w:ind w:firstLine="480" w:firstLineChars="200"/>
              <w:rPr>
                <w:rFonts w:hint="eastAsia"/>
                <w:color w:val="auto"/>
              </w:rPr>
            </w:pPr>
            <w:r>
              <w:rPr>
                <w:rFonts w:hint="eastAsia"/>
                <w:color w:val="auto"/>
              </w:rPr>
              <w:t>（1）规划范围</w:t>
            </w:r>
          </w:p>
          <w:p w14:paraId="321B8425">
            <w:pPr>
              <w:ind w:firstLine="480" w:firstLineChars="200"/>
              <w:rPr>
                <w:rFonts w:hint="eastAsia"/>
                <w:color w:val="auto"/>
              </w:rPr>
            </w:pPr>
            <w:r>
              <w:rPr>
                <w:rFonts w:hint="eastAsia"/>
                <w:color w:val="auto"/>
              </w:rPr>
              <w:t>安徽省江南产业集中区产业发展规划</w:t>
            </w:r>
            <w:r>
              <w:rPr>
                <w:rFonts w:hint="eastAsia"/>
                <w:color w:val="auto"/>
                <w:lang w:val="en-US" w:eastAsia="zh-CN"/>
              </w:rPr>
              <w:t>范围</w:t>
            </w:r>
            <w:r>
              <w:rPr>
                <w:rFonts w:hint="eastAsia"/>
                <w:color w:val="auto"/>
              </w:rPr>
              <w:t>：用地规模为36.50平方公里，不包括池州高新区管辖地块</w:t>
            </w:r>
            <w:r>
              <w:rPr>
                <w:rFonts w:hint="eastAsia"/>
                <w:color w:val="auto"/>
                <w:lang w:eastAsia="zh-CN"/>
              </w:rPr>
              <w:t>（</w:t>
            </w:r>
            <w:r>
              <w:rPr>
                <w:rFonts w:hint="eastAsia"/>
                <w:color w:val="auto"/>
              </w:rPr>
              <w:t>20平方公里</w:t>
            </w:r>
            <w:r>
              <w:rPr>
                <w:rFonts w:hint="eastAsia"/>
                <w:color w:val="auto"/>
                <w:lang w:eastAsia="zh-CN"/>
              </w:rPr>
              <w:t>）</w:t>
            </w:r>
            <w:r>
              <w:rPr>
                <w:rFonts w:hint="eastAsia"/>
                <w:color w:val="auto"/>
              </w:rPr>
              <w:t>范围。</w:t>
            </w:r>
          </w:p>
          <w:p w14:paraId="0084B67F">
            <w:pPr>
              <w:ind w:firstLine="480" w:firstLineChars="200"/>
              <w:rPr>
                <w:rFonts w:hint="eastAsia"/>
                <w:color w:val="auto"/>
              </w:rPr>
            </w:pPr>
            <w:r>
              <w:rPr>
                <w:rFonts w:hint="eastAsia"/>
                <w:color w:val="auto"/>
              </w:rPr>
              <w:t>（2）产业规划</w:t>
            </w:r>
          </w:p>
          <w:p w14:paraId="65F05C3A">
            <w:pPr>
              <w:ind w:firstLine="480" w:firstLineChars="200"/>
              <w:rPr>
                <w:rFonts w:hint="eastAsia"/>
                <w:color w:val="auto"/>
              </w:rPr>
            </w:pPr>
            <w:r>
              <w:rPr>
                <w:rFonts w:hint="eastAsia"/>
                <w:color w:val="auto"/>
              </w:rPr>
              <w:t>以</w:t>
            </w:r>
            <w:r>
              <w:rPr>
                <w:rFonts w:hint="eastAsia"/>
                <w:color w:val="auto"/>
                <w:lang w:val="en-US" w:eastAsia="zh-CN"/>
              </w:rPr>
              <w:t>机械</w:t>
            </w:r>
            <w:r>
              <w:rPr>
                <w:rFonts w:hint="eastAsia"/>
                <w:color w:val="auto"/>
              </w:rPr>
              <w:t>电子产业、新型材料产业和</w:t>
            </w:r>
            <w:r>
              <w:rPr>
                <w:rFonts w:hint="eastAsia"/>
                <w:color w:val="auto"/>
                <w:lang w:val="en-US" w:eastAsia="zh-CN"/>
              </w:rPr>
              <w:t>大健康产</w:t>
            </w:r>
            <w:r>
              <w:rPr>
                <w:rFonts w:hint="eastAsia"/>
                <w:color w:val="auto"/>
              </w:rPr>
              <w:t>业为三大主导产业。实现机械电子产业多元化发展、实现新型材料业绿色高质量发展、实现大健康产业稳步发展，整合江南产业集中区辅助企业资源，延伸产业链，围绕提高新型材料、机械电子本地化辅助率，不断提升汽车零部件的生产和辅助能力，形成了绿色建材、新型包装材料、电子和电工机械专用设备制造、食品加工、饲料加工、农副产品加工和塑料制品加工等二十多个辅助产业。</w:t>
            </w:r>
          </w:p>
          <w:p w14:paraId="7E9CF3D2">
            <w:pPr>
              <w:ind w:firstLine="480" w:firstLineChars="200"/>
              <w:rPr>
                <w:rFonts w:hint="eastAsia"/>
                <w:color w:val="auto"/>
              </w:rPr>
            </w:pPr>
            <w:r>
              <w:rPr>
                <w:rFonts w:hint="eastAsia"/>
                <w:color w:val="auto"/>
              </w:rPr>
              <w:t>（3）产业布局</w:t>
            </w:r>
          </w:p>
          <w:p w14:paraId="661D6DD3">
            <w:pPr>
              <w:ind w:firstLine="480" w:firstLineChars="200"/>
              <w:rPr>
                <w:rFonts w:hint="eastAsia"/>
                <w:color w:val="auto"/>
              </w:rPr>
            </w:pPr>
            <w:r>
              <w:rPr>
                <w:rFonts w:hint="eastAsia"/>
                <w:color w:val="auto"/>
              </w:rPr>
              <w:t>本次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w:t>
            </w:r>
          </w:p>
          <w:p w14:paraId="529259E7">
            <w:pPr>
              <w:ind w:firstLine="480" w:firstLineChars="200"/>
              <w:rPr>
                <w:rFonts w:hint="eastAsia"/>
                <w:color w:val="auto"/>
              </w:rPr>
            </w:pPr>
            <w:r>
              <w:rPr>
                <w:rFonts w:hint="eastAsia"/>
                <w:color w:val="auto"/>
              </w:rPr>
              <w:t>符合性分析：本项目位于安徽省池州市皖江江南新兴产业集中区</w:t>
            </w:r>
            <w:r>
              <w:rPr>
                <w:rFonts w:hint="eastAsia"/>
                <w:color w:val="auto"/>
                <w:lang w:val="en-US" w:eastAsia="zh-CN"/>
              </w:rPr>
              <w:t>安安</w:t>
            </w:r>
            <w:r>
              <w:rPr>
                <w:rFonts w:hint="eastAsia"/>
                <w:color w:val="auto"/>
              </w:rPr>
              <w:t>工业园</w:t>
            </w:r>
            <w:r>
              <w:rPr>
                <w:rFonts w:hint="eastAsia"/>
                <w:color w:val="auto"/>
                <w:lang w:val="en-US" w:eastAsia="zh-CN"/>
              </w:rPr>
              <w:t>7#</w:t>
            </w:r>
            <w:r>
              <w:rPr>
                <w:rFonts w:hint="eastAsia"/>
                <w:color w:val="auto"/>
              </w:rPr>
              <w:t>厂房</w:t>
            </w:r>
            <w:r>
              <w:rPr>
                <w:rFonts w:hint="eastAsia"/>
                <w:color w:val="auto"/>
                <w:lang w:val="en-US" w:eastAsia="zh-CN"/>
              </w:rPr>
              <w:t>东面二跨</w:t>
            </w:r>
            <w:r>
              <w:rPr>
                <w:rFonts w:hint="eastAsia"/>
                <w:color w:val="auto"/>
              </w:rPr>
              <w:t>，项目</w:t>
            </w:r>
            <w:r>
              <w:rPr>
                <w:rFonts w:hint="eastAsia"/>
                <w:color w:val="auto"/>
                <w:lang w:val="en-US" w:eastAsia="zh-CN"/>
              </w:rPr>
              <w:t>产品为</w:t>
            </w:r>
            <w:r>
              <w:rPr>
                <w:rFonts w:hint="eastAsia"/>
                <w:color w:val="auto"/>
              </w:rPr>
              <w:t>高端工业铝材浇铸件，</w:t>
            </w:r>
            <w:r>
              <w:rPr>
                <w:rFonts w:hint="eastAsia"/>
                <w:color w:val="auto"/>
                <w:lang w:val="en-US" w:eastAsia="zh-CN"/>
              </w:rPr>
              <w:t>应用于汽车零部件</w:t>
            </w:r>
            <w:r>
              <w:rPr>
                <w:rFonts w:hint="eastAsia"/>
                <w:color w:val="auto"/>
              </w:rPr>
              <w:t>，符合园区产业规划，布局合理。</w:t>
            </w:r>
          </w:p>
          <w:p w14:paraId="5356A853">
            <w:pPr>
              <w:ind w:firstLine="480" w:firstLineChars="200"/>
              <w:rPr>
                <w:rFonts w:hint="eastAsia" w:eastAsia="宋体"/>
                <w:color w:val="auto"/>
                <w:lang w:val="en-US" w:eastAsia="zh-CN"/>
              </w:rPr>
            </w:pPr>
            <w:r>
              <w:rPr>
                <w:rFonts w:hint="eastAsia" w:eastAsia="宋体"/>
                <w:color w:val="auto"/>
                <w:lang w:val="en-US" w:eastAsia="zh-CN"/>
              </w:rPr>
              <w:t>2020年3月9日，安徽省生态环境厅对《安徽省江南产业集中区产业发展规划（2019-2030年）环境影响报告书》出具审查意见（皖环函[2020]107号）。本项目与江南产业集中区产业发展规划环评审查意见的符合性见表1-3所示。</w:t>
            </w:r>
          </w:p>
          <w:p w14:paraId="2AC3BC15">
            <w:pPr>
              <w:jc w:val="center"/>
              <w:rPr>
                <w:rFonts w:eastAsia="黑体"/>
                <w:color w:val="auto"/>
              </w:rPr>
            </w:pPr>
            <w:r>
              <w:rPr>
                <w:rFonts w:eastAsia="黑体"/>
                <w:color w:val="auto"/>
              </w:rPr>
              <w:t>表1-</w:t>
            </w:r>
            <w:r>
              <w:rPr>
                <w:rFonts w:hint="eastAsia" w:eastAsia="黑体"/>
                <w:color w:val="auto"/>
              </w:rPr>
              <w:t>3</w:t>
            </w:r>
            <w:r>
              <w:rPr>
                <w:rFonts w:eastAsia="黑体"/>
                <w:color w:val="auto"/>
              </w:rPr>
              <w:t xml:space="preserve">  项目与</w:t>
            </w:r>
            <w:r>
              <w:rPr>
                <w:rFonts w:hint="eastAsia" w:eastAsia="黑体"/>
                <w:color w:val="auto"/>
              </w:rPr>
              <w:t>（皖环函[20</w:t>
            </w:r>
            <w:r>
              <w:rPr>
                <w:rFonts w:hint="eastAsia" w:eastAsia="黑体"/>
                <w:color w:val="auto"/>
                <w:lang w:val="en-US" w:eastAsia="zh-CN"/>
              </w:rPr>
              <w:t>20</w:t>
            </w:r>
            <w:r>
              <w:rPr>
                <w:rFonts w:hint="eastAsia" w:eastAsia="黑体"/>
                <w:color w:val="auto"/>
              </w:rPr>
              <w:t>]</w:t>
            </w:r>
            <w:r>
              <w:rPr>
                <w:rFonts w:hint="eastAsia" w:eastAsia="黑体"/>
                <w:color w:val="auto"/>
                <w:lang w:val="en-US" w:eastAsia="zh-CN"/>
              </w:rPr>
              <w:t>107</w:t>
            </w:r>
            <w:r>
              <w:rPr>
                <w:rFonts w:hint="eastAsia" w:eastAsia="黑体"/>
                <w:color w:val="auto"/>
              </w:rPr>
              <w:t>号）</w:t>
            </w:r>
            <w:r>
              <w:rPr>
                <w:rFonts w:eastAsia="黑体"/>
                <w:color w:val="auto"/>
              </w:rPr>
              <w:t>符合性分析</w:t>
            </w:r>
          </w:p>
          <w:tbl>
            <w:tblPr>
              <w:tblStyle w:val="69"/>
              <w:tblW w:w="836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562"/>
              <w:gridCol w:w="4066"/>
              <w:gridCol w:w="2809"/>
              <w:gridCol w:w="923"/>
            </w:tblGrid>
            <w:tr w14:paraId="4A2414B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tcBorders>
                    <w:left w:val="single" w:color="auto" w:sz="0" w:space="0"/>
                    <w:tl2br w:val="nil"/>
                    <w:tr2bl w:val="nil"/>
                  </w:tcBorders>
                  <w:noWrap w:val="0"/>
                  <w:vAlign w:val="center"/>
                </w:tcPr>
                <w:p w14:paraId="285F2CAD">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类型</w:t>
                  </w:r>
                </w:p>
              </w:tc>
              <w:tc>
                <w:tcPr>
                  <w:tcW w:w="4066" w:type="dxa"/>
                  <w:tcBorders>
                    <w:tl2br w:val="nil"/>
                    <w:tr2bl w:val="nil"/>
                  </w:tcBorders>
                  <w:noWrap w:val="0"/>
                  <w:vAlign w:val="center"/>
                </w:tcPr>
                <w:p w14:paraId="2FCEA28F">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规划环评</w:t>
                  </w:r>
                  <w:r>
                    <w:rPr>
                      <w:rFonts w:hint="eastAsia" w:cs="Times New Roman"/>
                      <w:color w:val="auto"/>
                      <w:lang w:val="en-US" w:eastAsia="zh-CN"/>
                    </w:rPr>
                    <w:t>及</w:t>
                  </w:r>
                  <w:r>
                    <w:rPr>
                      <w:rFonts w:hint="default" w:ascii="Times New Roman" w:hAnsi="Times New Roman" w:eastAsia="宋体" w:cs="Times New Roman"/>
                      <w:color w:val="auto"/>
                      <w:lang w:val="en-US" w:eastAsia="zh-CN"/>
                    </w:rPr>
                    <w:t>审查意见要求</w:t>
                  </w:r>
                </w:p>
              </w:tc>
              <w:tc>
                <w:tcPr>
                  <w:tcW w:w="2809" w:type="dxa"/>
                  <w:tcBorders>
                    <w:tl2br w:val="nil"/>
                    <w:tr2bl w:val="nil"/>
                  </w:tcBorders>
                  <w:noWrap w:val="0"/>
                  <w:vAlign w:val="center"/>
                </w:tcPr>
                <w:p w14:paraId="73DBB790">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项目情况</w:t>
                  </w:r>
                </w:p>
              </w:tc>
              <w:tc>
                <w:tcPr>
                  <w:tcW w:w="923" w:type="dxa"/>
                  <w:tcBorders>
                    <w:right w:val="single" w:color="auto" w:sz="4" w:space="0"/>
                    <w:tl2br w:val="nil"/>
                    <w:tr2bl w:val="nil"/>
                  </w:tcBorders>
                  <w:noWrap w:val="0"/>
                  <w:vAlign w:val="center"/>
                </w:tcPr>
                <w:p w14:paraId="6F33ED3A">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符合性</w:t>
                  </w:r>
                </w:p>
              </w:tc>
            </w:tr>
            <w:tr w14:paraId="32CE43E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vMerge w:val="restart"/>
                  <w:tcBorders>
                    <w:left w:val="single" w:color="auto" w:sz="0" w:space="0"/>
                    <w:tl2br w:val="nil"/>
                    <w:tr2bl w:val="nil"/>
                  </w:tcBorders>
                  <w:noWrap w:val="0"/>
                  <w:vAlign w:val="center"/>
                </w:tcPr>
                <w:p w14:paraId="6BD1CE7C">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规划环评</w:t>
                  </w:r>
                </w:p>
              </w:tc>
              <w:tc>
                <w:tcPr>
                  <w:tcW w:w="4066" w:type="dxa"/>
                  <w:tcBorders>
                    <w:tl2br w:val="nil"/>
                    <w:tr2bl w:val="nil"/>
                  </w:tcBorders>
                  <w:noWrap w:val="0"/>
                  <w:vAlign w:val="center"/>
                </w:tcPr>
                <w:p w14:paraId="21964E20">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规划范围以原总体规划划定的产业集中区为主，不含城市协调发展区，四至范围为东至泰山路，南至九华湖，西至昆仑山路，北至滨江大道，规划用地规模为36.50平方公里。</w:t>
                  </w:r>
                </w:p>
              </w:tc>
              <w:tc>
                <w:tcPr>
                  <w:tcW w:w="2809" w:type="dxa"/>
                  <w:vMerge w:val="restart"/>
                  <w:tcBorders>
                    <w:tl2br w:val="nil"/>
                    <w:tr2bl w:val="nil"/>
                  </w:tcBorders>
                  <w:noWrap w:val="0"/>
                  <w:vAlign w:val="center"/>
                </w:tcPr>
                <w:p w14:paraId="570E9E2A">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本项目位于安徽省池州市皖江江南新兴产业集中区安安工业园7#厂房东面二跨，项目产品为高端工业铝材浇铸件，应用于汽车零部件，符合园区产业规划</w:t>
                  </w:r>
                  <w:r>
                    <w:rPr>
                      <w:rFonts w:hint="eastAsia" w:cs="Times New Roman"/>
                      <w:color w:val="auto"/>
                      <w:lang w:val="en-US" w:eastAsia="zh-CN"/>
                    </w:rPr>
                    <w:t>中的新型材料产业</w:t>
                  </w:r>
                  <w:r>
                    <w:rPr>
                      <w:rFonts w:hint="default" w:ascii="Times New Roman" w:hAnsi="Times New Roman" w:eastAsia="宋体" w:cs="Times New Roman"/>
                      <w:color w:val="auto"/>
                      <w:lang w:val="en-US" w:eastAsia="zh-CN"/>
                    </w:rPr>
                    <w:t>，布局合理。</w:t>
                  </w:r>
                </w:p>
              </w:tc>
              <w:tc>
                <w:tcPr>
                  <w:tcW w:w="923" w:type="dxa"/>
                  <w:tcBorders>
                    <w:right w:val="single" w:color="auto" w:sz="4" w:space="0"/>
                    <w:tl2br w:val="nil"/>
                    <w:tr2bl w:val="nil"/>
                  </w:tcBorders>
                  <w:noWrap w:val="0"/>
                  <w:vAlign w:val="center"/>
                </w:tcPr>
                <w:p w14:paraId="19B1D113">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r w14:paraId="229FF3C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vMerge w:val="continue"/>
                  <w:tcBorders>
                    <w:left w:val="single" w:color="auto" w:sz="0" w:space="0"/>
                    <w:tl2br w:val="nil"/>
                    <w:tr2bl w:val="nil"/>
                  </w:tcBorders>
                  <w:noWrap w:val="0"/>
                  <w:vAlign w:val="center"/>
                </w:tcPr>
                <w:p w14:paraId="1E1446B6">
                  <w:pPr>
                    <w:pStyle w:val="906"/>
                    <w:spacing w:line="240" w:lineRule="auto"/>
                    <w:rPr>
                      <w:rFonts w:hint="default" w:ascii="Times New Roman" w:hAnsi="Times New Roman" w:eastAsia="宋体" w:cs="Times New Roman"/>
                      <w:color w:val="auto"/>
                      <w:lang w:val="en-US" w:eastAsia="zh-CN"/>
                    </w:rPr>
                  </w:pPr>
                </w:p>
              </w:tc>
              <w:tc>
                <w:tcPr>
                  <w:tcW w:w="4066" w:type="dxa"/>
                  <w:tcBorders>
                    <w:tl2br w:val="nil"/>
                    <w:tr2bl w:val="nil"/>
                  </w:tcBorders>
                  <w:noWrap w:val="0"/>
                  <w:vAlign w:val="center"/>
                </w:tcPr>
                <w:p w14:paraId="0F37F48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规划主导产业为机械电子、新型材料和大健康三大主导产业。江南大道以北的沿江用地，重点发展以机械电子为主的高技术产业。</w:t>
                  </w:r>
                </w:p>
              </w:tc>
              <w:tc>
                <w:tcPr>
                  <w:tcW w:w="2809" w:type="dxa"/>
                  <w:vMerge w:val="continue"/>
                  <w:tcBorders>
                    <w:tl2br w:val="nil"/>
                    <w:tr2bl w:val="nil"/>
                  </w:tcBorders>
                  <w:noWrap w:val="0"/>
                  <w:vAlign w:val="center"/>
                </w:tcPr>
                <w:p w14:paraId="58438AC7">
                  <w:pPr>
                    <w:pStyle w:val="906"/>
                    <w:spacing w:line="240" w:lineRule="auto"/>
                    <w:rPr>
                      <w:rFonts w:hint="default" w:ascii="Times New Roman" w:hAnsi="Times New Roman" w:eastAsia="宋体" w:cs="Times New Roman"/>
                      <w:color w:val="auto"/>
                      <w:lang w:val="en-US" w:eastAsia="zh-CN"/>
                    </w:rPr>
                  </w:pPr>
                </w:p>
              </w:tc>
              <w:tc>
                <w:tcPr>
                  <w:tcW w:w="923" w:type="dxa"/>
                  <w:tcBorders>
                    <w:right w:val="single" w:color="auto" w:sz="4" w:space="0"/>
                    <w:tl2br w:val="nil"/>
                    <w:tr2bl w:val="nil"/>
                  </w:tcBorders>
                  <w:noWrap w:val="0"/>
                  <w:vAlign w:val="center"/>
                </w:tcPr>
                <w:p w14:paraId="60A5FB8E">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r w14:paraId="7EE86FE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vMerge w:val="continue"/>
                  <w:tcBorders>
                    <w:left w:val="single" w:color="auto" w:sz="0" w:space="0"/>
                    <w:tl2br w:val="nil"/>
                    <w:tr2bl w:val="nil"/>
                  </w:tcBorders>
                  <w:noWrap w:val="0"/>
                  <w:vAlign w:val="center"/>
                </w:tcPr>
                <w:p w14:paraId="79FB3250">
                  <w:pPr>
                    <w:pStyle w:val="906"/>
                    <w:spacing w:line="240" w:lineRule="auto"/>
                    <w:rPr>
                      <w:rFonts w:hint="default" w:ascii="Times New Roman" w:hAnsi="Times New Roman" w:eastAsia="宋体" w:cs="Times New Roman"/>
                      <w:color w:val="auto"/>
                      <w:lang w:val="en-US" w:eastAsia="zh-CN"/>
                    </w:rPr>
                  </w:pPr>
                </w:p>
              </w:tc>
              <w:tc>
                <w:tcPr>
                  <w:tcW w:w="4066" w:type="dxa"/>
                  <w:tcBorders>
                    <w:tl2br w:val="nil"/>
                    <w:tr2bl w:val="nil"/>
                  </w:tcBorders>
                  <w:noWrap w:val="0"/>
                  <w:vAlign w:val="center"/>
                </w:tcPr>
                <w:p w14:paraId="58757092">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根据集中区总体规划，安徽省江南产业集中区第一污水处理厂规划总建设规模为20.0万m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/d，需分期进行建设，一期工程建设规模5万m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/d，分为两组，每组建设规模2.5万m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/d，其出水执行《城镇污水处理厂污染物排放标准》(GB18918-2002）一级 A标准，处理达标后排入九华河；</w:t>
                  </w:r>
                </w:p>
              </w:tc>
              <w:tc>
                <w:tcPr>
                  <w:tcW w:w="2809" w:type="dxa"/>
                  <w:tcBorders>
                    <w:tl2br w:val="nil"/>
                    <w:tr2bl w:val="nil"/>
                  </w:tcBorders>
                  <w:noWrap w:val="0"/>
                  <w:vAlign w:val="center"/>
                </w:tcPr>
                <w:p w14:paraId="3BE3354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皖江江南新兴产业集中区第一污水处理厂已建成2.5万m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/d</w:t>
                  </w:r>
                  <w:r>
                    <w:rPr>
                      <w:rFonts w:hint="eastAsia" w:cs="Times New Roman"/>
                      <w:color w:val="auto"/>
                      <w:lang w:val="en-US" w:eastAsia="zh-CN"/>
                    </w:rPr>
                    <w:t>，本项目废水排放量为2.173</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3</w:t>
                  </w:r>
                  <w:r>
                    <w:rPr>
                      <w:rFonts w:hint="default" w:ascii="Times New Roman" w:hAnsi="Times New Roman" w:eastAsia="宋体" w:cs="Times New Roman"/>
                      <w:color w:val="auto"/>
                      <w:lang w:val="en-US" w:eastAsia="zh-CN"/>
                    </w:rPr>
                    <w:t>/d</w:t>
                  </w:r>
                  <w:r>
                    <w:rPr>
                      <w:rFonts w:hint="eastAsia" w:ascii="Times New Roman" w:hAnsi="Times New Roman" w:eastAsia="宋体" w:cs="Times New Roman"/>
                      <w:color w:val="auto"/>
                      <w:lang w:val="en-US" w:eastAsia="zh-CN"/>
                    </w:rPr>
                    <w:t>，污水处理厂规模可容纳本项目废水</w:t>
                  </w:r>
                  <w:r>
                    <w:rPr>
                      <w:rFonts w:hint="default" w:ascii="Times New Roman" w:hAnsi="Times New Roman" w:eastAsia="宋体" w:cs="Times New Roman"/>
                      <w:color w:val="auto"/>
                      <w:lang w:val="en-US" w:eastAsia="zh-CN"/>
                    </w:rPr>
                    <w:t>。</w:t>
                  </w:r>
                </w:p>
              </w:tc>
              <w:tc>
                <w:tcPr>
                  <w:tcW w:w="923" w:type="dxa"/>
                  <w:tcBorders>
                    <w:right w:val="single" w:color="auto" w:sz="4" w:space="0"/>
                    <w:tl2br w:val="nil"/>
                    <w:tr2bl w:val="nil"/>
                  </w:tcBorders>
                  <w:noWrap w:val="0"/>
                  <w:vAlign w:val="center"/>
                </w:tcPr>
                <w:p w14:paraId="618B1DC7">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r w14:paraId="342346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vMerge w:val="restart"/>
                  <w:tcBorders>
                    <w:left w:val="single" w:color="auto" w:sz="4" w:space="0"/>
                    <w:tl2br w:val="nil"/>
                    <w:tr2bl w:val="nil"/>
                  </w:tcBorders>
                  <w:noWrap w:val="0"/>
                  <w:vAlign w:val="center"/>
                </w:tcPr>
                <w:p w14:paraId="3D6395EB">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审查意见</w:t>
                  </w:r>
                </w:p>
              </w:tc>
              <w:tc>
                <w:tcPr>
                  <w:tcW w:w="4066" w:type="dxa"/>
                  <w:tcBorders>
                    <w:tl2br w:val="nil"/>
                    <w:tr2bl w:val="nil"/>
                  </w:tcBorders>
                  <w:noWrap w:val="0"/>
                  <w:vAlign w:val="center"/>
                </w:tcPr>
                <w:p w14:paraId="74E29EAA">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根据国家和区域发展战略，结合区域生态环境质量现状及规划目标，严格产业的环境准入要求，细化生态环境准入清单，对现有不符合环境准入清单的企业，提出相应的管控要求；合理规划不同产业片区的生态环境保护空间；对存在环境问题的现有企业制订整改方案、落实整改措施。</w:t>
                  </w:r>
                </w:p>
              </w:tc>
              <w:tc>
                <w:tcPr>
                  <w:tcW w:w="2809" w:type="dxa"/>
                  <w:tcBorders>
                    <w:tl2br w:val="nil"/>
                    <w:tr2bl w:val="nil"/>
                  </w:tcBorders>
                  <w:noWrap w:val="0"/>
                  <w:vAlign w:val="center"/>
                </w:tcPr>
                <w:p w14:paraId="6F9BC7A1">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w:t>
                  </w:r>
                  <w:r>
                    <w:rPr>
                      <w:rFonts w:hint="eastAsia" w:cs="Times New Roman"/>
                      <w:color w:val="auto"/>
                      <w:lang w:val="en-US" w:eastAsia="zh-CN"/>
                    </w:rPr>
                    <w:t>为高端工业铝材浇铸件</w:t>
                  </w:r>
                  <w:r>
                    <w:rPr>
                      <w:rFonts w:hint="eastAsia" w:ascii="Times New Roman" w:hAnsi="Times New Roman" w:eastAsia="宋体" w:cs="Times New Roman"/>
                      <w:color w:val="auto"/>
                      <w:lang w:val="en-US" w:eastAsia="zh-CN"/>
                    </w:rPr>
                    <w:t>，属于汽车零部件制造，符合园区产业规划，符合园区产业规划，不在负面</w:t>
                  </w:r>
                  <w:r>
                    <w:rPr>
                      <w:rFonts w:hint="default" w:ascii="Times New Roman" w:hAnsi="Times New Roman" w:eastAsia="宋体" w:cs="Times New Roman"/>
                      <w:color w:val="auto"/>
                      <w:lang w:val="en-US" w:eastAsia="zh-CN"/>
                    </w:rPr>
                    <w:t>清单</w:t>
                  </w:r>
                  <w:r>
                    <w:rPr>
                      <w:rFonts w:hint="eastAsia" w:ascii="Times New Roman" w:hAnsi="Times New Roman" w:eastAsia="宋体" w:cs="Times New Roman"/>
                      <w:color w:val="auto"/>
                      <w:lang w:val="en-US" w:eastAsia="zh-CN"/>
                    </w:rPr>
                    <w:t>中。</w:t>
                  </w:r>
                </w:p>
              </w:tc>
              <w:tc>
                <w:tcPr>
                  <w:tcW w:w="923" w:type="dxa"/>
                  <w:tcBorders>
                    <w:right w:val="single" w:color="auto" w:sz="4" w:space="0"/>
                    <w:tl2br w:val="nil"/>
                    <w:tr2bl w:val="nil"/>
                  </w:tcBorders>
                  <w:noWrap w:val="0"/>
                  <w:vAlign w:val="center"/>
                </w:tcPr>
                <w:p w14:paraId="307D35B5">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r w14:paraId="1ED1E1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vMerge w:val="continue"/>
                  <w:tcBorders>
                    <w:left w:val="single" w:color="auto" w:sz="4" w:space="0"/>
                    <w:tl2br w:val="nil"/>
                    <w:tr2bl w:val="nil"/>
                  </w:tcBorders>
                  <w:noWrap w:val="0"/>
                  <w:vAlign w:val="center"/>
                </w:tcPr>
                <w:p w14:paraId="4FE9AD3D">
                  <w:pPr>
                    <w:pStyle w:val="906"/>
                    <w:spacing w:line="240" w:lineRule="auto"/>
                    <w:rPr>
                      <w:rFonts w:hint="default" w:ascii="Times New Roman" w:hAnsi="Times New Roman" w:eastAsia="宋体" w:cs="Times New Roman"/>
                      <w:color w:val="auto"/>
                      <w:lang w:val="en-US" w:eastAsia="zh-CN"/>
                    </w:rPr>
                  </w:pPr>
                </w:p>
              </w:tc>
              <w:tc>
                <w:tcPr>
                  <w:tcW w:w="4066" w:type="dxa"/>
                  <w:tcBorders>
                    <w:tl2br w:val="nil"/>
                    <w:tr2bl w:val="nil"/>
                  </w:tcBorders>
                  <w:noWrap w:val="0"/>
                  <w:vAlign w:val="center"/>
                </w:tcPr>
                <w:p w14:paraId="2FC1FAA1">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结合区域供水、排水和供气（供热）等规划，合理确定产业发展规模。严格监管江南产业集中区内各企业的废水排放，加强地表水环境保护，确保区域水环境的安全。</w:t>
                  </w:r>
                </w:p>
              </w:tc>
              <w:tc>
                <w:tcPr>
                  <w:tcW w:w="2809" w:type="dxa"/>
                  <w:tcBorders>
                    <w:tl2br w:val="nil"/>
                    <w:tr2bl w:val="nil"/>
                  </w:tcBorders>
                  <w:noWrap w:val="0"/>
                  <w:vAlign w:val="center"/>
                </w:tcPr>
                <w:p w14:paraId="79082C6D">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拟建项目符合集中区供水、排水资源配置相关要求</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该项目生活污水通过</w:t>
                  </w:r>
                  <w:r>
                    <w:rPr>
                      <w:rFonts w:hint="eastAsia" w:cs="Times New Roman"/>
                      <w:color w:val="auto"/>
                      <w:lang w:val="en-US" w:eastAsia="zh-CN"/>
                    </w:rPr>
                    <w:t>安安产业园</w:t>
                  </w:r>
                  <w:r>
                    <w:rPr>
                      <w:rFonts w:hint="eastAsia" w:ascii="Times New Roman" w:hAnsi="Times New Roman" w:eastAsia="宋体" w:cs="Times New Roman"/>
                      <w:color w:val="auto"/>
                      <w:lang w:val="en-US" w:eastAsia="zh-CN"/>
                    </w:rPr>
                    <w:t>区已建</w:t>
                  </w:r>
                  <w:r>
                    <w:rPr>
                      <w:rFonts w:hint="default" w:ascii="Times New Roman" w:hAnsi="Times New Roman" w:eastAsia="宋体" w:cs="Times New Roman"/>
                      <w:color w:val="auto"/>
                      <w:lang w:val="en-US" w:eastAsia="zh-CN"/>
                    </w:rPr>
                    <w:t>化粪池处理</w:t>
                  </w:r>
                  <w:r>
                    <w:rPr>
                      <w:rFonts w:hint="eastAsia" w:ascii="Times New Roman" w:hAnsi="Times New Roman" w:eastAsia="宋体" w:cs="Times New Roman"/>
                      <w:color w:val="auto"/>
                      <w:lang w:val="en-US" w:eastAsia="zh-CN"/>
                    </w:rPr>
                    <w:t>，处理后</w:t>
                  </w:r>
                  <w:r>
                    <w:rPr>
                      <w:rFonts w:hint="eastAsia" w:cs="Times New Roman"/>
                      <w:color w:val="auto"/>
                      <w:lang w:val="en-US" w:eastAsia="zh-CN"/>
                    </w:rPr>
                    <w:t>的</w:t>
                  </w:r>
                  <w:r>
                    <w:rPr>
                      <w:rFonts w:hint="eastAsia" w:ascii="Times New Roman" w:hAnsi="Times New Roman" w:eastAsia="宋体" w:cs="Times New Roman"/>
                      <w:color w:val="auto"/>
                      <w:lang w:val="en-US" w:eastAsia="zh-CN"/>
                    </w:rPr>
                    <w:t>生活污水经</w:t>
                  </w:r>
                  <w:r>
                    <w:rPr>
                      <w:rFonts w:hint="default" w:ascii="Times New Roman" w:hAnsi="Times New Roman" w:eastAsia="宋体" w:cs="Times New Roman"/>
                      <w:color w:val="auto"/>
                      <w:lang w:val="en-US" w:eastAsia="zh-CN"/>
                    </w:rPr>
                    <w:t>市政管网进入皖江江南新兴产业集中区第一污水处理厂处理。</w:t>
                  </w:r>
                </w:p>
              </w:tc>
              <w:tc>
                <w:tcPr>
                  <w:tcW w:w="923" w:type="dxa"/>
                  <w:tcBorders>
                    <w:right w:val="single" w:color="auto" w:sz="4" w:space="0"/>
                    <w:tl2br w:val="nil"/>
                    <w:tr2bl w:val="nil"/>
                  </w:tcBorders>
                  <w:noWrap w:val="0"/>
                  <w:vAlign w:val="center"/>
                </w:tcPr>
                <w:p w14:paraId="70CD9FBA">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r w14:paraId="20FB0B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2" w:type="dxa"/>
                  <w:vMerge w:val="continue"/>
                  <w:tcBorders>
                    <w:left w:val="single" w:color="auto" w:sz="4" w:space="0"/>
                    <w:tl2br w:val="nil"/>
                    <w:tr2bl w:val="nil"/>
                  </w:tcBorders>
                  <w:noWrap w:val="0"/>
                  <w:vAlign w:val="center"/>
                </w:tcPr>
                <w:p w14:paraId="1911F713">
                  <w:pPr>
                    <w:pStyle w:val="906"/>
                    <w:spacing w:line="240" w:lineRule="auto"/>
                    <w:rPr>
                      <w:rFonts w:hint="default" w:ascii="Times New Roman" w:hAnsi="Times New Roman" w:eastAsia="宋体" w:cs="Times New Roman"/>
                      <w:color w:val="auto"/>
                      <w:lang w:val="en-US" w:eastAsia="zh-CN"/>
                    </w:rPr>
                  </w:pPr>
                </w:p>
              </w:tc>
              <w:tc>
                <w:tcPr>
                  <w:tcW w:w="4066" w:type="dxa"/>
                  <w:tcBorders>
                    <w:tl2br w:val="nil"/>
                    <w:tr2bl w:val="nil"/>
                  </w:tcBorders>
                  <w:noWrap w:val="0"/>
                  <w:vAlign w:val="center"/>
                </w:tcPr>
                <w:p w14:paraId="3378C594">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健全区域环境风险防范体系和生态安全保障体系，加强江南产业集中区内重要环境风险源的管控，完善环境风险防范应急措施。加强危险废物管理，完善危险废物贮存、处置规划。</w:t>
                  </w:r>
                </w:p>
              </w:tc>
              <w:tc>
                <w:tcPr>
                  <w:tcW w:w="2809" w:type="dxa"/>
                  <w:tcBorders>
                    <w:tl2br w:val="nil"/>
                    <w:tr2bl w:val="nil"/>
                  </w:tcBorders>
                  <w:noWrap w:val="0"/>
                  <w:vAlign w:val="center"/>
                </w:tcPr>
                <w:p w14:paraId="55E5E243">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本项目在生产过程中落实各项风险防控措施；</w:t>
                  </w:r>
                  <w:r>
                    <w:rPr>
                      <w:rFonts w:hint="eastAsia" w:ascii="Times New Roman" w:hAnsi="Times New Roman" w:eastAsia="宋体" w:cs="Times New Roman"/>
                      <w:color w:val="auto"/>
                      <w:lang w:val="en-US" w:eastAsia="zh-CN"/>
                    </w:rPr>
                    <w:t>项目</w:t>
                  </w:r>
                  <w:r>
                    <w:rPr>
                      <w:rFonts w:hint="default" w:ascii="Times New Roman" w:hAnsi="Times New Roman" w:eastAsia="宋体" w:cs="Times New Roman"/>
                      <w:color w:val="auto"/>
                      <w:lang w:val="en-US" w:eastAsia="zh-CN"/>
                    </w:rPr>
                    <w:t>危险废物暂存于危废暂存间，委托</w:t>
                  </w:r>
                  <w:r>
                    <w:rPr>
                      <w:rFonts w:hint="eastAsia" w:ascii="Times New Roman" w:hAnsi="Times New Roman" w:eastAsia="宋体" w:cs="Times New Roman"/>
                      <w:color w:val="auto"/>
                      <w:lang w:val="en-US" w:eastAsia="zh-CN"/>
                    </w:rPr>
                    <w:t>有资质单位</w:t>
                  </w:r>
                  <w:r>
                    <w:rPr>
                      <w:rFonts w:hint="default" w:ascii="Times New Roman" w:hAnsi="Times New Roman" w:eastAsia="宋体" w:cs="Times New Roman"/>
                      <w:color w:val="auto"/>
                      <w:lang w:val="en-US" w:eastAsia="zh-CN"/>
                    </w:rPr>
                    <w:t>处置；</w:t>
                  </w:r>
                  <w:r>
                    <w:rPr>
                      <w:rFonts w:hint="eastAsia" w:cs="Times New Roman"/>
                      <w:color w:val="auto"/>
                      <w:lang w:val="en-US" w:eastAsia="zh-CN"/>
                    </w:rPr>
                    <w:t>一般</w:t>
                  </w:r>
                  <w:r>
                    <w:rPr>
                      <w:rFonts w:hint="default" w:ascii="Times New Roman" w:hAnsi="Times New Roman" w:eastAsia="宋体" w:cs="Times New Roman"/>
                      <w:color w:val="auto"/>
                      <w:lang w:val="en-US" w:eastAsia="zh-CN"/>
                    </w:rPr>
                    <w:t>固废暂存于</w:t>
                  </w:r>
                  <w:r>
                    <w:rPr>
                      <w:rFonts w:hint="eastAsia" w:cs="Times New Roman"/>
                      <w:color w:val="auto"/>
                      <w:lang w:val="en-US" w:eastAsia="zh-CN"/>
                    </w:rPr>
                    <w:t>一般固废库；</w:t>
                  </w:r>
                  <w:r>
                    <w:rPr>
                      <w:rFonts w:hint="default" w:ascii="Times New Roman" w:hAnsi="Times New Roman" w:eastAsia="宋体" w:cs="Times New Roman"/>
                      <w:color w:val="auto"/>
                      <w:lang w:val="en-US" w:eastAsia="zh-CN"/>
                    </w:rPr>
                    <w:t>生活垃圾由环卫部门统一收运处理</w:t>
                  </w:r>
                  <w:r>
                    <w:rPr>
                      <w:rFonts w:hint="eastAsia" w:cs="Times New Roman"/>
                      <w:color w:val="auto"/>
                      <w:lang w:val="en-US" w:eastAsia="zh-CN"/>
                    </w:rPr>
                    <w:t>，</w:t>
                  </w:r>
                  <w:r>
                    <w:rPr>
                      <w:rFonts w:hint="default" w:ascii="Times New Roman" w:hAnsi="Times New Roman" w:eastAsia="宋体" w:cs="Times New Roman"/>
                      <w:color w:val="auto"/>
                      <w:lang w:val="en-US" w:eastAsia="zh-CN"/>
                    </w:rPr>
                    <w:t>均能得到合理处置</w:t>
                  </w:r>
                  <w:r>
                    <w:rPr>
                      <w:rFonts w:hint="eastAsia" w:ascii="Times New Roman" w:hAnsi="Times New Roman" w:eastAsia="宋体" w:cs="Times New Roman"/>
                      <w:color w:val="auto"/>
                      <w:lang w:val="en-US" w:eastAsia="zh-CN"/>
                    </w:rPr>
                    <w:t>。</w:t>
                  </w:r>
                </w:p>
              </w:tc>
              <w:tc>
                <w:tcPr>
                  <w:tcW w:w="923" w:type="dxa"/>
                  <w:tcBorders>
                    <w:right w:val="single" w:color="auto" w:sz="4" w:space="0"/>
                    <w:tl2br w:val="nil"/>
                    <w:tr2bl w:val="nil"/>
                  </w:tcBorders>
                  <w:noWrap w:val="0"/>
                  <w:vAlign w:val="center"/>
                </w:tcPr>
                <w:p w14:paraId="40D62F6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符合</w:t>
                  </w:r>
                </w:p>
              </w:tc>
            </w:tr>
          </w:tbl>
          <w:p w14:paraId="79C00937">
            <w:pPr>
              <w:ind w:firstLine="480" w:firstLineChars="200"/>
              <w:rPr>
                <w:rFonts w:hint="default" w:eastAsia="宋体"/>
                <w:color w:val="auto"/>
                <w:lang w:val="en-US" w:eastAsia="zh-CN"/>
              </w:rPr>
            </w:pPr>
          </w:p>
        </w:tc>
      </w:tr>
      <w:tr w14:paraId="3EF0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58" w:hRule="atLeast"/>
          <w:jc w:val="center"/>
        </w:trPr>
        <w:tc>
          <w:tcPr>
            <w:tcW w:w="684" w:type="pct"/>
            <w:vAlign w:val="center"/>
          </w:tcPr>
          <w:p w14:paraId="0BE4F87A">
            <w:pPr>
              <w:pStyle w:val="413"/>
              <w:rPr>
                <w:color w:val="auto"/>
                <w:sz w:val="21"/>
              </w:rPr>
            </w:pPr>
            <w:r>
              <w:rPr>
                <w:rFonts w:hint="eastAsia"/>
                <w:color w:val="auto"/>
                <w:sz w:val="24"/>
                <w:szCs w:val="24"/>
              </w:rPr>
              <w:t>其他符合性分析</w:t>
            </w:r>
          </w:p>
        </w:tc>
        <w:tc>
          <w:tcPr>
            <w:tcW w:w="4315" w:type="pct"/>
            <w:gridSpan w:val="3"/>
            <w:vAlign w:val="center"/>
          </w:tcPr>
          <w:p w14:paraId="7AE10925">
            <w:pPr>
              <w:rPr>
                <w:b/>
                <w:color w:val="auto"/>
              </w:rPr>
            </w:pPr>
            <w:r>
              <w:rPr>
                <w:rFonts w:hint="eastAsia"/>
                <w:b/>
                <w:color w:val="auto"/>
              </w:rPr>
              <w:t>1、“三线一单”符合性分析</w:t>
            </w:r>
          </w:p>
          <w:p w14:paraId="0C2C4A75">
            <w:pPr>
              <w:ind w:firstLine="480" w:firstLineChars="200"/>
              <w:rPr>
                <w:rFonts w:hint="eastAsia"/>
                <w:color w:val="auto"/>
              </w:rPr>
            </w:pPr>
            <w:r>
              <w:rPr>
                <w:rFonts w:hint="eastAsia"/>
                <w:color w:val="auto"/>
              </w:rPr>
              <w:t>《“十四五”环境影响评价改革实施方案》要求以生态保护红线、环境质量底线、资源利用上线和环境准入负面清单为手段，强化空间、总量、准入环境管理。《关于以改善环境质量为核心加强环境影响评价管理的通知》要求切实加强环境影响评价管理，落实“生态保护红线、环境质量底线、资源利用上线和环境准入负面清单”约束。</w:t>
            </w:r>
          </w:p>
          <w:p w14:paraId="16AAC2C1">
            <w:pPr>
              <w:ind w:firstLine="480" w:firstLineChars="200"/>
              <w:rPr>
                <w:rFonts w:hint="eastAsia"/>
                <w:color w:val="auto"/>
              </w:rPr>
            </w:pPr>
            <w:r>
              <w:rPr>
                <w:rFonts w:hint="eastAsia"/>
                <w:color w:val="auto"/>
              </w:rPr>
              <w:t>根据《安徽省生态环境厅关于印发安徽省“三线一单”生态环境分区管控管理办法（暂行）的通知》的要求，在建设项目环评中，做好与“三线一单”生态环境分区管控相符性分析，充分论证是否符合生态环境准入清单要求，对不符合的依法不予审批。现就本项目与《长江经济带战略环境评价池州市“三线一单”》要求符合性分析如下。</w:t>
            </w:r>
          </w:p>
          <w:p w14:paraId="0AA9313F">
            <w:pPr>
              <w:ind w:firstLine="480" w:firstLineChars="200"/>
              <w:rPr>
                <w:rFonts w:hint="eastAsia"/>
                <w:color w:val="auto"/>
              </w:rPr>
            </w:pPr>
            <w:r>
              <w:rPr>
                <w:rFonts w:hint="eastAsia"/>
                <w:color w:val="auto"/>
              </w:rPr>
              <w:t>（1）生态保护红线符合性判定</w:t>
            </w:r>
          </w:p>
          <w:p w14:paraId="418A6CB8">
            <w:pPr>
              <w:ind w:firstLine="480" w:firstLineChars="200"/>
              <w:rPr>
                <w:rFonts w:hint="eastAsia"/>
                <w:color w:val="auto"/>
              </w:rPr>
            </w:pPr>
            <w:r>
              <w:rPr>
                <w:rFonts w:hint="eastAsia"/>
                <w:color w:val="auto"/>
              </w:rPr>
              <w:t>本项目位于安徽省池州市皖江江南新兴产业集中区</w:t>
            </w:r>
            <w:r>
              <w:rPr>
                <w:rFonts w:hint="eastAsia"/>
                <w:color w:val="auto"/>
                <w:lang w:eastAsia="zh-CN"/>
              </w:rPr>
              <w:t>安安产业园7#厂房</w:t>
            </w:r>
            <w:r>
              <w:rPr>
                <w:rFonts w:hint="eastAsia"/>
                <w:color w:val="auto"/>
              </w:rPr>
              <w:t>，用地类型为工业用地，对照</w:t>
            </w:r>
            <w:r>
              <w:rPr>
                <w:rFonts w:hint="eastAsia" w:ascii="Times New Roman" w:hAnsi="Times New Roman" w:eastAsia="宋体" w:cs="Times New Roman"/>
                <w:color w:val="auto"/>
                <w:lang w:eastAsia="zh-CN"/>
              </w:rPr>
              <w:t>安徽省“三线一单”公众服务平台</w:t>
            </w:r>
            <w:r>
              <w:rPr>
                <w:rFonts w:hint="eastAsia" w:cs="Times New Roman"/>
                <w:color w:val="auto"/>
                <w:lang w:eastAsia="zh-CN"/>
              </w:rPr>
              <w:t>、池州市国土空间总体规划（2021-2035年）</w:t>
            </w:r>
            <w:r>
              <w:rPr>
                <w:rFonts w:hint="eastAsia" w:cs="Times New Roman"/>
                <w:color w:val="auto"/>
                <w:lang w:val="en-US" w:eastAsia="zh-CN"/>
              </w:rPr>
              <w:t>中</w:t>
            </w:r>
            <w:r>
              <w:rPr>
                <w:rFonts w:hint="eastAsia" w:cs="Times New Roman"/>
                <w:color w:val="auto"/>
                <w:lang w:eastAsia="zh-CN"/>
              </w:rPr>
              <w:t>市域国土空间控制线规划图</w:t>
            </w:r>
            <w:r>
              <w:rPr>
                <w:rFonts w:hint="eastAsia"/>
                <w:color w:val="auto"/>
              </w:rPr>
              <w:t>以及现场勘察可知，本项目不在自然保护区、风景名胜区、森林公园、重要湿地、饮用水源保护区等生态保护红线范围内，项目符合生态保护红线管控要求。项目在池州市生态保护红线分布图中的位置见附图</w:t>
            </w:r>
            <w:r>
              <w:rPr>
                <w:rFonts w:hint="eastAsia"/>
                <w:color w:val="auto"/>
                <w:lang w:val="en-US" w:eastAsia="zh-CN"/>
              </w:rPr>
              <w:t>3</w:t>
            </w:r>
            <w:r>
              <w:rPr>
                <w:rFonts w:hint="eastAsia"/>
                <w:color w:val="auto"/>
              </w:rPr>
              <w:t>。</w:t>
            </w:r>
          </w:p>
          <w:p w14:paraId="7AD26965">
            <w:pPr>
              <w:ind w:firstLine="480" w:firstLineChars="200"/>
              <w:rPr>
                <w:rFonts w:hint="eastAsia"/>
                <w:color w:val="auto"/>
              </w:rPr>
            </w:pPr>
            <w:r>
              <w:rPr>
                <w:rFonts w:hint="eastAsia"/>
                <w:color w:val="auto"/>
              </w:rPr>
              <w:t>（2）环境质量底线符合性判定</w:t>
            </w:r>
          </w:p>
          <w:p w14:paraId="73D5DA21">
            <w:pPr>
              <w:ind w:firstLine="480" w:firstLineChars="200"/>
              <w:rPr>
                <w:rFonts w:hint="eastAsia"/>
                <w:color w:val="auto"/>
              </w:rPr>
            </w:pPr>
            <w:r>
              <w:rPr>
                <w:rFonts w:hint="eastAsia"/>
                <w:color w:val="auto"/>
              </w:rPr>
              <w:t>①环境空气</w:t>
            </w:r>
          </w:p>
          <w:p w14:paraId="2453F215">
            <w:pPr>
              <w:ind w:firstLine="480" w:firstLineChars="200"/>
              <w:rPr>
                <w:rFonts w:hint="eastAsia"/>
                <w:color w:val="auto"/>
              </w:rPr>
            </w:pPr>
            <w:r>
              <w:rPr>
                <w:rFonts w:hint="eastAsia"/>
                <w:color w:val="auto"/>
              </w:rPr>
              <w:t>安徽省池州市环境空气功能区为二类区，根据《202</w:t>
            </w:r>
            <w:r>
              <w:rPr>
                <w:rFonts w:hint="eastAsia"/>
                <w:color w:val="auto"/>
                <w:lang w:val="en-US" w:eastAsia="zh-CN"/>
              </w:rPr>
              <w:t>4</w:t>
            </w:r>
            <w:r>
              <w:rPr>
                <w:rFonts w:hint="eastAsia"/>
                <w:color w:val="auto"/>
              </w:rPr>
              <w:t>年池州市生态环境状况公报》相关数据，项目所在区域大气污染物SO</w:t>
            </w:r>
            <w:r>
              <w:rPr>
                <w:rFonts w:hint="eastAsia"/>
                <w:color w:val="auto"/>
                <w:vertAlign w:val="subscript"/>
              </w:rPr>
              <w:t>2</w:t>
            </w:r>
            <w:r>
              <w:rPr>
                <w:rFonts w:hint="eastAsia"/>
                <w:color w:val="auto"/>
              </w:rPr>
              <w:t>、NO</w:t>
            </w:r>
            <w:r>
              <w:rPr>
                <w:rFonts w:hint="eastAsia"/>
                <w:color w:val="auto"/>
                <w:vertAlign w:val="subscript"/>
              </w:rPr>
              <w:t>2</w:t>
            </w:r>
            <w:r>
              <w:rPr>
                <w:rFonts w:hint="eastAsia"/>
                <w:color w:val="auto"/>
              </w:rPr>
              <w:t>、CO、PM</w:t>
            </w:r>
            <w:r>
              <w:rPr>
                <w:rFonts w:hint="eastAsia"/>
                <w:color w:val="auto"/>
                <w:vertAlign w:val="subscript"/>
              </w:rPr>
              <w:t>10</w:t>
            </w:r>
            <w:r>
              <w:rPr>
                <w:rFonts w:hint="eastAsia"/>
                <w:color w:val="auto"/>
              </w:rPr>
              <w:t>、O</w:t>
            </w:r>
            <w:r>
              <w:rPr>
                <w:rFonts w:hint="eastAsia"/>
                <w:color w:val="auto"/>
                <w:vertAlign w:val="subscript"/>
              </w:rPr>
              <w:t>3</w:t>
            </w:r>
            <w:r>
              <w:rPr>
                <w:rFonts w:hint="eastAsia"/>
                <w:color w:val="auto"/>
              </w:rPr>
              <w:t>、PM</w:t>
            </w:r>
            <w:r>
              <w:rPr>
                <w:rFonts w:hint="eastAsia"/>
                <w:color w:val="auto"/>
                <w:vertAlign w:val="subscript"/>
              </w:rPr>
              <w:t>2.5</w:t>
            </w:r>
            <w:r>
              <w:rPr>
                <w:rFonts w:hint="eastAsia"/>
                <w:color w:val="auto"/>
              </w:rPr>
              <w:t>年均浓度值均达到《环境空气质量标准》（GB3095-2012）中二级标准限值，项目所在区域空气质量为达标区，且本项目在生产过程产生的污染物经采取相应措施后可达标排放。</w:t>
            </w:r>
          </w:p>
          <w:p w14:paraId="373933F5">
            <w:pPr>
              <w:ind w:firstLine="480" w:firstLineChars="200"/>
              <w:rPr>
                <w:rFonts w:hint="eastAsia"/>
                <w:color w:val="auto"/>
              </w:rPr>
            </w:pPr>
            <w:r>
              <w:rPr>
                <w:rFonts w:hint="eastAsia"/>
                <w:color w:val="auto"/>
              </w:rPr>
              <w:t>②地表水环境</w:t>
            </w:r>
          </w:p>
          <w:p w14:paraId="5651098C">
            <w:pPr>
              <w:ind w:firstLine="480" w:firstLineChars="200"/>
              <w:rPr>
                <w:rFonts w:hint="eastAsia"/>
                <w:color w:val="auto"/>
              </w:rPr>
            </w:pPr>
            <w:r>
              <w:rPr>
                <w:rFonts w:hint="eastAsia"/>
                <w:color w:val="auto"/>
              </w:rPr>
              <w:t>根据《202</w:t>
            </w:r>
            <w:r>
              <w:rPr>
                <w:rFonts w:hint="eastAsia"/>
                <w:color w:val="auto"/>
                <w:lang w:val="en-US" w:eastAsia="zh-CN"/>
              </w:rPr>
              <w:t>4</w:t>
            </w:r>
            <w:r>
              <w:rPr>
                <w:rFonts w:hint="eastAsia"/>
                <w:color w:val="auto"/>
              </w:rPr>
              <w:t xml:space="preserve"> 年池州市环境质量状况公报》中的相关数据可知，</w:t>
            </w:r>
            <w:r>
              <w:rPr>
                <w:rFonts w:hint="eastAsia"/>
                <w:color w:val="auto"/>
                <w:szCs w:val="24"/>
              </w:rPr>
              <w:t>2024年全市长江（池州段）、秋浦河、青通河等湖库共计25个国省控考核监测断面（点位），其中达到Ⅰ类水的断面（点位）有3个，占12%；达到Ⅱ类水的断面（点位）有17个，占68%；达到Ⅲ类水的断面（点位）有5个，占20%</w:t>
            </w:r>
            <w:r>
              <w:rPr>
                <w:rFonts w:hint="eastAsia"/>
                <w:color w:val="auto"/>
              </w:rPr>
              <w:t>。</w:t>
            </w:r>
          </w:p>
          <w:p w14:paraId="401F1675">
            <w:pPr>
              <w:ind w:firstLine="480" w:firstLineChars="200"/>
              <w:rPr>
                <w:rFonts w:hint="eastAsia"/>
                <w:color w:val="auto"/>
              </w:rPr>
            </w:pPr>
            <w:r>
              <w:rPr>
                <w:rFonts w:hint="eastAsia"/>
                <w:color w:val="auto"/>
              </w:rPr>
              <w:t>本项目</w:t>
            </w:r>
            <w:r>
              <w:rPr>
                <w:rFonts w:hint="eastAsia"/>
                <w:color w:val="auto"/>
                <w:lang w:val="en-US" w:eastAsia="zh-CN"/>
              </w:rPr>
              <w:t>生产废水、</w:t>
            </w:r>
            <w:r>
              <w:rPr>
                <w:rFonts w:hint="eastAsia"/>
                <w:color w:val="auto"/>
              </w:rPr>
              <w:t>生活污水通过厂内</w:t>
            </w:r>
            <w:r>
              <w:rPr>
                <w:rFonts w:hint="eastAsia"/>
                <w:color w:val="auto"/>
                <w:lang w:val="en-US" w:eastAsia="zh-CN"/>
              </w:rPr>
              <w:t>已有污水处理设施处理达标</w:t>
            </w:r>
            <w:r>
              <w:rPr>
                <w:rFonts w:hint="eastAsia"/>
                <w:color w:val="auto"/>
              </w:rPr>
              <w:t>，达到皖江江南新兴产业集中区第一污水处理厂接管标准和《污水综合排放标准》(GB8978-1996)表4中三级标准，然后排入皖江江南新兴产业集中区第一污水处理厂进一步处理，污水处理厂执行《城镇污水处理厂污染物排放标准》（GB 18918-2002）一级A排放标准，经九华河最终排入长江。</w:t>
            </w:r>
          </w:p>
          <w:p w14:paraId="6E0DDE35">
            <w:pPr>
              <w:ind w:firstLine="480" w:firstLineChars="200"/>
              <w:rPr>
                <w:rFonts w:hint="eastAsia"/>
                <w:color w:val="auto"/>
              </w:rPr>
            </w:pPr>
            <w:r>
              <w:rPr>
                <w:rFonts w:hint="eastAsia"/>
                <w:color w:val="auto"/>
              </w:rPr>
              <w:t>③声环境</w:t>
            </w:r>
          </w:p>
          <w:p w14:paraId="1F5D67D0">
            <w:pPr>
              <w:ind w:firstLine="480" w:firstLineChars="200"/>
              <w:rPr>
                <w:rFonts w:hint="eastAsia"/>
                <w:color w:val="auto"/>
              </w:rPr>
            </w:pPr>
            <w:r>
              <w:rPr>
                <w:rFonts w:hint="eastAsia"/>
                <w:color w:val="auto"/>
              </w:rPr>
              <w:t>本项目厂界四周50m范围内无医院、学校、住宅等声环境保护目标，根据《建设项目环境影响报告表编制技术指南（污染影响类）（试行）》，项目无需进行声环境质量现状评价；根据噪声预测结果，本项目建成后，厂界四周噪声贡献值满足《工业企业厂界环境噪声排放标准》（GB12348-2008）中的3类标准要求，因此，项目建设对区域声环境影响较小。</w:t>
            </w:r>
          </w:p>
          <w:p w14:paraId="146B9C57">
            <w:pPr>
              <w:ind w:firstLine="480" w:firstLineChars="200"/>
              <w:rPr>
                <w:rFonts w:hint="eastAsia"/>
                <w:color w:val="auto"/>
              </w:rPr>
            </w:pPr>
            <w:r>
              <w:rPr>
                <w:rFonts w:hint="eastAsia"/>
                <w:color w:val="auto"/>
              </w:rPr>
              <w:t>本项目在生产过程产生的污染物经采取相应措施后可达标排放，对评价区域空气环境、地表水环境、声环境质量产生的影响均在环境承载力范围内，不会降低现有环境功能。</w:t>
            </w:r>
          </w:p>
          <w:p w14:paraId="2EADC55F">
            <w:pPr>
              <w:ind w:firstLine="480" w:firstLineChars="200"/>
              <w:rPr>
                <w:rFonts w:hint="eastAsia"/>
                <w:color w:val="auto"/>
              </w:rPr>
            </w:pPr>
            <w:r>
              <w:rPr>
                <w:rFonts w:hint="eastAsia"/>
                <w:color w:val="auto"/>
              </w:rPr>
              <w:t>（3）资源利用上线符合性判定</w:t>
            </w:r>
          </w:p>
          <w:p w14:paraId="6E7431BA">
            <w:pPr>
              <w:ind w:firstLine="480" w:firstLineChars="200"/>
              <w:rPr>
                <w:rFonts w:hint="eastAsia"/>
                <w:color w:val="auto"/>
              </w:rPr>
            </w:pPr>
            <w:r>
              <w:rPr>
                <w:rFonts w:hint="eastAsia"/>
                <w:color w:val="auto"/>
              </w:rPr>
              <w:t>本项目位于皖江江南新兴产业集中区，项目水、电资源由市政给水和供电电网接入。因此，项目建设符合资源利用上线要求。</w:t>
            </w:r>
          </w:p>
          <w:p w14:paraId="6B03ADDE">
            <w:pPr>
              <w:ind w:firstLine="480" w:firstLineChars="200"/>
              <w:rPr>
                <w:rFonts w:hint="eastAsia"/>
                <w:color w:val="auto"/>
              </w:rPr>
            </w:pPr>
            <w:r>
              <w:rPr>
                <w:rFonts w:hint="eastAsia"/>
                <w:color w:val="auto"/>
              </w:rPr>
              <w:t>（4）环境准入负面清单</w:t>
            </w:r>
          </w:p>
          <w:p w14:paraId="73EB14B3">
            <w:pPr>
              <w:ind w:firstLine="480" w:firstLineChars="200"/>
              <w:rPr>
                <w:rFonts w:hint="eastAsia"/>
                <w:color w:val="auto"/>
              </w:rPr>
            </w:pPr>
            <w:r>
              <w:rPr>
                <w:rFonts w:hint="eastAsia"/>
                <w:color w:val="auto"/>
              </w:rPr>
              <w:t>《安徽省江南产业集中区产业发展规划（2019-2030年）环境影响报告书》（报批版）就集中区产业规划范围内企业入驻情况提出以下负面清单要求，具体如下</w:t>
            </w:r>
            <w:r>
              <w:rPr>
                <w:rFonts w:hint="eastAsia"/>
                <w:color w:val="auto"/>
                <w:lang w:val="en-US" w:eastAsia="zh-CN"/>
              </w:rPr>
              <w:t>表</w:t>
            </w:r>
            <w:r>
              <w:rPr>
                <w:rFonts w:hint="eastAsia"/>
                <w:color w:val="auto"/>
              </w:rPr>
              <w:t>：</w:t>
            </w:r>
          </w:p>
          <w:p w14:paraId="760038A9">
            <w:pPr>
              <w:jc w:val="center"/>
              <w:rPr>
                <w:rFonts w:ascii="Times New Roman" w:hAnsi="Times New Roman" w:eastAsia="黑体" w:cs="Times New Roman"/>
                <w:color w:val="auto"/>
              </w:rPr>
            </w:pPr>
            <w:r>
              <w:rPr>
                <w:rFonts w:hint="eastAsia" w:ascii="Times New Roman" w:hAnsi="Times New Roman" w:eastAsia="黑体" w:cs="Times New Roman"/>
                <w:color w:val="auto"/>
              </w:rPr>
              <w:t>表1-</w:t>
            </w:r>
            <w:r>
              <w:rPr>
                <w:rFonts w:hint="eastAsia" w:ascii="Times New Roman" w:hAnsi="Times New Roman" w:eastAsia="黑体" w:cs="Times New Roman"/>
                <w:color w:val="auto"/>
                <w:lang w:val="en-US" w:eastAsia="zh-CN"/>
              </w:rPr>
              <w:t xml:space="preserve">4  </w:t>
            </w:r>
            <w:r>
              <w:rPr>
                <w:rFonts w:hint="eastAsia" w:ascii="Times New Roman" w:hAnsi="Times New Roman" w:eastAsia="黑体" w:cs="Times New Roman"/>
                <w:color w:val="auto"/>
              </w:rPr>
              <w:t>江南</w:t>
            </w:r>
            <w:r>
              <w:rPr>
                <w:rFonts w:hint="eastAsia" w:ascii="Times New Roman" w:hAnsi="Times New Roman" w:eastAsia="黑体" w:cs="Times New Roman"/>
                <w:color w:val="auto"/>
                <w:lang w:val="en-US" w:eastAsia="zh-CN"/>
              </w:rPr>
              <w:t>产业</w:t>
            </w:r>
            <w:r>
              <w:rPr>
                <w:rFonts w:hint="eastAsia" w:ascii="Times New Roman" w:hAnsi="Times New Roman" w:eastAsia="黑体" w:cs="Times New Roman"/>
                <w:color w:val="auto"/>
              </w:rPr>
              <w:t>集中区</w:t>
            </w:r>
            <w:r>
              <w:rPr>
                <w:rFonts w:hint="eastAsia" w:ascii="Times New Roman" w:hAnsi="Times New Roman" w:eastAsia="黑体" w:cs="Times New Roman"/>
                <w:color w:val="auto"/>
                <w:lang w:val="en-US" w:eastAsia="zh-CN"/>
              </w:rPr>
              <w:t>环境</w:t>
            </w:r>
            <w:r>
              <w:rPr>
                <w:rFonts w:hint="eastAsia" w:ascii="Times New Roman" w:hAnsi="Times New Roman" w:eastAsia="黑体" w:cs="Times New Roman"/>
                <w:color w:val="auto"/>
              </w:rPr>
              <w:t>准入负面清单</w:t>
            </w:r>
          </w:p>
          <w:tbl>
            <w:tblPr>
              <w:tblStyle w:val="69"/>
              <w:tblW w:w="8357" w:type="dxa"/>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612"/>
              <w:gridCol w:w="1122"/>
              <w:gridCol w:w="5096"/>
              <w:gridCol w:w="1527"/>
            </w:tblGrid>
            <w:tr w14:paraId="75647EC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04" w:hRule="atLeast"/>
                <w:jc w:val="center"/>
              </w:trPr>
              <w:tc>
                <w:tcPr>
                  <w:tcW w:w="366" w:type="pct"/>
                  <w:tcBorders>
                    <w:top w:val="single" w:color="auto" w:sz="4" w:space="0"/>
                    <w:left w:val="single" w:color="auto" w:sz="0" w:space="0"/>
                    <w:bottom w:val="single" w:color="auto" w:sz="4" w:space="0"/>
                    <w:right w:val="single" w:color="auto" w:sz="4" w:space="0"/>
                    <w:tl2br w:val="nil"/>
                    <w:tr2bl w:val="nil"/>
                  </w:tcBorders>
                  <w:noWrap w:val="0"/>
                  <w:vAlign w:val="center"/>
                </w:tcPr>
                <w:p w14:paraId="0E85DB41">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序号</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F81F35">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产业类别</w:t>
                  </w:r>
                </w:p>
              </w:tc>
              <w:tc>
                <w:tcPr>
                  <w:tcW w:w="304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3F1CD57">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负面清单</w:t>
                  </w:r>
                </w:p>
              </w:tc>
              <w:tc>
                <w:tcPr>
                  <w:tcW w:w="91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11CBA9F">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本项目</w:t>
                  </w:r>
                </w:p>
              </w:tc>
            </w:tr>
            <w:tr w14:paraId="7EC218E7">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08" w:hRule="atLeast"/>
                <w:jc w:val="center"/>
              </w:trPr>
              <w:tc>
                <w:tcPr>
                  <w:tcW w:w="36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78D75D4">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004CAFE">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机械电子</w:t>
                  </w:r>
                </w:p>
              </w:tc>
              <w:tc>
                <w:tcPr>
                  <w:tcW w:w="304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C053659">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①禁止引入表面处理中心以外的电镀生产工艺（其他必须配套电镀工序的企业，应严格控制其镀种和在电镀中心以外布局，其选址需经过充分环境影响论证）；</w:t>
                  </w:r>
                </w:p>
                <w:p w14:paraId="6C5E411F">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②禁止引入国家产业指导目录中非鼓励类铅酸电池项目。</w:t>
                  </w:r>
                </w:p>
              </w:tc>
              <w:tc>
                <w:tcPr>
                  <w:tcW w:w="913" w:type="pct"/>
                  <w:vMerge w:val="restart"/>
                  <w:tcBorders>
                    <w:top w:val="single" w:color="auto" w:sz="4" w:space="0"/>
                    <w:left w:val="single" w:color="auto" w:sz="4" w:space="0"/>
                    <w:right w:val="single" w:color="auto" w:sz="4" w:space="0"/>
                    <w:tl2br w:val="nil"/>
                    <w:tr2bl w:val="nil"/>
                  </w:tcBorders>
                  <w:noWrap w:val="0"/>
                  <w:vAlign w:val="center"/>
                </w:tcPr>
                <w:p w14:paraId="5FFED1AD">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有色金属铸造，产品为为铝基材的汽车零部件，不涉及电镀工艺，仅涉及熔炼、离心浇铸、压铸、机加工</w:t>
                  </w:r>
                  <w:r>
                    <w:rPr>
                      <w:rFonts w:hint="eastAsia" w:ascii="Times New Roman" w:hAnsi="Times New Roman" w:eastAsia="宋体" w:cs="宋体"/>
                      <w:color w:val="auto"/>
                      <w:kern w:val="0"/>
                      <w:sz w:val="18"/>
                      <w:szCs w:val="21"/>
                      <w:lang w:bidi="ar"/>
                    </w:rPr>
                    <w:t>等工序</w:t>
                  </w:r>
                  <w:r>
                    <w:rPr>
                      <w:rFonts w:hint="eastAsia" w:ascii="Times New Roman" w:hAnsi="Times New Roman" w:eastAsia="宋体" w:cs="宋体"/>
                      <w:color w:val="auto"/>
                      <w:kern w:val="0"/>
                      <w:sz w:val="18"/>
                      <w:szCs w:val="21"/>
                      <w:lang w:eastAsia="zh-CN" w:bidi="ar"/>
                    </w:rPr>
                    <w:t>，对照安徽省两高目录</w:t>
                  </w:r>
                  <w:r>
                    <w:rPr>
                      <w:rFonts w:hint="eastAsia" w:cs="宋体"/>
                      <w:color w:val="auto"/>
                      <w:kern w:val="0"/>
                      <w:sz w:val="18"/>
                      <w:szCs w:val="21"/>
                      <w:lang w:eastAsia="zh-CN" w:bidi="ar"/>
                    </w:rPr>
                    <w:t>，</w:t>
                  </w:r>
                  <w:r>
                    <w:rPr>
                      <w:rFonts w:hint="eastAsia" w:cs="宋体"/>
                      <w:color w:val="auto"/>
                      <w:kern w:val="0"/>
                      <w:sz w:val="18"/>
                      <w:szCs w:val="21"/>
                      <w:lang w:val="en-US" w:eastAsia="zh-CN" w:bidi="ar"/>
                    </w:rPr>
                    <w:t>本项目</w:t>
                  </w:r>
                  <w:r>
                    <w:rPr>
                      <w:rFonts w:hint="eastAsia" w:ascii="Times New Roman" w:hAnsi="Times New Roman" w:eastAsia="宋体" w:cs="宋体"/>
                      <w:color w:val="auto"/>
                      <w:kern w:val="0"/>
                      <w:sz w:val="18"/>
                      <w:szCs w:val="21"/>
                      <w:lang w:eastAsia="zh-CN" w:bidi="ar"/>
                    </w:rPr>
                    <w:t>不属于高污染、高能耗、高水耗和资源型行业；对照《产业结构调整指导目录（20</w:t>
                  </w:r>
                  <w:r>
                    <w:rPr>
                      <w:rFonts w:hint="eastAsia" w:ascii="Times New Roman" w:hAnsi="Times New Roman" w:eastAsia="宋体" w:cs="宋体"/>
                      <w:color w:val="auto"/>
                      <w:kern w:val="0"/>
                      <w:sz w:val="18"/>
                      <w:szCs w:val="21"/>
                      <w:lang w:val="en-US" w:eastAsia="zh-CN" w:bidi="ar"/>
                    </w:rPr>
                    <w:t>24</w:t>
                  </w:r>
                  <w:r>
                    <w:rPr>
                      <w:rFonts w:hint="eastAsia" w:ascii="Times New Roman" w:hAnsi="Times New Roman" w:eastAsia="宋体" w:cs="宋体"/>
                      <w:color w:val="auto"/>
                      <w:kern w:val="0"/>
                      <w:sz w:val="18"/>
                      <w:szCs w:val="21"/>
                      <w:lang w:eastAsia="zh-CN" w:bidi="ar"/>
                    </w:rPr>
                    <w:t>年本）》，不属于限制、淘汰或者禁止类项目。</w:t>
                  </w:r>
                </w:p>
              </w:tc>
            </w:tr>
            <w:tr w14:paraId="1C1A868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36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548219D">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2</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38C1818">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新型材料</w:t>
                  </w:r>
                </w:p>
              </w:tc>
              <w:tc>
                <w:tcPr>
                  <w:tcW w:w="304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466DBDE">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①禁止引入能耗物耗高、环境污染大、产出效益低的国家或省规定禁止的其他落后工艺；</w:t>
                  </w:r>
                </w:p>
                <w:p w14:paraId="66AC4351">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②禁止引入表面处理中心以外的电镀生产工艺（其他必须配套电镀工序的企业，应严格控制其镀种和在电镀中心以外布局，其选址需经过充分环境影响论证）；</w:t>
                  </w:r>
                </w:p>
                <w:p w14:paraId="0FE45DB3">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③禁止引入多晶硅、单晶硅制造等前道生产工序；</w:t>
                  </w:r>
                </w:p>
                <w:p w14:paraId="1422CFD5">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1F56CFC8">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⑤从严控制规模效益差、能源资源消耗大、环境影响严重的项目进入，包括钢铁、有色金属原矿冶炼、石化、焦化、水泥、原浆造纸、制革、平板玻璃和非金属矿原矿加工等项目。</w:t>
                  </w:r>
                </w:p>
              </w:tc>
              <w:tc>
                <w:tcPr>
                  <w:tcW w:w="913" w:type="pct"/>
                  <w:vMerge w:val="continue"/>
                  <w:tcBorders>
                    <w:left w:val="single" w:color="auto" w:sz="4" w:space="0"/>
                    <w:right w:val="single" w:color="auto" w:sz="4" w:space="0"/>
                    <w:tl2br w:val="nil"/>
                    <w:tr2bl w:val="nil"/>
                  </w:tcBorders>
                  <w:noWrap w:val="0"/>
                  <w:vAlign w:val="center"/>
                </w:tcPr>
                <w:p w14:paraId="575AC47C">
                  <w:pPr>
                    <w:pStyle w:val="906"/>
                    <w:spacing w:line="240" w:lineRule="auto"/>
                    <w:rPr>
                      <w:rFonts w:hint="eastAsia" w:ascii="Times New Roman" w:hAnsi="Times New Roman" w:eastAsia="宋体" w:cs="Times New Roman"/>
                      <w:color w:val="auto"/>
                      <w:lang w:val="en-US" w:eastAsia="zh-CN"/>
                    </w:rPr>
                  </w:pPr>
                </w:p>
              </w:tc>
            </w:tr>
            <w:tr w14:paraId="13E1254C">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11" w:hRule="atLeast"/>
                <w:jc w:val="center"/>
              </w:trPr>
              <w:tc>
                <w:tcPr>
                  <w:tcW w:w="36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AA84B3">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B510B10">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大健康</w:t>
                  </w:r>
                </w:p>
              </w:tc>
              <w:tc>
                <w:tcPr>
                  <w:tcW w:w="304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9D1C9B">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①禁止引入《产业结构调整指导目录（2024年本）》等产业政策中限制类和淘汰类设备和工艺；</w:t>
                  </w:r>
                </w:p>
                <w:p w14:paraId="42351EDE">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②禁止引入涉及化学合成工序的制药类项目。</w:t>
                  </w:r>
                </w:p>
              </w:tc>
              <w:tc>
                <w:tcPr>
                  <w:tcW w:w="913" w:type="pct"/>
                  <w:vMerge w:val="continue"/>
                  <w:tcBorders>
                    <w:left w:val="single" w:color="auto" w:sz="4" w:space="0"/>
                    <w:bottom w:val="single" w:color="auto" w:sz="4" w:space="0"/>
                    <w:right w:val="single" w:color="auto" w:sz="4" w:space="0"/>
                    <w:tl2br w:val="nil"/>
                    <w:tr2bl w:val="nil"/>
                  </w:tcBorders>
                  <w:noWrap w:val="0"/>
                  <w:vAlign w:val="center"/>
                </w:tcPr>
                <w:p w14:paraId="213E07CC">
                  <w:pPr>
                    <w:pStyle w:val="906"/>
                    <w:spacing w:line="240" w:lineRule="auto"/>
                    <w:rPr>
                      <w:rFonts w:hint="eastAsia" w:ascii="Times New Roman" w:hAnsi="Times New Roman" w:eastAsia="宋体" w:cs="Times New Roman"/>
                      <w:color w:val="auto"/>
                      <w:lang w:val="en-US" w:eastAsia="zh-CN"/>
                    </w:rPr>
                  </w:pPr>
                </w:p>
              </w:tc>
            </w:tr>
          </w:tbl>
          <w:p w14:paraId="3D83660F">
            <w:pPr>
              <w:ind w:firstLine="480" w:firstLineChars="200"/>
              <w:rPr>
                <w:rFonts w:hint="eastAsia"/>
                <w:color w:val="auto"/>
                <w:lang w:eastAsia="zh-CN"/>
              </w:rPr>
            </w:pPr>
            <w:r>
              <w:rPr>
                <w:rFonts w:hint="eastAsia"/>
                <w:color w:val="auto"/>
                <w:lang w:eastAsia="zh-CN"/>
              </w:rPr>
              <w:t>本项目属于C3392 有色金属铸造，项目建设内容不属于《产业结构调整指导目录（2024年本）》《市场准入负面清单（20</w:t>
            </w:r>
            <w:r>
              <w:rPr>
                <w:rFonts w:hint="eastAsia"/>
                <w:color w:val="auto"/>
                <w:lang w:val="en-US" w:eastAsia="zh-CN"/>
              </w:rPr>
              <w:t>25</w:t>
            </w:r>
            <w:r>
              <w:rPr>
                <w:rFonts w:hint="eastAsia"/>
                <w:color w:val="auto"/>
                <w:lang w:eastAsia="zh-CN"/>
              </w:rPr>
              <w:t>年版）》等国家、安徽省和池州市的产业政策法规要求中限制或淘汰类的项目；项目建设不涉及电镀工艺。故本项目不属于江南产业集中区环境准入负面清单企业类型。</w:t>
            </w:r>
          </w:p>
          <w:p w14:paraId="271DB854">
            <w:pPr>
              <w:ind w:firstLine="480" w:firstLineChars="200"/>
              <w:rPr>
                <w:rFonts w:hint="eastAsia"/>
                <w:color w:val="auto"/>
                <w:lang w:eastAsia="zh-CN"/>
              </w:rPr>
            </w:pPr>
            <w:r>
              <w:rPr>
                <w:rFonts w:hint="eastAsia"/>
                <w:color w:val="auto"/>
                <w:lang w:eastAsia="zh-CN"/>
              </w:rPr>
              <w:t>（</w:t>
            </w:r>
            <w:r>
              <w:rPr>
                <w:rFonts w:hint="eastAsia"/>
                <w:color w:val="auto"/>
                <w:lang w:val="en-US" w:eastAsia="zh-CN"/>
              </w:rPr>
              <w:t>5</w:t>
            </w:r>
            <w:r>
              <w:rPr>
                <w:rFonts w:hint="eastAsia"/>
                <w:color w:val="auto"/>
                <w:lang w:eastAsia="zh-CN"/>
              </w:rPr>
              <w:t>）生态环境管控单元划定及分类管控相符相分析</w:t>
            </w:r>
          </w:p>
          <w:p w14:paraId="46A6C482">
            <w:pPr>
              <w:ind w:firstLine="480" w:firstLineChars="200"/>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eastAsia="zh-CN"/>
              </w:rPr>
              <w:t>对照安徽省“三线一单”公众服务平台，本项目位于重点管控单元。本项目建成后对产生的废气、废水、噪声、固废均采取有效防治措施，对环境影响较小，满足相关管控单元管控要求。</w:t>
            </w:r>
          </w:p>
          <w:p w14:paraId="0B6240FF">
            <w:pPr>
              <w:rPr>
                <w:color w:val="auto"/>
              </w:rPr>
            </w:pPr>
            <w:r>
              <w:rPr>
                <w:color w:val="auto"/>
              </w:rPr>
              <mc:AlternateContent>
                <mc:Choice Requires="wps">
                  <w:drawing>
                    <wp:anchor distT="0" distB="0" distL="114300" distR="114300" simplePos="0" relativeHeight="251660288" behindDoc="0" locked="0" layoutInCell="1" allowOverlap="1">
                      <wp:simplePos x="0" y="0"/>
                      <wp:positionH relativeFrom="column">
                        <wp:posOffset>3269615</wp:posOffset>
                      </wp:positionH>
                      <wp:positionV relativeFrom="paragraph">
                        <wp:posOffset>960755</wp:posOffset>
                      </wp:positionV>
                      <wp:extent cx="680720" cy="282575"/>
                      <wp:effectExtent l="0" t="0" r="0" b="0"/>
                      <wp:wrapNone/>
                      <wp:docPr id="22" name="文本框 22"/>
                      <wp:cNvGraphicFramePr/>
                      <a:graphic xmlns:a="http://schemas.openxmlformats.org/drawingml/2006/main">
                        <a:graphicData uri="http://schemas.microsoft.com/office/word/2010/wordprocessingShape">
                          <wps:wsp>
                            <wps:cNvSpPr txBox="1"/>
                            <wps:spPr>
                              <a:xfrm>
                                <a:off x="5611495" y="2421890"/>
                                <a:ext cx="680720" cy="282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BE870">
                                  <w:pPr>
                                    <w:rPr>
                                      <w:color w:val="FF0000"/>
                                    </w:rPr>
                                  </w:pPr>
                                  <w:r>
                                    <w:rPr>
                                      <w:rFonts w:hint="eastAsia"/>
                                      <w:color w:val="FF0000"/>
                                    </w:rPr>
                                    <w:t>项目地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7.45pt;margin-top:75.65pt;height:22.25pt;width:53.6pt;z-index:251660288;mso-width-relative:page;mso-height-relative:page;" filled="f" stroked="f" coordsize="21600,21600" o:gfxdata="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BDK38PbAAAACwEAAA8AAAAAAAAA&#10;AQAgAAAAIgAAAGRycy9kb3ducmV2LnhtbFBLAQIUABQAAAAIAIdO4kCXpxJeRwIAAHMEAAAOAAAA&#10;AAAAAAEAIAAAACoBAABkcnMvZTJvRG9jLnhtbFBLBQYAAAAABgAGAFkBAADjBQAAAAA=&#10;">
                      <v:fill on="f" focussize="0,0"/>
                      <v:stroke on="f" weight="0.5pt"/>
                      <v:imagedata o:title=""/>
                      <o:lock v:ext="edit" aspectratio="f"/>
                      <v:textbox>
                        <w:txbxContent>
                          <w:p w14:paraId="4D3BE870">
                            <w:pPr>
                              <w:rPr>
                                <w:color w:val="FF0000"/>
                              </w:rPr>
                            </w:pPr>
                            <w:r>
                              <w:rPr>
                                <w:rFonts w:hint="eastAsia"/>
                                <w:color w:val="FF0000"/>
                              </w:rPr>
                              <w:t>项目地</w:t>
                            </w:r>
                          </w:p>
                        </w:txbxContent>
                      </v:textbox>
                    </v:shape>
                  </w:pict>
                </mc:Fallback>
              </mc:AlternateContent>
            </w:r>
            <w:r>
              <w:rPr>
                <w:color w:val="auto"/>
              </w:rPr>
              <mc:AlternateContent>
                <mc:Choice Requires="wps">
                  <w:drawing>
                    <wp:anchor distT="0" distB="0" distL="114300" distR="114300" simplePos="0" relativeHeight="251659264" behindDoc="0" locked="0" layoutInCell="1" allowOverlap="1">
                      <wp:simplePos x="0" y="0"/>
                      <wp:positionH relativeFrom="column">
                        <wp:posOffset>3041015</wp:posOffset>
                      </wp:positionH>
                      <wp:positionV relativeFrom="paragraph">
                        <wp:posOffset>1129030</wp:posOffset>
                      </wp:positionV>
                      <wp:extent cx="302895" cy="216535"/>
                      <wp:effectExtent l="0" t="5080" r="20955" b="6985"/>
                      <wp:wrapNone/>
                      <wp:docPr id="21" name="直接箭头连接符 21"/>
                      <wp:cNvGraphicFramePr/>
                      <a:graphic xmlns:a="http://schemas.openxmlformats.org/drawingml/2006/main">
                        <a:graphicData uri="http://schemas.microsoft.com/office/word/2010/wordprocessingShape">
                          <wps:wsp>
                            <wps:cNvCnPr/>
                            <wps:spPr>
                              <a:xfrm flipH="1">
                                <a:off x="5265420" y="2645410"/>
                                <a:ext cx="302895" cy="216535"/>
                              </a:xfrm>
                              <a:prstGeom prst="straightConnector1">
                                <a:avLst/>
                              </a:prstGeom>
                              <a:ln>
                                <a:solidFill>
                                  <a:srgbClr val="FF0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239.45pt;margin-top:88.9pt;height:17.05pt;width:23.85pt;z-index:251659264;mso-width-relative:page;mso-height-relative:page;" filled="f" stroked="t" coordsize="21600,21600" o:gfxdata="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Tk1Z8&#10;2QAAAAsBAAAPAAAAAAAAAAEAIAAAACIAAABkcnMvZG93bnJldi54bWxQSwECFAAUAAAACACHTuJA&#10;DhE/pyACAAD7AwAADgAAAAAAAAABACAAAAAoAQAAZHJzL2Uyb0RvYy54bWxQSwUGAAAAAAYABgBZ&#10;AQAAugUAAAAA&#10;">
                      <v:fill on="f" focussize="0,0"/>
                      <v:stroke weight="1pt" color="#FF0000 [3204]" miterlimit="8" joinstyle="miter" endarrow="open"/>
                      <v:imagedata o:title=""/>
                      <o:lock v:ext="edit" aspectratio="f"/>
                    </v:shape>
                  </w:pict>
                </mc:Fallback>
              </mc:AlternateContent>
            </w:r>
            <w:r>
              <w:rPr>
                <w:color w:val="auto"/>
              </w:rPr>
              <w:drawing>
                <wp:inline distT="0" distB="0" distL="114300" distR="114300">
                  <wp:extent cx="5172075" cy="2385060"/>
                  <wp:effectExtent l="0" t="0" r="9525" b="15240"/>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pic:cNvPicPr>
                        </pic:nvPicPr>
                        <pic:blipFill>
                          <a:blip r:embed="rId14"/>
                          <a:stretch>
                            <a:fillRect/>
                          </a:stretch>
                        </pic:blipFill>
                        <pic:spPr>
                          <a:xfrm>
                            <a:off x="0" y="0"/>
                            <a:ext cx="5172075" cy="2385060"/>
                          </a:xfrm>
                          <a:prstGeom prst="rect">
                            <a:avLst/>
                          </a:prstGeom>
                          <a:noFill/>
                          <a:ln>
                            <a:noFill/>
                          </a:ln>
                        </pic:spPr>
                      </pic:pic>
                    </a:graphicData>
                  </a:graphic>
                </wp:inline>
              </w:drawing>
            </w:r>
          </w:p>
          <w:p w14:paraId="6B429BE1">
            <w:pPr>
              <w:jc w:val="center"/>
              <w:rPr>
                <w:color w:val="auto"/>
              </w:rPr>
            </w:pPr>
            <w:r>
              <w:rPr>
                <w:rFonts w:eastAsia="黑体"/>
                <w:color w:val="auto"/>
                <w:szCs w:val="24"/>
              </w:rPr>
              <w:t>图</w:t>
            </w:r>
            <w:r>
              <w:rPr>
                <w:rFonts w:hint="eastAsia" w:eastAsia="黑体"/>
                <w:color w:val="auto"/>
                <w:szCs w:val="24"/>
              </w:rPr>
              <w:t>1</w:t>
            </w:r>
            <w:r>
              <w:rPr>
                <w:rFonts w:eastAsia="黑体"/>
                <w:color w:val="auto"/>
                <w:szCs w:val="24"/>
              </w:rPr>
              <w:t>-</w:t>
            </w:r>
            <w:r>
              <w:rPr>
                <w:rFonts w:hint="eastAsia" w:eastAsia="黑体"/>
                <w:color w:val="auto"/>
                <w:szCs w:val="24"/>
              </w:rPr>
              <w:t>1  本项目与安徽省“三线一单”公众服务平台相对位置图</w:t>
            </w:r>
          </w:p>
          <w:p w14:paraId="3E53EAC2">
            <w:pPr>
              <w:ind w:firstLine="480" w:firstLineChars="200"/>
              <w:rPr>
                <w:rFonts w:hint="eastAsia"/>
                <w:color w:val="auto"/>
              </w:rPr>
            </w:pPr>
            <w:r>
              <w:rPr>
                <w:rFonts w:hint="eastAsia"/>
                <w:color w:val="auto"/>
              </w:rPr>
              <w:t>对照《安徽“三线一单”管控要求查询报告》，本项目环境管控单元编码为ZH34170220006，为重点管控单元：具体管控单元要求分析见下表。</w:t>
            </w:r>
          </w:p>
          <w:p w14:paraId="4A5D6DB2">
            <w:pPr>
              <w:jc w:val="center"/>
              <w:rPr>
                <w:rFonts w:ascii="Times New Roman" w:hAnsi="Times New Roman" w:eastAsia="黑体" w:cs="Times New Roman"/>
                <w:color w:val="auto"/>
              </w:rPr>
            </w:pPr>
            <w:r>
              <w:rPr>
                <w:rFonts w:hint="eastAsia" w:ascii="Times New Roman" w:hAnsi="Times New Roman" w:eastAsia="黑体" w:cs="Times New Roman"/>
                <w:color w:val="auto"/>
              </w:rPr>
              <w:t>表1-</w:t>
            </w:r>
            <w:r>
              <w:rPr>
                <w:rFonts w:hint="eastAsia" w:ascii="Times New Roman" w:hAnsi="Times New Roman" w:eastAsia="黑体" w:cs="Times New Roman"/>
                <w:color w:val="auto"/>
                <w:lang w:val="en-US" w:eastAsia="zh-CN"/>
              </w:rPr>
              <w:t xml:space="preserve">5  </w:t>
            </w:r>
            <w:r>
              <w:rPr>
                <w:rFonts w:hint="eastAsia" w:ascii="Times New Roman" w:hAnsi="Times New Roman" w:eastAsia="黑体" w:cs="Times New Roman"/>
                <w:color w:val="auto"/>
              </w:rPr>
              <w:t>项目所在地管控要求相符性分析</w:t>
            </w:r>
          </w:p>
          <w:tbl>
            <w:tblPr>
              <w:tblStyle w:val="7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577"/>
              <w:gridCol w:w="716"/>
              <w:gridCol w:w="3531"/>
              <w:gridCol w:w="2478"/>
              <w:gridCol w:w="483"/>
            </w:tblGrid>
            <w:tr w14:paraId="4DF7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5" w:type="pct"/>
                  <w:vAlign w:val="center"/>
                </w:tcPr>
                <w:p w14:paraId="0512901E">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环境管控单元编码</w:t>
                  </w:r>
                </w:p>
              </w:tc>
              <w:tc>
                <w:tcPr>
                  <w:tcW w:w="345" w:type="pct"/>
                  <w:vAlign w:val="center"/>
                </w:tcPr>
                <w:p w14:paraId="1BD5AFCF">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环境管控单元分类</w:t>
                  </w:r>
                </w:p>
              </w:tc>
              <w:tc>
                <w:tcPr>
                  <w:tcW w:w="428" w:type="pct"/>
                  <w:vAlign w:val="center"/>
                </w:tcPr>
                <w:p w14:paraId="1EF9DA9E">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管控类别</w:t>
                  </w:r>
                </w:p>
              </w:tc>
              <w:tc>
                <w:tcPr>
                  <w:tcW w:w="2115" w:type="pct"/>
                  <w:vAlign w:val="center"/>
                </w:tcPr>
                <w:p w14:paraId="7C89EAAA">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管控要求</w:t>
                  </w:r>
                </w:p>
              </w:tc>
              <w:tc>
                <w:tcPr>
                  <w:tcW w:w="1484" w:type="pct"/>
                  <w:vAlign w:val="center"/>
                </w:tcPr>
                <w:p w14:paraId="64B3D134">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本项目情况</w:t>
                  </w:r>
                </w:p>
              </w:tc>
              <w:tc>
                <w:tcPr>
                  <w:tcW w:w="289" w:type="pct"/>
                  <w:vAlign w:val="center"/>
                </w:tcPr>
                <w:p w14:paraId="41B01875">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相符性</w:t>
                  </w:r>
                </w:p>
              </w:tc>
            </w:tr>
            <w:tr w14:paraId="75B3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35" w:type="pct"/>
                  <w:vMerge w:val="restart"/>
                  <w:vAlign w:val="center"/>
                </w:tcPr>
                <w:p w14:paraId="7075A133">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ZH34170220006</w:t>
                  </w:r>
                </w:p>
              </w:tc>
              <w:tc>
                <w:tcPr>
                  <w:tcW w:w="345" w:type="pct"/>
                  <w:vMerge w:val="restart"/>
                  <w:vAlign w:val="center"/>
                </w:tcPr>
                <w:p w14:paraId="2A7F8615">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重点管控单元</w:t>
                  </w:r>
                </w:p>
              </w:tc>
              <w:tc>
                <w:tcPr>
                  <w:tcW w:w="428" w:type="pct"/>
                  <w:vAlign w:val="center"/>
                </w:tcPr>
                <w:p w14:paraId="45C6813C">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空间布局约束</w:t>
                  </w:r>
                </w:p>
              </w:tc>
              <w:tc>
                <w:tcPr>
                  <w:tcW w:w="2115" w:type="pct"/>
                  <w:vAlign w:val="center"/>
                </w:tcPr>
                <w:p w14:paraId="235027EE">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严格城市规划蓝线管理，城市规划区范围内应保留一定比例的水域面积，现有水域面积不得减少。新建项目一律不得违规占用水域。</w:t>
                  </w:r>
                </w:p>
                <w:p w14:paraId="6381F012">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落实磷石膏综合利用途径，综合利用不畅的可利用现有磷石膏库堆存，不得新建、扩建磷石膏库(暂存场除外)。</w:t>
                  </w:r>
                </w:p>
                <w:p w14:paraId="537CF5A3">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引导石化、化工、钢铁、建材、有色金属等重点行业合理布局，提高化工、有色金属、农副食品加工、印染、制革、原料药制造、电镀等行业集聚水平。</w:t>
                  </w:r>
                </w:p>
                <w:p w14:paraId="0433E7FE">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严格控制缺水地区、水污染严重地区和敏感区域高耗水、高污染行业发展，鼓励推动高耗水企业向水资源条件允许的工业园区集中。</w:t>
                  </w:r>
                </w:p>
                <w:p w14:paraId="72E511EC">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持续开展涉水“散乱污”企业清理整治，严把能耗、环保等标准，促使一批达不到标准或淘汰类产能的企业，依法依规关停退出。</w:t>
                  </w:r>
                </w:p>
                <w:p w14:paraId="1DA50563">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推动污染企业退出。城市建成区内现有钢铁、有色金属、造纸、印染、原料药制造、化工等污染较重的企业应有序搬迁改造或依法关闭。</w:t>
                  </w:r>
                </w:p>
                <w:p w14:paraId="4D166945">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严格执行国家关于“两高”产业准入目录和产能总量控制政策措施。严禁新增钢铁、焦化、电解铝、铸造、水泥和平板玻璃等产能；新、改、扩建涉及大宗物料运输的建设项目，原则上不得采用公路运输。</w:t>
                  </w:r>
                </w:p>
                <w:p w14:paraId="6B9B2698">
                  <w:pPr>
                    <w:pStyle w:val="906"/>
                    <w:numPr>
                      <w:ilvl w:val="0"/>
                      <w:numId w:val="9"/>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w:t>
                  </w:r>
                </w:p>
              </w:tc>
              <w:tc>
                <w:tcPr>
                  <w:tcW w:w="1484" w:type="pct"/>
                  <w:vAlign w:val="center"/>
                </w:tcPr>
                <w:p w14:paraId="06592277">
                  <w:pPr>
                    <w:pStyle w:val="906"/>
                    <w:numPr>
                      <w:ilvl w:val="0"/>
                      <w:numId w:val="10"/>
                    </w:numPr>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本项目位于重点管控单元。</w:t>
                  </w:r>
                  <w:r>
                    <w:rPr>
                      <w:rFonts w:hint="default" w:ascii="Times New Roman" w:hAnsi="Times New Roman" w:eastAsia="宋体" w:cs="Times New Roman"/>
                      <w:color w:val="auto"/>
                      <w:lang w:val="en-US" w:eastAsia="zh-CN"/>
                    </w:rPr>
                    <w:t>本项目位于安徽省池州市皖江江南新兴产业集中区</w:t>
                  </w:r>
                  <w:r>
                    <w:rPr>
                      <w:rFonts w:hint="eastAsia" w:ascii="Times New Roman" w:hAnsi="Times New Roman" w:eastAsia="宋体" w:cs="Times New Roman"/>
                      <w:color w:val="auto"/>
                      <w:lang w:val="en-US" w:eastAsia="zh-CN"/>
                    </w:rPr>
                    <w:t>安安产业园7#厂房</w:t>
                  </w:r>
                  <w:r>
                    <w:rPr>
                      <w:rFonts w:hint="default" w:ascii="Times New Roman" w:hAnsi="Times New Roman" w:eastAsia="宋体" w:cs="Times New Roman"/>
                      <w:color w:val="auto"/>
                      <w:lang w:val="en-US" w:eastAsia="zh-CN"/>
                    </w:rPr>
                    <w:t>，用地类型为工业用地</w:t>
                  </w:r>
                  <w:r>
                    <w:rPr>
                      <w:rFonts w:hint="eastAsia" w:ascii="Times New Roman" w:hAnsi="Times New Roman" w:eastAsia="宋体" w:cs="Times New Roman"/>
                      <w:color w:val="auto"/>
                      <w:lang w:val="en-US" w:eastAsia="zh-CN"/>
                    </w:rPr>
                    <w:t>，不占用水域；</w:t>
                  </w:r>
                </w:p>
                <w:p w14:paraId="7118F19D">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本项目</w:t>
                  </w: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w:t>
                  </w:r>
                  <w:r>
                    <w:rPr>
                      <w:rFonts w:hint="eastAsia" w:cs="Times New Roman"/>
                      <w:color w:val="auto"/>
                      <w:lang w:val="en-US" w:eastAsia="zh-CN"/>
                    </w:rPr>
                    <w:t>不涉及磷石膏；</w:t>
                  </w:r>
                </w:p>
                <w:p w14:paraId="5822FDAD">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，不属于</w:t>
                  </w:r>
                  <w:r>
                    <w:rPr>
                      <w:rFonts w:hint="default" w:ascii="Times New Roman" w:hAnsi="Times New Roman" w:eastAsia="宋体" w:cs="Times New Roman"/>
                      <w:color w:val="auto"/>
                      <w:lang w:val="en-US" w:eastAsia="zh-CN"/>
                    </w:rPr>
                    <w:t>石化、化工、钢铁、建材、有色金属等重点行业</w:t>
                  </w:r>
                  <w:r>
                    <w:rPr>
                      <w:rFonts w:hint="eastAsia" w:ascii="Times New Roman" w:hAnsi="Times New Roman" w:eastAsia="宋体" w:cs="Times New Roman"/>
                      <w:color w:val="auto"/>
                      <w:lang w:val="en-US" w:eastAsia="zh-CN"/>
                    </w:rPr>
                    <w:t>；</w:t>
                  </w:r>
                </w:p>
                <w:p w14:paraId="6D4F71E8">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w:t>
                  </w:r>
                  <w:r>
                    <w:rPr>
                      <w:rFonts w:hint="eastAsia" w:cs="Times New Roman"/>
                      <w:color w:val="auto"/>
                      <w:lang w:val="en-US" w:eastAsia="zh-CN"/>
                    </w:rPr>
                    <w:t>用水量为3.1t/d，</w:t>
                  </w:r>
                  <w:r>
                    <w:rPr>
                      <w:rFonts w:hint="eastAsia" w:ascii="Times New Roman" w:hAnsi="Times New Roman" w:eastAsia="宋体" w:cs="Times New Roman"/>
                      <w:color w:val="auto"/>
                      <w:lang w:val="en-US" w:eastAsia="zh-CN"/>
                    </w:rPr>
                    <w:t>不属于</w:t>
                  </w:r>
                  <w:r>
                    <w:rPr>
                      <w:rFonts w:hint="eastAsia" w:cs="Times New Roman"/>
                      <w:color w:val="auto"/>
                      <w:lang w:val="en-US" w:eastAsia="zh-CN"/>
                    </w:rPr>
                    <w:t>高污染、高耗水行业</w:t>
                  </w:r>
                  <w:r>
                    <w:rPr>
                      <w:rFonts w:hint="eastAsia" w:ascii="Times New Roman" w:hAnsi="Times New Roman" w:eastAsia="宋体" w:cs="Times New Roman"/>
                      <w:color w:val="auto"/>
                      <w:lang w:val="en-US" w:eastAsia="zh-CN"/>
                    </w:rPr>
                    <w:t>；</w:t>
                  </w:r>
                </w:p>
                <w:p w14:paraId="2282BB18">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本项目为</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w:t>
                  </w:r>
                  <w:r>
                    <w:rPr>
                      <w:rFonts w:hint="eastAsia" w:cs="Times New Roman"/>
                      <w:color w:val="auto"/>
                      <w:lang w:val="en-US" w:eastAsia="zh-CN"/>
                    </w:rPr>
                    <w:t>企业生产过程严格把控能耗，废气废水污染物经处理后均能达标排放；</w:t>
                  </w:r>
                </w:p>
                <w:p w14:paraId="6C4B0970">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，不属于</w:t>
                  </w:r>
                  <w:r>
                    <w:rPr>
                      <w:rFonts w:hint="default" w:ascii="Times New Roman" w:hAnsi="Times New Roman" w:eastAsia="宋体" w:cs="Times New Roman"/>
                      <w:color w:val="auto"/>
                      <w:lang w:val="en-US" w:eastAsia="zh-CN"/>
                    </w:rPr>
                    <w:t>钢铁、有色金属、造纸、印染、原料药制造、化工等污染较重的企业</w:t>
                  </w:r>
                  <w:r>
                    <w:rPr>
                      <w:rFonts w:hint="eastAsia" w:cs="Times New Roman"/>
                      <w:color w:val="auto"/>
                      <w:lang w:val="en-US" w:eastAsia="zh-CN"/>
                    </w:rPr>
                    <w:t>；</w:t>
                  </w:r>
                </w:p>
                <w:p w14:paraId="141E0F0D">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对照安徽省</w:t>
                  </w:r>
                  <w:r>
                    <w:rPr>
                      <w:rFonts w:hint="default" w:ascii="Times New Roman" w:hAnsi="Times New Roman" w:eastAsia="宋体" w:cs="Times New Roman"/>
                      <w:color w:val="auto"/>
                      <w:lang w:val="en-US" w:eastAsia="zh-CN"/>
                    </w:rPr>
                    <w:t>“两高”产业</w:t>
                  </w:r>
                  <w:r>
                    <w:rPr>
                      <w:rFonts w:hint="eastAsia" w:cs="Times New Roman"/>
                      <w:color w:val="auto"/>
                      <w:lang w:val="en-US" w:eastAsia="zh-CN"/>
                    </w:rPr>
                    <w:t>目录，本项目不属于</w:t>
                  </w:r>
                  <w:r>
                    <w:rPr>
                      <w:rFonts w:hint="default" w:ascii="Times New Roman" w:hAnsi="Times New Roman" w:eastAsia="宋体" w:cs="Times New Roman"/>
                      <w:color w:val="auto"/>
                      <w:lang w:val="en-US" w:eastAsia="zh-CN"/>
                    </w:rPr>
                    <w:t>“两高”项目</w:t>
                  </w:r>
                  <w:r>
                    <w:rPr>
                      <w:rFonts w:hint="eastAsia" w:cs="Times New Roman"/>
                      <w:color w:val="auto"/>
                      <w:lang w:val="en-US" w:eastAsia="zh-CN"/>
                    </w:rPr>
                    <w:t>，本项目利用现有项目铝料头生产高端工业铝浇铸件，不新增产能；</w:t>
                  </w:r>
                </w:p>
                <w:p w14:paraId="56BA0B9E">
                  <w:pPr>
                    <w:pStyle w:val="906"/>
                    <w:numPr>
                      <w:ilvl w:val="0"/>
                      <w:numId w:val="10"/>
                    </w:numPr>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本项目</w:t>
                  </w:r>
                  <w:r>
                    <w:rPr>
                      <w:rFonts w:hint="eastAsia" w:ascii="Times New Roman" w:hAnsi="Times New Roman" w:eastAsia="宋体" w:cs="Times New Roman"/>
                      <w:color w:val="auto"/>
                      <w:lang w:val="en-US" w:eastAsia="zh-CN"/>
                    </w:rPr>
                    <w:t>位于</w:t>
                  </w:r>
                  <w:r>
                    <w:rPr>
                      <w:rFonts w:hint="default" w:ascii="Times New Roman" w:hAnsi="Times New Roman" w:eastAsia="宋体" w:cs="Times New Roman"/>
                      <w:color w:val="auto"/>
                      <w:lang w:val="en-US" w:eastAsia="zh-CN"/>
                    </w:rPr>
                    <w:t>皖江江南新兴产业集中区</w:t>
                  </w:r>
                  <w:r>
                    <w:rPr>
                      <w:rFonts w:hint="eastAsia" w:ascii="Times New Roman" w:hAnsi="Times New Roman" w:eastAsia="宋体" w:cs="Times New Roman"/>
                      <w:color w:val="auto"/>
                      <w:lang w:val="en-US" w:eastAsia="zh-CN"/>
                    </w:rPr>
                    <w:t>安安产业园7#厂房，符合</w:t>
                  </w:r>
                  <w:r>
                    <w:rPr>
                      <w:rFonts w:hint="default" w:ascii="Times New Roman" w:hAnsi="Times New Roman" w:eastAsia="宋体" w:cs="Times New Roman"/>
                      <w:color w:val="auto"/>
                      <w:lang w:val="en-US" w:eastAsia="zh-CN"/>
                    </w:rPr>
                    <w:t>《安徽省江南产业集中区</w:t>
                  </w:r>
                  <w:r>
                    <w:rPr>
                      <w:rFonts w:hint="eastAsia" w:cs="Times New Roman"/>
                      <w:color w:val="auto"/>
                      <w:lang w:val="en-US" w:eastAsia="zh-CN"/>
                    </w:rPr>
                    <w:t>总体</w:t>
                  </w:r>
                  <w:r>
                    <w:rPr>
                      <w:rFonts w:hint="default" w:ascii="Times New Roman" w:hAnsi="Times New Roman" w:eastAsia="宋体" w:cs="Times New Roman"/>
                      <w:color w:val="auto"/>
                      <w:lang w:val="en-US" w:eastAsia="zh-CN"/>
                    </w:rPr>
                    <w:t>规划》、“</w:t>
                  </w:r>
                  <w:r>
                    <w:rPr>
                      <w:rFonts w:hint="eastAsia" w:ascii="Times New Roman" w:hAnsi="Times New Roman" w:eastAsia="宋体" w:cs="Times New Roman"/>
                      <w:color w:val="auto"/>
                      <w:lang w:val="en-US" w:eastAsia="zh-CN"/>
                    </w:rPr>
                    <w:t>池州市</w:t>
                  </w:r>
                  <w:r>
                    <w:rPr>
                      <w:rFonts w:hint="default" w:ascii="Times New Roman" w:hAnsi="Times New Roman" w:eastAsia="宋体" w:cs="Times New Roman"/>
                      <w:color w:val="auto"/>
                      <w:lang w:val="en-US" w:eastAsia="zh-CN"/>
                    </w:rPr>
                    <w:t>三线一单”、《安徽省江南产业集中区产业发展规划（2019-2030年）环境影响报告书》要求</w:t>
                  </w:r>
                  <w:r>
                    <w:rPr>
                      <w:rFonts w:hint="eastAsia" w:cs="Times New Roman"/>
                      <w:color w:val="auto"/>
                      <w:lang w:val="en-US" w:eastAsia="zh-CN"/>
                    </w:rPr>
                    <w:t>，且本项目</w:t>
                  </w:r>
                  <w:r>
                    <w:rPr>
                      <w:rFonts w:hint="eastAsia" w:ascii="Times New Roman" w:hAnsi="Times New Roman" w:eastAsia="宋体" w:cs="Times New Roman"/>
                      <w:color w:val="auto"/>
                      <w:lang w:val="en-US" w:eastAsia="zh-CN"/>
                    </w:rPr>
                    <w:t>不属于“两高”项目</w:t>
                  </w:r>
                  <w:r>
                    <w:rPr>
                      <w:rFonts w:hint="eastAsia" w:cs="Times New Roman"/>
                      <w:color w:val="auto"/>
                      <w:lang w:val="en-US" w:eastAsia="zh-CN"/>
                    </w:rPr>
                    <w:t>，不</w:t>
                  </w:r>
                  <w:r>
                    <w:rPr>
                      <w:rFonts w:hint="default" w:ascii="Times New Roman" w:hAnsi="Times New Roman" w:eastAsia="宋体" w:cs="Times New Roman"/>
                      <w:color w:val="auto"/>
                      <w:lang w:val="en-US" w:eastAsia="zh-CN"/>
                    </w:rPr>
                    <w:t>属于落后产能</w:t>
                  </w:r>
                  <w:r>
                    <w:rPr>
                      <w:rFonts w:hint="eastAsia" w:ascii="Times New Roman" w:hAnsi="Times New Roman" w:eastAsia="宋体" w:cs="Times New Roman"/>
                      <w:color w:val="auto"/>
                      <w:lang w:val="en-US" w:eastAsia="zh-CN"/>
                    </w:rPr>
                    <w:t>。</w:t>
                  </w:r>
                </w:p>
              </w:tc>
              <w:tc>
                <w:tcPr>
                  <w:tcW w:w="289" w:type="pct"/>
                  <w:vMerge w:val="restart"/>
                  <w:vAlign w:val="center"/>
                </w:tcPr>
                <w:p w14:paraId="656EA017">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符合</w:t>
                  </w:r>
                </w:p>
              </w:tc>
            </w:tr>
            <w:tr w14:paraId="467B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35" w:type="pct"/>
                  <w:vMerge w:val="continue"/>
                  <w:vAlign w:val="center"/>
                </w:tcPr>
                <w:p w14:paraId="2BEEF4FA">
                  <w:pPr>
                    <w:pStyle w:val="906"/>
                    <w:spacing w:line="240" w:lineRule="auto"/>
                    <w:rPr>
                      <w:rFonts w:hint="default" w:ascii="Times New Roman" w:hAnsi="Times New Roman" w:eastAsia="宋体" w:cs="Times New Roman"/>
                      <w:color w:val="auto"/>
                      <w:lang w:val="en-US" w:eastAsia="zh-CN"/>
                    </w:rPr>
                  </w:pPr>
                </w:p>
              </w:tc>
              <w:tc>
                <w:tcPr>
                  <w:tcW w:w="345" w:type="pct"/>
                  <w:vMerge w:val="continue"/>
                  <w:vAlign w:val="center"/>
                </w:tcPr>
                <w:p w14:paraId="7FD255FB">
                  <w:pPr>
                    <w:pStyle w:val="906"/>
                    <w:spacing w:line="240" w:lineRule="auto"/>
                    <w:rPr>
                      <w:rFonts w:hint="default" w:ascii="Times New Roman" w:hAnsi="Times New Roman" w:eastAsia="宋体" w:cs="Times New Roman"/>
                      <w:color w:val="auto"/>
                      <w:lang w:val="en-US" w:eastAsia="zh-CN"/>
                    </w:rPr>
                  </w:pPr>
                </w:p>
              </w:tc>
              <w:tc>
                <w:tcPr>
                  <w:tcW w:w="428" w:type="pct"/>
                  <w:vAlign w:val="center"/>
                </w:tcPr>
                <w:p w14:paraId="5CB5E967">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污染物排放管控</w:t>
                  </w:r>
                </w:p>
              </w:tc>
              <w:tc>
                <w:tcPr>
                  <w:tcW w:w="2115" w:type="pct"/>
                  <w:vAlign w:val="center"/>
                </w:tcPr>
                <w:p w14:paraId="378259E1">
                  <w:pPr>
                    <w:pStyle w:val="906"/>
                    <w:numPr>
                      <w:ilvl w:val="0"/>
                      <w:numId w:val="11"/>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积极推进清洁生产审核，对焦化、有色金属、石化、化工、电镀、制革、石油开采、造纸、印染、农副食品加工等行业，全面推进清洁生产改造或清洁化改造。</w:t>
                  </w:r>
                </w:p>
                <w:p w14:paraId="02C821C0">
                  <w:pPr>
                    <w:pStyle w:val="906"/>
                    <w:numPr>
                      <w:ilvl w:val="0"/>
                      <w:numId w:val="11"/>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建设项目所在水环境控制单元或断面总磷超标的，实施总磷排放量2倍或以上削减替代。所在水环境控制单元或断面总磷达标的，实施总磷排放量等量或以上削减替代。替代量应来源于项目同一水环境控制单元或断面上游拟实施关停、升级改造的工业企业，不得来源于农业源、城镇污水处理厂或已列入流域环境质量改善计划的工业企业。相应的减排措施应确保在项目投产前完成。</w:t>
                  </w:r>
                </w:p>
                <w:p w14:paraId="1F9572C9">
                  <w:pPr>
                    <w:pStyle w:val="906"/>
                    <w:numPr>
                      <w:ilvl w:val="0"/>
                      <w:numId w:val="11"/>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进出钢铁企业的铁精矿、煤炭、焦炭等大宗物料和产品采用铁路、水路、管道或管状带式输送机等清洁方式运输比例不低于80%；达不到的，汽车运输部分应全部采用新能源汽车或达到国六排放标准的汽车（2021年底前可采用国五排放标准的汽车）。</w:t>
                  </w:r>
                </w:p>
                <w:p w14:paraId="6763EC99">
                  <w:pPr>
                    <w:pStyle w:val="906"/>
                    <w:numPr>
                      <w:ilvl w:val="0"/>
                      <w:numId w:val="11"/>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对以煤、石油焦、渣油、重油等为燃料的工业炉窑，加快使用清洁低碳能源以及利用工厂余热、电厂热力等进行替代。</w:t>
                  </w:r>
                </w:p>
              </w:tc>
              <w:tc>
                <w:tcPr>
                  <w:tcW w:w="1484" w:type="pct"/>
                  <w:vAlign w:val="center"/>
                </w:tcPr>
                <w:p w14:paraId="13005013">
                  <w:pPr>
                    <w:pStyle w:val="906"/>
                    <w:numPr>
                      <w:ilvl w:val="0"/>
                      <w:numId w:val="12"/>
                    </w:numPr>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，不属于</w:t>
                  </w:r>
                  <w:r>
                    <w:rPr>
                      <w:rFonts w:hint="default" w:ascii="Times New Roman" w:hAnsi="Times New Roman" w:eastAsia="宋体" w:cs="Times New Roman"/>
                      <w:color w:val="auto"/>
                      <w:lang w:val="en-US" w:eastAsia="zh-CN"/>
                    </w:rPr>
                    <w:t>焦化、有色金属、石化、化工、电镀、制革、石油开采、造纸、印染、农副食品加工等行业</w:t>
                  </w:r>
                  <w:r>
                    <w:rPr>
                      <w:rFonts w:hint="eastAsia" w:ascii="Times New Roman" w:hAnsi="Times New Roman" w:eastAsia="宋体" w:cs="Times New Roman"/>
                      <w:color w:val="auto"/>
                      <w:lang w:val="en-US" w:eastAsia="zh-CN"/>
                    </w:rPr>
                    <w:t>；</w:t>
                  </w:r>
                </w:p>
                <w:p w14:paraId="05A0B027">
                  <w:pPr>
                    <w:pStyle w:val="906"/>
                    <w:numPr>
                      <w:ilvl w:val="0"/>
                      <w:numId w:val="12"/>
                    </w:numPr>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根据池州市202</w:t>
                  </w:r>
                  <w:r>
                    <w:rPr>
                      <w:rFonts w:hint="eastAsia" w:cs="Times New Roman"/>
                      <w:color w:val="auto"/>
                      <w:lang w:val="en-US" w:eastAsia="zh-CN"/>
                    </w:rPr>
                    <w:t>4</w:t>
                  </w:r>
                  <w:r>
                    <w:rPr>
                      <w:rFonts w:hint="eastAsia" w:ascii="Times New Roman" w:hAnsi="Times New Roman" w:eastAsia="宋体" w:cs="Times New Roman"/>
                      <w:color w:val="auto"/>
                      <w:lang w:val="en-US" w:eastAsia="zh-CN"/>
                    </w:rPr>
                    <w:t>年</w:t>
                  </w:r>
                  <w:r>
                    <w:rPr>
                      <w:rFonts w:hint="eastAsia" w:cs="Times New Roman"/>
                      <w:color w:val="auto"/>
                      <w:lang w:val="en-US" w:eastAsia="zh-CN"/>
                    </w:rPr>
                    <w:t>池州市</w:t>
                  </w:r>
                  <w:r>
                    <w:rPr>
                      <w:rFonts w:hint="eastAsia" w:ascii="Times New Roman" w:hAnsi="Times New Roman" w:eastAsia="宋体" w:cs="Times New Roman"/>
                      <w:color w:val="auto"/>
                      <w:lang w:val="en-US" w:eastAsia="zh-CN"/>
                    </w:rPr>
                    <w:t>环境质量状况公报，</w:t>
                  </w:r>
                  <w:r>
                    <w:rPr>
                      <w:rFonts w:hint="default" w:ascii="Times New Roman" w:hAnsi="Times New Roman" w:eastAsia="宋体" w:cs="Times New Roman"/>
                      <w:color w:val="auto"/>
                      <w:lang w:val="en-US" w:eastAsia="zh-CN"/>
                    </w:rPr>
                    <w:t>水环境控制单元或断面</w:t>
                  </w:r>
                  <w:r>
                    <w:rPr>
                      <w:rFonts w:hint="eastAsia" w:cs="Times New Roman"/>
                      <w:color w:val="auto"/>
                      <w:lang w:val="en-US" w:eastAsia="zh-CN"/>
                    </w:rPr>
                    <w:t>均达标，</w:t>
                  </w:r>
                  <w:r>
                    <w:rPr>
                      <w:rFonts w:hint="eastAsia" w:ascii="Times New Roman" w:hAnsi="Times New Roman" w:eastAsia="宋体" w:cs="Times New Roman"/>
                      <w:color w:val="auto"/>
                      <w:lang w:val="en-US" w:eastAsia="zh-CN"/>
                    </w:rPr>
                    <w:t>项目区域地表水体可达到《地表水环境质量标准》（GB3838-2002）</w:t>
                  </w:r>
                  <w:r>
                    <w:rPr>
                      <w:rFonts w:hint="default" w:ascii="Times New Roman" w:hAnsi="Times New Roman" w:eastAsia="宋体" w:cs="Times New Roman"/>
                      <w:color w:val="auto"/>
                      <w:lang w:val="en-US" w:eastAsia="zh-CN"/>
                    </w:rPr>
                    <w:t>Ⅲ</w:t>
                  </w:r>
                  <w:r>
                    <w:rPr>
                      <w:rFonts w:hint="eastAsia" w:ascii="Times New Roman" w:hAnsi="Times New Roman" w:eastAsia="宋体" w:cs="Times New Roman"/>
                      <w:color w:val="auto"/>
                      <w:lang w:val="en-US" w:eastAsia="zh-CN"/>
                    </w:rPr>
                    <w:t>类标准要求</w:t>
                  </w:r>
                  <w:r>
                    <w:rPr>
                      <w:rFonts w:hint="eastAsia" w:cs="Times New Roman"/>
                      <w:color w:val="auto"/>
                      <w:lang w:val="en-US" w:eastAsia="zh-CN"/>
                    </w:rPr>
                    <w:t>，无需实施总磷排放量2倍或以上替代；</w:t>
                  </w:r>
                </w:p>
                <w:p w14:paraId="1CA144C6">
                  <w:pPr>
                    <w:pStyle w:val="906"/>
                    <w:numPr>
                      <w:ilvl w:val="0"/>
                      <w:numId w:val="12"/>
                    </w:numPr>
                    <w:spacing w:line="240" w:lineRule="auto"/>
                    <w:rPr>
                      <w:rFonts w:hint="eastAsia" w:ascii="Times New Roman" w:hAnsi="Times New Roman" w:eastAsia="宋体" w:cs="Times New Roman"/>
                      <w:color w:val="auto"/>
                      <w:lang w:val="en-US" w:eastAsia="zh-CN"/>
                    </w:rPr>
                  </w:pPr>
                  <w:r>
                    <w:rPr>
                      <w:rFonts w:hint="eastAsia" w:cs="Times New Roman"/>
                      <w:color w:val="auto"/>
                      <w:lang w:val="en-US" w:eastAsia="zh-CN"/>
                    </w:rPr>
                    <w:t>本项目不属于钢铁企业，不涉及</w:t>
                  </w:r>
                  <w:r>
                    <w:rPr>
                      <w:rFonts w:hint="default" w:ascii="Times New Roman" w:hAnsi="Times New Roman" w:eastAsia="宋体" w:cs="Times New Roman"/>
                      <w:color w:val="auto"/>
                      <w:lang w:val="en-US" w:eastAsia="zh-CN"/>
                    </w:rPr>
                    <w:t>铁精矿、煤炭、焦炭等</w:t>
                  </w:r>
                  <w:r>
                    <w:rPr>
                      <w:rFonts w:hint="eastAsia" w:cs="Times New Roman"/>
                      <w:color w:val="auto"/>
                      <w:lang w:val="en-US" w:eastAsia="zh-CN"/>
                    </w:rPr>
                    <w:t>运输；</w:t>
                  </w:r>
                </w:p>
                <w:p w14:paraId="745DC5D3">
                  <w:pPr>
                    <w:pStyle w:val="906"/>
                    <w:numPr>
                      <w:ilvl w:val="0"/>
                      <w:numId w:val="12"/>
                    </w:numPr>
                    <w:spacing w:line="240" w:lineRule="auto"/>
                    <w:rPr>
                      <w:rFonts w:hint="eastAsia" w:ascii="Times New Roman" w:hAnsi="Times New Roman" w:eastAsia="宋体" w:cs="Times New Roman"/>
                      <w:color w:val="auto"/>
                      <w:lang w:val="en-US" w:eastAsia="zh-CN"/>
                    </w:rPr>
                  </w:pPr>
                  <w:r>
                    <w:rPr>
                      <w:rFonts w:hint="eastAsia" w:cs="Times New Roman"/>
                      <w:color w:val="auto"/>
                      <w:lang w:val="en-US" w:eastAsia="zh-CN"/>
                    </w:rPr>
                    <w:t>本项目集中熔铝炉为工业炉窑，使用天然气为燃料，为清洁能源，无需替代。</w:t>
                  </w:r>
                </w:p>
              </w:tc>
              <w:tc>
                <w:tcPr>
                  <w:tcW w:w="289" w:type="pct"/>
                  <w:vMerge w:val="continue"/>
                  <w:vAlign w:val="center"/>
                </w:tcPr>
                <w:p w14:paraId="4A6A0EF9">
                  <w:pPr>
                    <w:pStyle w:val="906"/>
                    <w:spacing w:line="240" w:lineRule="auto"/>
                    <w:rPr>
                      <w:rFonts w:hint="default" w:ascii="Times New Roman" w:hAnsi="Times New Roman" w:eastAsia="宋体" w:cs="Times New Roman"/>
                      <w:color w:val="auto"/>
                      <w:lang w:val="en-US" w:eastAsia="zh-CN"/>
                    </w:rPr>
                  </w:pPr>
                </w:p>
              </w:tc>
            </w:tr>
            <w:tr w14:paraId="761D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335" w:type="pct"/>
                  <w:vMerge w:val="continue"/>
                  <w:vAlign w:val="center"/>
                </w:tcPr>
                <w:p w14:paraId="083441D0">
                  <w:pPr>
                    <w:pStyle w:val="906"/>
                    <w:spacing w:line="240" w:lineRule="auto"/>
                    <w:rPr>
                      <w:rFonts w:hint="default" w:ascii="Times New Roman" w:hAnsi="Times New Roman" w:eastAsia="宋体" w:cs="Times New Roman"/>
                      <w:color w:val="auto"/>
                      <w:lang w:val="en-US" w:eastAsia="zh-CN"/>
                    </w:rPr>
                  </w:pPr>
                </w:p>
              </w:tc>
              <w:tc>
                <w:tcPr>
                  <w:tcW w:w="345" w:type="pct"/>
                  <w:vMerge w:val="continue"/>
                  <w:vAlign w:val="center"/>
                </w:tcPr>
                <w:p w14:paraId="6EB97401">
                  <w:pPr>
                    <w:pStyle w:val="906"/>
                    <w:spacing w:line="240" w:lineRule="auto"/>
                    <w:rPr>
                      <w:rFonts w:hint="default" w:ascii="Times New Roman" w:hAnsi="Times New Roman" w:eastAsia="宋体" w:cs="Times New Roman"/>
                      <w:color w:val="auto"/>
                      <w:lang w:val="en-US" w:eastAsia="zh-CN"/>
                    </w:rPr>
                  </w:pPr>
                </w:p>
              </w:tc>
              <w:tc>
                <w:tcPr>
                  <w:tcW w:w="428" w:type="pct"/>
                  <w:vAlign w:val="center"/>
                </w:tcPr>
                <w:p w14:paraId="00F39443">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资源开发效率要求</w:t>
                  </w:r>
                </w:p>
              </w:tc>
              <w:tc>
                <w:tcPr>
                  <w:tcW w:w="2115" w:type="pct"/>
                  <w:vAlign w:val="center"/>
                </w:tcPr>
                <w:p w14:paraId="6C93B8D8">
                  <w:pPr>
                    <w:pStyle w:val="906"/>
                    <w:numPr>
                      <w:ilvl w:val="0"/>
                      <w:numId w:val="13"/>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推动煤电行业实施节能降耗改造、供热改造和灵活性改造“三改联动”。加快供热管网建设，淘汰管网覆盖范围内的燃煤锅炉和散煤。到2025年，火电平均供电煤耗降至295克标煤/千瓦时，散煤基本清零。</w:t>
                  </w:r>
                </w:p>
                <w:p w14:paraId="641C16B5">
                  <w:pPr>
                    <w:pStyle w:val="906"/>
                    <w:numPr>
                      <w:ilvl w:val="0"/>
                      <w:numId w:val="13"/>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w:t>
                  </w:r>
                </w:p>
                <w:p w14:paraId="528F3B5E">
                  <w:pPr>
                    <w:pStyle w:val="906"/>
                    <w:numPr>
                      <w:ilvl w:val="0"/>
                      <w:numId w:val="13"/>
                    </w:numPr>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推动光伏发电规模化发展，充分利用荒山荒坡、采煤沉陷区等未利用空间，建设集中式光伏电站。加快工业园区、公共建筑、居民住宅等屋顶光伏建设，有序推动国家整县（市、区）屋顶分布式光伏开发试点，因地制宜推进“光伏+”项目。</w:t>
                  </w:r>
                </w:p>
              </w:tc>
              <w:tc>
                <w:tcPr>
                  <w:tcW w:w="1484" w:type="pct"/>
                  <w:vAlign w:val="center"/>
                </w:tcPr>
                <w:p w14:paraId="2ACE49C0">
                  <w:pPr>
                    <w:pStyle w:val="906"/>
                    <w:numPr>
                      <w:ilvl w:val="0"/>
                      <w:numId w:val="14"/>
                    </w:numPr>
                    <w:spacing w:line="240" w:lineRule="auto"/>
                    <w:rPr>
                      <w:rFonts w:hint="eastAsia" w:cs="Times New Roman"/>
                      <w:color w:val="auto"/>
                      <w:lang w:val="en-US" w:eastAsia="zh-CN"/>
                    </w:rPr>
                  </w:pPr>
                  <w:r>
                    <w:rPr>
                      <w:rFonts w:hint="eastAsia" w:ascii="Times New Roman" w:hAnsi="Times New Roman" w:eastAsia="宋体" w:cs="Times New Roman"/>
                      <w:color w:val="auto"/>
                      <w:lang w:val="en-US" w:eastAsia="zh-CN"/>
                    </w:rPr>
                    <w:t>本项目属于</w:t>
                  </w:r>
                  <w:r>
                    <w:rPr>
                      <w:rFonts w:hint="eastAsia" w:cs="Times New Roman"/>
                      <w:color w:val="auto"/>
                      <w:lang w:val="en-US" w:eastAsia="zh-CN"/>
                    </w:rPr>
                    <w:t>C3392 有色金属铸造</w:t>
                  </w:r>
                  <w:r>
                    <w:rPr>
                      <w:rFonts w:hint="eastAsia" w:ascii="Times New Roman" w:hAnsi="Times New Roman" w:eastAsia="宋体" w:cs="Times New Roman"/>
                      <w:color w:val="auto"/>
                      <w:lang w:val="en-US" w:eastAsia="zh-CN"/>
                    </w:rPr>
                    <w:t>，</w:t>
                  </w:r>
                  <w:r>
                    <w:rPr>
                      <w:rFonts w:hint="eastAsia" w:cs="Times New Roman"/>
                      <w:color w:val="auto"/>
                      <w:lang w:val="en-US" w:eastAsia="zh-CN"/>
                    </w:rPr>
                    <w:t>本项目集中熔铝炉、离心浇铸机、压铸机</w:t>
                  </w:r>
                  <w:r>
                    <w:rPr>
                      <w:rFonts w:hint="eastAsia" w:ascii="Times New Roman" w:hAnsi="Times New Roman" w:eastAsia="宋体" w:cs="宋体"/>
                      <w:color w:val="auto"/>
                      <w:kern w:val="0"/>
                      <w:sz w:val="18"/>
                      <w:szCs w:val="21"/>
                      <w:lang w:bidi="ar"/>
                    </w:rPr>
                    <w:t>等</w:t>
                  </w:r>
                  <w:r>
                    <w:rPr>
                      <w:rFonts w:hint="eastAsia" w:cs="宋体"/>
                      <w:color w:val="auto"/>
                      <w:kern w:val="0"/>
                      <w:sz w:val="18"/>
                      <w:szCs w:val="21"/>
                      <w:lang w:val="en-US" w:eastAsia="zh-CN" w:bidi="ar"/>
                    </w:rPr>
                    <w:t>均</w:t>
                  </w:r>
                  <w:r>
                    <w:rPr>
                      <w:rFonts w:hint="eastAsia" w:cs="Times New Roman"/>
                      <w:color w:val="auto"/>
                      <w:lang w:val="en-US" w:eastAsia="zh-CN"/>
                    </w:rPr>
                    <w:t>使用天然气和电能，不使用煤，符合</w:t>
                  </w:r>
                  <w:r>
                    <w:rPr>
                      <w:rFonts w:hint="default" w:ascii="Times New Roman" w:hAnsi="Times New Roman" w:eastAsia="宋体" w:cs="Times New Roman"/>
                      <w:color w:val="auto"/>
                      <w:lang w:val="en-US" w:eastAsia="zh-CN"/>
                    </w:rPr>
                    <w:t>节能降耗</w:t>
                  </w:r>
                  <w:r>
                    <w:rPr>
                      <w:rFonts w:hint="eastAsia" w:ascii="Times New Roman" w:hAnsi="Times New Roman" w:eastAsia="宋体" w:cs="Times New Roman"/>
                      <w:color w:val="auto"/>
                      <w:lang w:val="en-US" w:eastAsia="zh-CN"/>
                    </w:rPr>
                    <w:t>要求</w:t>
                  </w:r>
                  <w:r>
                    <w:rPr>
                      <w:rFonts w:hint="eastAsia" w:cs="Times New Roman"/>
                      <w:color w:val="auto"/>
                      <w:lang w:val="en-US" w:eastAsia="zh-CN"/>
                    </w:rPr>
                    <w:t>；</w:t>
                  </w:r>
                </w:p>
                <w:p w14:paraId="7A04FB65">
                  <w:pPr>
                    <w:pStyle w:val="906"/>
                    <w:numPr>
                      <w:ilvl w:val="0"/>
                      <w:numId w:val="14"/>
                    </w:numPr>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本项目设备均为新购设备，使用天然气和电能，符合铸造等行业积极推进天然气等措施</w:t>
                  </w:r>
                  <w:r>
                    <w:rPr>
                      <w:rFonts w:hint="eastAsia" w:ascii="Times New Roman" w:hAnsi="Times New Roman" w:eastAsia="宋体" w:cs="Times New Roman"/>
                      <w:color w:val="auto"/>
                      <w:lang w:val="en-US" w:eastAsia="zh-CN"/>
                    </w:rPr>
                    <w:t>。</w:t>
                  </w:r>
                </w:p>
              </w:tc>
              <w:tc>
                <w:tcPr>
                  <w:tcW w:w="289" w:type="pct"/>
                  <w:vMerge w:val="continue"/>
                  <w:vAlign w:val="center"/>
                </w:tcPr>
                <w:p w14:paraId="52BC8969">
                  <w:pPr>
                    <w:pStyle w:val="906"/>
                    <w:spacing w:line="240" w:lineRule="auto"/>
                    <w:rPr>
                      <w:rFonts w:hint="default" w:ascii="Times New Roman" w:hAnsi="Times New Roman" w:eastAsia="宋体" w:cs="Times New Roman"/>
                      <w:color w:val="auto"/>
                      <w:lang w:val="en-US" w:eastAsia="zh-CN"/>
                    </w:rPr>
                  </w:pPr>
                </w:p>
              </w:tc>
            </w:tr>
          </w:tbl>
          <w:p w14:paraId="156E6A57">
            <w:pPr>
              <w:pStyle w:val="6"/>
              <w:spacing w:before="0" w:after="0" w:line="360" w:lineRule="auto"/>
              <w:rPr>
                <w:rFonts w:ascii="Times New Roman" w:hAnsi="Times New Roman"/>
                <w:bCs w:val="0"/>
                <w:color w:val="auto"/>
                <w:sz w:val="24"/>
              </w:rPr>
            </w:pPr>
            <w:r>
              <w:rPr>
                <w:rFonts w:hint="eastAsia" w:ascii="Times New Roman" w:hAnsi="Times New Roman"/>
                <w:bCs w:val="0"/>
                <w:color w:val="auto"/>
                <w:sz w:val="24"/>
              </w:rPr>
              <w:t>2、与《</w:t>
            </w:r>
            <w:r>
              <w:rPr>
                <w:rFonts w:ascii="Times New Roman" w:hAnsi="Times New Roman"/>
                <w:bCs w:val="0"/>
                <w:color w:val="auto"/>
                <w:sz w:val="24"/>
              </w:rPr>
              <w:t>产业结构调整指导目录（20</w:t>
            </w:r>
            <w:r>
              <w:rPr>
                <w:rFonts w:hint="eastAsia" w:ascii="Times New Roman" w:hAnsi="Times New Roman"/>
                <w:bCs w:val="0"/>
                <w:color w:val="auto"/>
                <w:sz w:val="24"/>
              </w:rPr>
              <w:t>24</w:t>
            </w:r>
            <w:r>
              <w:rPr>
                <w:rFonts w:ascii="Times New Roman" w:hAnsi="Times New Roman"/>
                <w:bCs w:val="0"/>
                <w:color w:val="auto"/>
                <w:sz w:val="24"/>
              </w:rPr>
              <w:t>年本）</w:t>
            </w:r>
            <w:r>
              <w:rPr>
                <w:rFonts w:hint="eastAsia" w:ascii="Times New Roman" w:hAnsi="Times New Roman"/>
                <w:bCs w:val="0"/>
                <w:color w:val="auto"/>
                <w:sz w:val="24"/>
              </w:rPr>
              <w:t>》相符性</w:t>
            </w:r>
          </w:p>
          <w:p w14:paraId="028B3370">
            <w:pPr>
              <w:ind w:firstLine="480" w:firstLineChars="200"/>
              <w:rPr>
                <w:color w:val="auto"/>
              </w:rPr>
            </w:pPr>
            <w:r>
              <w:rPr>
                <w:color w:val="auto"/>
              </w:rPr>
              <w:t>本项目</w:t>
            </w:r>
            <w:r>
              <w:rPr>
                <w:rFonts w:hint="eastAsia"/>
                <w:color w:val="auto"/>
              </w:rPr>
              <w:t>属于“</w:t>
            </w:r>
            <w:r>
              <w:rPr>
                <w:rFonts w:hint="eastAsia"/>
                <w:color w:val="auto"/>
                <w:lang w:eastAsia="zh-CN"/>
              </w:rPr>
              <w:t>C3392 有色金属铸造</w:t>
            </w:r>
            <w:r>
              <w:rPr>
                <w:rFonts w:hint="eastAsia"/>
                <w:color w:val="auto"/>
              </w:rPr>
              <w:t>”</w:t>
            </w:r>
            <w:r>
              <w:rPr>
                <w:rFonts w:hint="eastAsia"/>
                <w:color w:val="auto"/>
                <w:szCs w:val="24"/>
              </w:rPr>
              <w:t>，不</w:t>
            </w:r>
            <w:r>
              <w:rPr>
                <w:color w:val="auto"/>
              </w:rPr>
              <w:t>属于《产业结构调整指导目录（</w:t>
            </w:r>
            <w:r>
              <w:rPr>
                <w:rFonts w:hint="eastAsia"/>
                <w:color w:val="auto"/>
              </w:rPr>
              <w:t>2024</w:t>
            </w:r>
            <w:r>
              <w:rPr>
                <w:color w:val="auto"/>
              </w:rPr>
              <w:t>年本）》中</w:t>
            </w:r>
            <w:r>
              <w:rPr>
                <w:rFonts w:hint="eastAsia"/>
                <w:color w:val="auto"/>
              </w:rPr>
              <w:t>规定的限制类、淘汰类，根据《产业结构调整方向暂行规定》中第十一条“不属于鼓励类、限制类和淘汰类，且符合国家有关法律、法规规定的，为允许类”的规定。202</w:t>
            </w:r>
            <w:r>
              <w:rPr>
                <w:rFonts w:hint="eastAsia"/>
                <w:color w:val="auto"/>
                <w:lang w:val="en-US" w:eastAsia="zh-CN"/>
              </w:rPr>
              <w:t>5</w:t>
            </w:r>
            <w:r>
              <w:rPr>
                <w:rFonts w:hint="eastAsia"/>
                <w:color w:val="auto"/>
              </w:rPr>
              <w:t>年</w:t>
            </w:r>
            <w:r>
              <w:rPr>
                <w:rFonts w:hint="eastAsia"/>
                <w:color w:val="auto"/>
                <w:lang w:val="en-US" w:eastAsia="zh-CN"/>
              </w:rPr>
              <w:t>4</w:t>
            </w:r>
            <w:r>
              <w:rPr>
                <w:rFonts w:hint="eastAsia"/>
                <w:color w:val="auto"/>
              </w:rPr>
              <w:t>月</w:t>
            </w:r>
            <w:r>
              <w:rPr>
                <w:rFonts w:hint="eastAsia"/>
                <w:color w:val="auto"/>
                <w:lang w:val="en-US" w:eastAsia="zh-CN"/>
              </w:rPr>
              <w:t>9</w:t>
            </w:r>
            <w:r>
              <w:rPr>
                <w:rFonts w:hint="eastAsia"/>
                <w:color w:val="auto"/>
              </w:rPr>
              <w:t>日，皖江江南新兴产业集中区管委会对该项目进行了备案，项目代码为</w:t>
            </w:r>
            <w:r>
              <w:rPr>
                <w:rFonts w:hint="eastAsia"/>
                <w:color w:val="auto"/>
                <w:lang w:eastAsia="zh-CN"/>
              </w:rPr>
              <w:t>2410-341763-04-02-778359</w:t>
            </w:r>
            <w:r>
              <w:rPr>
                <w:rFonts w:hint="eastAsia"/>
                <w:color w:val="auto"/>
              </w:rPr>
              <w:t>。</w:t>
            </w:r>
          </w:p>
          <w:p w14:paraId="4F5AFF02">
            <w:pPr>
              <w:ind w:firstLine="480" w:firstLineChars="200"/>
              <w:rPr>
                <w:color w:val="auto"/>
              </w:rPr>
            </w:pPr>
            <w:r>
              <w:rPr>
                <w:color w:val="auto"/>
              </w:rPr>
              <w:t>因此，本项目建设符合国家产业政策的要求。</w:t>
            </w:r>
          </w:p>
          <w:p w14:paraId="20290ABC">
            <w:pPr>
              <w:rPr>
                <w:b/>
                <w:bCs/>
                <w:color w:val="auto"/>
              </w:rPr>
            </w:pPr>
            <w:r>
              <w:rPr>
                <w:rFonts w:hint="eastAsia"/>
                <w:b/>
                <w:bCs/>
                <w:color w:val="auto"/>
              </w:rPr>
              <w:t>3、选址合理性分析</w:t>
            </w:r>
          </w:p>
          <w:p w14:paraId="7D201F48">
            <w:pPr>
              <w:ind w:firstLine="480" w:firstLineChars="200"/>
              <w:rPr>
                <w:rFonts w:hint="eastAsia"/>
                <w:color w:val="auto"/>
              </w:rPr>
            </w:pPr>
            <w:r>
              <w:rPr>
                <w:rFonts w:hint="eastAsia"/>
                <w:color w:val="auto"/>
              </w:rPr>
              <w:t>①选址符合性分析</w:t>
            </w:r>
          </w:p>
          <w:p w14:paraId="6AEC27F6">
            <w:pPr>
              <w:ind w:firstLine="480" w:firstLineChars="200"/>
              <w:rPr>
                <w:rFonts w:hint="eastAsia"/>
                <w:color w:val="auto"/>
              </w:rPr>
            </w:pPr>
            <w:r>
              <w:rPr>
                <w:rFonts w:hint="eastAsia"/>
                <w:color w:val="auto"/>
              </w:rPr>
              <w:t>本项目位于安徽省池州市皖江江南新兴产业集中区</w:t>
            </w:r>
            <w:r>
              <w:rPr>
                <w:rFonts w:hint="eastAsia"/>
                <w:color w:val="auto"/>
                <w:lang w:val="en-US" w:eastAsia="zh-CN"/>
              </w:rPr>
              <w:t>安安产业园7#</w:t>
            </w:r>
            <w:r>
              <w:rPr>
                <w:rFonts w:hint="eastAsia"/>
                <w:color w:val="auto"/>
              </w:rPr>
              <w:t>厂房。本项目东北临安徽佳晟金属科技有限公司；南、东侧为空地；西侧</w:t>
            </w:r>
            <w:r>
              <w:rPr>
                <w:rFonts w:hint="eastAsia"/>
                <w:color w:val="auto"/>
                <w:lang w:eastAsia="zh-CN"/>
              </w:rPr>
              <w:t>、</w:t>
            </w:r>
            <w:r>
              <w:rPr>
                <w:rFonts w:hint="eastAsia"/>
                <w:color w:val="auto"/>
              </w:rPr>
              <w:t>北侧为池州市安安新材科技有限公司其他项目所在地，厂区主入口靠近迎宾大道。项目周边无对项目构成不利的制约因素，且对周边敏感目标的环境影响较小。因此，本项目选址合理。</w:t>
            </w:r>
          </w:p>
          <w:p w14:paraId="35A39124">
            <w:pPr>
              <w:ind w:firstLine="480" w:firstLineChars="200"/>
              <w:rPr>
                <w:rFonts w:hint="eastAsia"/>
                <w:color w:val="auto"/>
              </w:rPr>
            </w:pPr>
            <w:r>
              <w:rPr>
                <w:rFonts w:hint="eastAsia"/>
                <w:color w:val="auto"/>
              </w:rPr>
              <w:t>②用地符合性分析</w:t>
            </w:r>
          </w:p>
          <w:p w14:paraId="3B2B8028">
            <w:pPr>
              <w:ind w:firstLine="480" w:firstLineChars="200"/>
              <w:rPr>
                <w:rFonts w:hint="eastAsia"/>
                <w:color w:val="auto"/>
              </w:rPr>
            </w:pPr>
            <w:r>
              <w:rPr>
                <w:rFonts w:hint="eastAsia"/>
                <w:color w:val="auto"/>
              </w:rPr>
              <w:t>本项目位于皖江江南新兴产业集中区</w:t>
            </w:r>
            <w:r>
              <w:rPr>
                <w:rFonts w:hint="eastAsia"/>
                <w:color w:val="auto"/>
                <w:lang w:val="en-US" w:eastAsia="zh-CN"/>
              </w:rPr>
              <w:t>安安产业园7#</w:t>
            </w:r>
            <w:r>
              <w:rPr>
                <w:rFonts w:hint="eastAsia"/>
                <w:color w:val="auto"/>
              </w:rPr>
              <w:t>厂房，项目用地属于工业用地，符合开发区土地利用，本项目与皖江江南新兴产业集中区总体规划用地布局关系图，详见附图</w:t>
            </w:r>
            <w:r>
              <w:rPr>
                <w:rFonts w:hint="eastAsia"/>
                <w:color w:val="auto"/>
                <w:lang w:val="en-US" w:eastAsia="zh-CN"/>
              </w:rPr>
              <w:t>2</w:t>
            </w:r>
            <w:r>
              <w:rPr>
                <w:rFonts w:hint="eastAsia"/>
                <w:color w:val="auto"/>
              </w:rPr>
              <w:t>，对照国土资源部、国家发改委关于发布实施《限制用地项目目录（2012年本）》和《禁止用地项目目录（2012年本）》的通知，本项目不在限制用地项目目录和禁止用地项目目录内。项目厂房土地证见附件</w:t>
            </w:r>
            <w:r>
              <w:rPr>
                <w:rFonts w:hint="eastAsia"/>
                <w:color w:val="auto"/>
                <w:lang w:val="en-US" w:eastAsia="zh-CN"/>
              </w:rPr>
              <w:t>7</w:t>
            </w:r>
            <w:r>
              <w:rPr>
                <w:rFonts w:hint="eastAsia"/>
                <w:color w:val="auto"/>
              </w:rPr>
              <w:t>。</w:t>
            </w:r>
          </w:p>
          <w:p w14:paraId="38E200E9">
            <w:pPr>
              <w:ind w:firstLine="480" w:firstLineChars="200"/>
              <w:rPr>
                <w:rFonts w:hint="eastAsia"/>
                <w:color w:val="auto"/>
              </w:rPr>
            </w:pPr>
            <w:r>
              <w:rPr>
                <w:rFonts w:hint="eastAsia"/>
                <w:color w:val="auto"/>
              </w:rPr>
              <w:t>③建设条件可行性分析</w:t>
            </w:r>
          </w:p>
          <w:p w14:paraId="725D617E">
            <w:pPr>
              <w:ind w:firstLine="480" w:firstLineChars="200"/>
              <w:rPr>
                <w:rFonts w:hint="eastAsia"/>
                <w:color w:val="auto"/>
              </w:rPr>
            </w:pPr>
            <w:r>
              <w:rPr>
                <w:rFonts w:hint="eastAsia"/>
                <w:color w:val="auto"/>
              </w:rPr>
              <w:t>项目建设区域附近的市政供水、排水、供电管网等基础设施齐全满足建设所需的外部条件。从建设条件可行性分析本项目选址合理。</w:t>
            </w:r>
          </w:p>
          <w:p w14:paraId="69F90945">
            <w:pPr>
              <w:ind w:firstLine="480" w:firstLineChars="200"/>
              <w:rPr>
                <w:rFonts w:hint="eastAsia"/>
                <w:color w:val="auto"/>
              </w:rPr>
            </w:pPr>
            <w:r>
              <w:rPr>
                <w:rFonts w:hint="eastAsia"/>
                <w:color w:val="auto"/>
              </w:rPr>
              <w:t>④周边环境相容性分析</w:t>
            </w:r>
          </w:p>
          <w:p w14:paraId="5BDF873F">
            <w:pPr>
              <w:ind w:firstLine="480" w:firstLineChars="200"/>
              <w:rPr>
                <w:rFonts w:hint="eastAsia"/>
                <w:color w:val="auto"/>
              </w:rPr>
            </w:pPr>
            <w:r>
              <w:rPr>
                <w:rFonts w:hint="eastAsia"/>
                <w:color w:val="auto"/>
              </w:rPr>
              <w:t>本项目位于安徽省池州市皖江江南新兴产业集中区</w:t>
            </w:r>
            <w:r>
              <w:rPr>
                <w:rFonts w:hint="eastAsia"/>
                <w:color w:val="auto"/>
                <w:lang w:val="en-US" w:eastAsia="zh-CN"/>
              </w:rPr>
              <w:t>安安产业园7#</w:t>
            </w:r>
            <w:r>
              <w:rPr>
                <w:rFonts w:hint="eastAsia"/>
                <w:color w:val="auto"/>
              </w:rPr>
              <w:t>厂房。本项目东北临安徽佳晟金属科技有限公司；南、东侧为空地；西侧</w:t>
            </w:r>
            <w:r>
              <w:rPr>
                <w:rFonts w:hint="eastAsia"/>
                <w:color w:val="auto"/>
                <w:lang w:eastAsia="zh-CN"/>
              </w:rPr>
              <w:t>、</w:t>
            </w:r>
            <w:r>
              <w:rPr>
                <w:rFonts w:hint="eastAsia"/>
                <w:color w:val="auto"/>
              </w:rPr>
              <w:t>北侧为池州市安安新材科技有限公司其他项目所在地。项目</w:t>
            </w:r>
            <w:r>
              <w:rPr>
                <w:rFonts w:hint="eastAsia"/>
                <w:color w:val="auto"/>
                <w:lang w:val="en-US" w:eastAsia="zh-CN"/>
              </w:rPr>
              <w:t>周边关系图</w:t>
            </w:r>
            <w:r>
              <w:rPr>
                <w:rFonts w:hint="eastAsia"/>
                <w:color w:val="auto"/>
              </w:rPr>
              <w:t>见附图</w:t>
            </w:r>
            <w:r>
              <w:rPr>
                <w:rFonts w:hint="eastAsia"/>
                <w:color w:val="auto"/>
                <w:lang w:val="en-US" w:eastAsia="zh-CN"/>
              </w:rPr>
              <w:t>7</w:t>
            </w:r>
            <w:r>
              <w:rPr>
                <w:rFonts w:hint="eastAsia"/>
                <w:color w:val="auto"/>
              </w:rPr>
              <w:t>。该地块地形平坦开阔，交通便利，无不良地质情况。本项目评价区域内无需特殊保护的濒危动植物，评价区域无国家级、省级和市级重点文物保护单位。本项目属于</w:t>
            </w:r>
            <w:r>
              <w:rPr>
                <w:rFonts w:hint="eastAsia"/>
                <w:color w:val="auto"/>
                <w:lang w:eastAsia="zh-CN"/>
              </w:rPr>
              <w:t>C3392 有色金属铸造</w:t>
            </w:r>
            <w:r>
              <w:rPr>
                <w:rFonts w:hint="eastAsia"/>
                <w:color w:val="auto"/>
              </w:rPr>
              <w:t>，项目投入运行后对周围环境的影响在可接受范围内，不会改变当地的环境功能。因此，本项目的建设与周围环境具有相容性。</w:t>
            </w:r>
          </w:p>
          <w:p w14:paraId="2C00C4E1">
            <w:pPr>
              <w:ind w:firstLine="480" w:firstLineChars="200"/>
              <w:rPr>
                <w:color w:val="auto"/>
              </w:rPr>
            </w:pPr>
            <w:r>
              <w:rPr>
                <w:rFonts w:hint="eastAsia"/>
                <w:color w:val="auto"/>
              </w:rPr>
              <w:t>综上所述，项目选址合理可行</w:t>
            </w:r>
            <w:r>
              <w:rPr>
                <w:color w:val="auto"/>
              </w:rPr>
              <w:t>。</w:t>
            </w:r>
          </w:p>
          <w:p w14:paraId="3E2F29F8">
            <w:pPr>
              <w:numPr>
                <w:ilvl w:val="0"/>
                <w:numId w:val="15"/>
              </w:numPr>
              <w:rPr>
                <w:b/>
                <w:bCs/>
                <w:color w:val="auto"/>
              </w:rPr>
            </w:pPr>
            <w:r>
              <w:rPr>
                <w:rFonts w:hint="eastAsia"/>
                <w:b/>
                <w:bCs/>
                <w:color w:val="auto"/>
              </w:rPr>
              <w:t>与《市场准入负面清单（202</w:t>
            </w:r>
            <w:r>
              <w:rPr>
                <w:rFonts w:hint="eastAsia"/>
                <w:b/>
                <w:bCs/>
                <w:color w:val="auto"/>
                <w:lang w:val="en-US" w:eastAsia="zh-CN"/>
              </w:rPr>
              <w:t>5</w:t>
            </w:r>
            <w:r>
              <w:rPr>
                <w:rFonts w:hint="eastAsia"/>
                <w:b/>
                <w:bCs/>
                <w:color w:val="auto"/>
              </w:rPr>
              <w:t>年版）》相符性分析</w:t>
            </w:r>
          </w:p>
          <w:p w14:paraId="6E31D52D">
            <w:pPr>
              <w:ind w:firstLine="480" w:firstLineChars="200"/>
              <w:rPr>
                <w:color w:val="auto"/>
              </w:rPr>
            </w:pPr>
            <w:r>
              <w:rPr>
                <w:rFonts w:hint="eastAsia"/>
                <w:color w:val="auto"/>
              </w:rPr>
              <w:t>对照《市场准入负面清单（202</w:t>
            </w:r>
            <w:r>
              <w:rPr>
                <w:rFonts w:hint="eastAsia"/>
                <w:color w:val="auto"/>
                <w:lang w:val="en-US" w:eastAsia="zh-CN"/>
              </w:rPr>
              <w:t>5</w:t>
            </w:r>
            <w:r>
              <w:rPr>
                <w:rFonts w:hint="eastAsia"/>
                <w:color w:val="auto"/>
              </w:rPr>
              <w:t xml:space="preserve"> 年版）》，与本项目相符性分析见下表：</w:t>
            </w:r>
          </w:p>
          <w:p w14:paraId="2A7D8E54">
            <w:pPr>
              <w:pStyle w:val="902"/>
              <w:rPr>
                <w:color w:val="auto"/>
              </w:rPr>
            </w:pPr>
            <w:r>
              <w:rPr>
                <w:rFonts w:hint="eastAsia"/>
                <w:color w:val="auto"/>
              </w:rPr>
              <w:t>表1-</w:t>
            </w:r>
            <w:r>
              <w:rPr>
                <w:rFonts w:hint="eastAsia"/>
                <w:color w:val="auto"/>
                <w:lang w:val="en-US" w:eastAsia="zh-CN"/>
              </w:rPr>
              <w:t>6</w:t>
            </w:r>
            <w:r>
              <w:rPr>
                <w:rFonts w:hint="eastAsia"/>
                <w:color w:val="auto"/>
              </w:rPr>
              <w:t xml:space="preserve">  与《市场准入负面清单（202</w:t>
            </w:r>
            <w:r>
              <w:rPr>
                <w:rFonts w:hint="eastAsia"/>
                <w:color w:val="auto"/>
                <w:lang w:val="en-US" w:eastAsia="zh-CN"/>
              </w:rPr>
              <w:t>5</w:t>
            </w:r>
            <w:r>
              <w:rPr>
                <w:rFonts w:hint="eastAsia"/>
                <w:color w:val="auto"/>
              </w:rPr>
              <w:t>年版）》相符性分析</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5706"/>
              <w:gridCol w:w="1084"/>
              <w:gridCol w:w="977"/>
            </w:tblGrid>
            <w:tr w14:paraId="34B8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09BD4E8C">
                  <w:pPr>
                    <w:pStyle w:val="906"/>
                    <w:spacing w:line="240" w:lineRule="auto"/>
                    <w:rPr>
                      <w:color w:val="auto"/>
                    </w:rPr>
                  </w:pPr>
                  <w:r>
                    <w:rPr>
                      <w:rFonts w:hint="eastAsia"/>
                      <w:color w:val="auto"/>
                    </w:rPr>
                    <w:t>序号</w:t>
                  </w:r>
                </w:p>
              </w:tc>
              <w:tc>
                <w:tcPr>
                  <w:tcW w:w="3416" w:type="pct"/>
                  <w:vAlign w:val="center"/>
                </w:tcPr>
                <w:p w14:paraId="6A1FEA12">
                  <w:pPr>
                    <w:pStyle w:val="906"/>
                    <w:spacing w:line="240" w:lineRule="auto"/>
                    <w:rPr>
                      <w:color w:val="auto"/>
                    </w:rPr>
                  </w:pPr>
                  <w:r>
                    <w:rPr>
                      <w:rFonts w:hint="eastAsia"/>
                      <w:color w:val="auto"/>
                    </w:rPr>
                    <w:t>管控条款</w:t>
                  </w:r>
                </w:p>
              </w:tc>
              <w:tc>
                <w:tcPr>
                  <w:tcW w:w="649" w:type="pct"/>
                  <w:vAlign w:val="center"/>
                </w:tcPr>
                <w:p w14:paraId="272EC40C">
                  <w:pPr>
                    <w:pStyle w:val="906"/>
                    <w:spacing w:line="240" w:lineRule="auto"/>
                    <w:rPr>
                      <w:color w:val="auto"/>
                    </w:rPr>
                  </w:pPr>
                  <w:r>
                    <w:rPr>
                      <w:rFonts w:hint="eastAsia"/>
                      <w:color w:val="auto"/>
                    </w:rPr>
                    <w:t>本项目情况</w:t>
                  </w:r>
                </w:p>
              </w:tc>
              <w:tc>
                <w:tcPr>
                  <w:tcW w:w="585" w:type="pct"/>
                  <w:vAlign w:val="center"/>
                </w:tcPr>
                <w:p w14:paraId="23F49577">
                  <w:pPr>
                    <w:pStyle w:val="906"/>
                    <w:spacing w:line="240" w:lineRule="auto"/>
                    <w:rPr>
                      <w:color w:val="auto"/>
                    </w:rPr>
                  </w:pPr>
                  <w:r>
                    <w:rPr>
                      <w:rFonts w:hint="eastAsia"/>
                      <w:color w:val="auto"/>
                    </w:rPr>
                    <w:t>是否属于该范畴</w:t>
                  </w:r>
                </w:p>
              </w:tc>
            </w:tr>
            <w:tr w14:paraId="6625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335363DF">
                  <w:pPr>
                    <w:pStyle w:val="906"/>
                    <w:spacing w:line="240" w:lineRule="auto"/>
                    <w:rPr>
                      <w:color w:val="auto"/>
                    </w:rPr>
                  </w:pPr>
                  <w:r>
                    <w:rPr>
                      <w:rFonts w:hint="eastAsia"/>
                      <w:color w:val="auto"/>
                    </w:rPr>
                    <w:t>一</w:t>
                  </w:r>
                </w:p>
              </w:tc>
              <w:tc>
                <w:tcPr>
                  <w:tcW w:w="4650" w:type="pct"/>
                  <w:gridSpan w:val="3"/>
                  <w:vAlign w:val="center"/>
                </w:tcPr>
                <w:p w14:paraId="705D07BE">
                  <w:pPr>
                    <w:pStyle w:val="906"/>
                    <w:spacing w:line="240" w:lineRule="auto"/>
                    <w:rPr>
                      <w:color w:val="auto"/>
                    </w:rPr>
                  </w:pPr>
                  <w:r>
                    <w:rPr>
                      <w:rFonts w:hint="eastAsia"/>
                      <w:color w:val="auto"/>
                    </w:rPr>
                    <w:t>禁止准入类</w:t>
                  </w:r>
                </w:p>
              </w:tc>
            </w:tr>
            <w:tr w14:paraId="7B07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33613E57">
                  <w:pPr>
                    <w:pStyle w:val="906"/>
                    <w:spacing w:line="240" w:lineRule="auto"/>
                    <w:rPr>
                      <w:color w:val="auto"/>
                    </w:rPr>
                  </w:pPr>
                  <w:r>
                    <w:rPr>
                      <w:rFonts w:hint="eastAsia"/>
                      <w:color w:val="auto"/>
                    </w:rPr>
                    <w:t>1</w:t>
                  </w:r>
                </w:p>
              </w:tc>
              <w:tc>
                <w:tcPr>
                  <w:tcW w:w="3416" w:type="pct"/>
                  <w:vAlign w:val="center"/>
                </w:tcPr>
                <w:p w14:paraId="79E364EA">
                  <w:pPr>
                    <w:pStyle w:val="906"/>
                    <w:spacing w:line="240" w:lineRule="auto"/>
                    <w:rPr>
                      <w:color w:val="auto"/>
                    </w:rPr>
                  </w:pPr>
                  <w:r>
                    <w:rPr>
                      <w:rFonts w:hint="eastAsia"/>
                      <w:color w:val="auto"/>
                    </w:rPr>
                    <w:t>法律、法规、国务院决定等明确设立且与市场准入相关的禁止性规定</w:t>
                  </w:r>
                </w:p>
              </w:tc>
              <w:tc>
                <w:tcPr>
                  <w:tcW w:w="649" w:type="pct"/>
                  <w:vAlign w:val="center"/>
                </w:tcPr>
                <w:p w14:paraId="0C0DD8EF">
                  <w:pPr>
                    <w:pStyle w:val="906"/>
                    <w:spacing w:line="240" w:lineRule="auto"/>
                    <w:rPr>
                      <w:color w:val="auto"/>
                    </w:rPr>
                  </w:pPr>
                  <w:r>
                    <w:rPr>
                      <w:rFonts w:hint="eastAsia"/>
                      <w:color w:val="auto"/>
                    </w:rPr>
                    <w:t>不涉及</w:t>
                  </w:r>
                </w:p>
              </w:tc>
              <w:tc>
                <w:tcPr>
                  <w:tcW w:w="585" w:type="pct"/>
                  <w:vAlign w:val="center"/>
                </w:tcPr>
                <w:p w14:paraId="57FBAC8A">
                  <w:pPr>
                    <w:pStyle w:val="906"/>
                    <w:spacing w:line="240" w:lineRule="auto"/>
                    <w:rPr>
                      <w:color w:val="auto"/>
                    </w:rPr>
                  </w:pPr>
                  <w:r>
                    <w:rPr>
                      <w:rFonts w:hint="eastAsia"/>
                      <w:color w:val="auto"/>
                    </w:rPr>
                    <w:t>否</w:t>
                  </w:r>
                </w:p>
              </w:tc>
            </w:tr>
            <w:tr w14:paraId="1479D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3FB3BB01">
                  <w:pPr>
                    <w:pStyle w:val="906"/>
                    <w:spacing w:line="240" w:lineRule="auto"/>
                    <w:rPr>
                      <w:color w:val="auto"/>
                    </w:rPr>
                  </w:pPr>
                  <w:r>
                    <w:rPr>
                      <w:rFonts w:hint="eastAsia"/>
                      <w:color w:val="auto"/>
                    </w:rPr>
                    <w:t>2</w:t>
                  </w:r>
                </w:p>
              </w:tc>
              <w:tc>
                <w:tcPr>
                  <w:tcW w:w="3416" w:type="pct"/>
                  <w:vAlign w:val="center"/>
                </w:tcPr>
                <w:p w14:paraId="15EA2D16">
                  <w:pPr>
                    <w:pStyle w:val="906"/>
                    <w:spacing w:line="240" w:lineRule="auto"/>
                    <w:rPr>
                      <w:color w:val="auto"/>
                    </w:rPr>
                  </w:pPr>
                  <w:r>
                    <w:rPr>
                      <w:rFonts w:hint="eastAsia"/>
                      <w:color w:val="auto"/>
                    </w:rPr>
                    <w:t>国家产业政策明令淘汰和限值的产品、技术、工艺、设备及行为</w:t>
                  </w:r>
                </w:p>
              </w:tc>
              <w:tc>
                <w:tcPr>
                  <w:tcW w:w="649" w:type="pct"/>
                  <w:vAlign w:val="center"/>
                </w:tcPr>
                <w:p w14:paraId="2954A08A">
                  <w:pPr>
                    <w:pStyle w:val="906"/>
                    <w:spacing w:line="240" w:lineRule="auto"/>
                    <w:rPr>
                      <w:color w:val="auto"/>
                    </w:rPr>
                  </w:pPr>
                  <w:r>
                    <w:rPr>
                      <w:rFonts w:hint="eastAsia"/>
                      <w:color w:val="auto"/>
                    </w:rPr>
                    <w:t>不涉及</w:t>
                  </w:r>
                </w:p>
              </w:tc>
              <w:tc>
                <w:tcPr>
                  <w:tcW w:w="585" w:type="pct"/>
                  <w:vAlign w:val="center"/>
                </w:tcPr>
                <w:p w14:paraId="4C2AED96">
                  <w:pPr>
                    <w:pStyle w:val="906"/>
                    <w:spacing w:line="240" w:lineRule="auto"/>
                    <w:rPr>
                      <w:color w:val="auto"/>
                    </w:rPr>
                  </w:pPr>
                  <w:r>
                    <w:rPr>
                      <w:rFonts w:hint="eastAsia"/>
                      <w:color w:val="auto"/>
                    </w:rPr>
                    <w:t>否</w:t>
                  </w:r>
                </w:p>
              </w:tc>
            </w:tr>
            <w:tr w14:paraId="4BA1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0DF7BB0F">
                  <w:pPr>
                    <w:pStyle w:val="906"/>
                    <w:spacing w:line="240" w:lineRule="auto"/>
                    <w:rPr>
                      <w:color w:val="auto"/>
                    </w:rPr>
                  </w:pPr>
                  <w:r>
                    <w:rPr>
                      <w:rFonts w:hint="eastAsia"/>
                      <w:color w:val="auto"/>
                    </w:rPr>
                    <w:t>3</w:t>
                  </w:r>
                </w:p>
              </w:tc>
              <w:tc>
                <w:tcPr>
                  <w:tcW w:w="3416" w:type="pct"/>
                  <w:vAlign w:val="center"/>
                </w:tcPr>
                <w:p w14:paraId="6916319F">
                  <w:pPr>
                    <w:pStyle w:val="906"/>
                    <w:spacing w:line="240" w:lineRule="auto"/>
                    <w:rPr>
                      <w:color w:val="auto"/>
                    </w:rPr>
                  </w:pPr>
                  <w:r>
                    <w:rPr>
                      <w:rFonts w:hint="eastAsia"/>
                      <w:color w:val="auto"/>
                    </w:rPr>
                    <w:t>不符合主体功能区建设要求的各类开发活动</w:t>
                  </w:r>
                </w:p>
              </w:tc>
              <w:tc>
                <w:tcPr>
                  <w:tcW w:w="649" w:type="pct"/>
                  <w:vAlign w:val="center"/>
                </w:tcPr>
                <w:p w14:paraId="2DA71C91">
                  <w:pPr>
                    <w:pStyle w:val="906"/>
                    <w:spacing w:line="240" w:lineRule="auto"/>
                    <w:rPr>
                      <w:color w:val="auto"/>
                    </w:rPr>
                  </w:pPr>
                  <w:r>
                    <w:rPr>
                      <w:rFonts w:hint="eastAsia"/>
                      <w:color w:val="auto"/>
                    </w:rPr>
                    <w:t>不涉及</w:t>
                  </w:r>
                </w:p>
              </w:tc>
              <w:tc>
                <w:tcPr>
                  <w:tcW w:w="585" w:type="pct"/>
                  <w:vAlign w:val="center"/>
                </w:tcPr>
                <w:p w14:paraId="45632A35">
                  <w:pPr>
                    <w:pStyle w:val="906"/>
                    <w:spacing w:line="240" w:lineRule="auto"/>
                    <w:rPr>
                      <w:color w:val="auto"/>
                    </w:rPr>
                  </w:pPr>
                  <w:r>
                    <w:rPr>
                      <w:rFonts w:hint="eastAsia"/>
                      <w:color w:val="auto"/>
                    </w:rPr>
                    <w:t>否</w:t>
                  </w:r>
                </w:p>
              </w:tc>
            </w:tr>
            <w:tr w14:paraId="16ED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6924AF3C">
                  <w:pPr>
                    <w:pStyle w:val="906"/>
                    <w:spacing w:line="240" w:lineRule="auto"/>
                    <w:rPr>
                      <w:color w:val="auto"/>
                    </w:rPr>
                  </w:pPr>
                  <w:r>
                    <w:rPr>
                      <w:rFonts w:hint="eastAsia"/>
                      <w:color w:val="auto"/>
                    </w:rPr>
                    <w:t>4</w:t>
                  </w:r>
                </w:p>
              </w:tc>
              <w:tc>
                <w:tcPr>
                  <w:tcW w:w="3416" w:type="pct"/>
                  <w:vAlign w:val="center"/>
                </w:tcPr>
                <w:p w14:paraId="7EF3544A">
                  <w:pPr>
                    <w:pStyle w:val="906"/>
                    <w:spacing w:line="240" w:lineRule="auto"/>
                    <w:rPr>
                      <w:color w:val="auto"/>
                    </w:rPr>
                  </w:pPr>
                  <w:r>
                    <w:rPr>
                      <w:rFonts w:hint="eastAsia"/>
                      <w:color w:val="auto"/>
                    </w:rPr>
                    <w:t>禁止违规开展金融相关经营活动</w:t>
                  </w:r>
                </w:p>
              </w:tc>
              <w:tc>
                <w:tcPr>
                  <w:tcW w:w="649" w:type="pct"/>
                  <w:vAlign w:val="center"/>
                </w:tcPr>
                <w:p w14:paraId="589E2D60">
                  <w:pPr>
                    <w:pStyle w:val="906"/>
                    <w:spacing w:line="240" w:lineRule="auto"/>
                    <w:rPr>
                      <w:color w:val="auto"/>
                    </w:rPr>
                  </w:pPr>
                  <w:r>
                    <w:rPr>
                      <w:rFonts w:hint="eastAsia"/>
                      <w:color w:val="auto"/>
                    </w:rPr>
                    <w:t>不涉及</w:t>
                  </w:r>
                </w:p>
              </w:tc>
              <w:tc>
                <w:tcPr>
                  <w:tcW w:w="585" w:type="pct"/>
                  <w:vAlign w:val="center"/>
                </w:tcPr>
                <w:p w14:paraId="78210985">
                  <w:pPr>
                    <w:pStyle w:val="906"/>
                    <w:spacing w:line="240" w:lineRule="auto"/>
                    <w:rPr>
                      <w:color w:val="auto"/>
                    </w:rPr>
                  </w:pPr>
                  <w:r>
                    <w:rPr>
                      <w:rFonts w:hint="eastAsia"/>
                      <w:color w:val="auto"/>
                    </w:rPr>
                    <w:t>否</w:t>
                  </w:r>
                </w:p>
              </w:tc>
            </w:tr>
            <w:tr w14:paraId="6E1AC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75F410BB">
                  <w:pPr>
                    <w:pStyle w:val="906"/>
                    <w:spacing w:line="240" w:lineRule="auto"/>
                    <w:rPr>
                      <w:color w:val="auto"/>
                    </w:rPr>
                  </w:pPr>
                  <w:r>
                    <w:rPr>
                      <w:rFonts w:hint="eastAsia"/>
                      <w:color w:val="auto"/>
                    </w:rPr>
                    <w:t>5</w:t>
                  </w:r>
                </w:p>
              </w:tc>
              <w:tc>
                <w:tcPr>
                  <w:tcW w:w="3416" w:type="pct"/>
                  <w:vAlign w:val="center"/>
                </w:tcPr>
                <w:p w14:paraId="3F795FB4">
                  <w:pPr>
                    <w:pStyle w:val="906"/>
                    <w:spacing w:line="240" w:lineRule="auto"/>
                    <w:rPr>
                      <w:color w:val="auto"/>
                    </w:rPr>
                  </w:pPr>
                  <w:r>
                    <w:rPr>
                      <w:rFonts w:hint="eastAsia"/>
                      <w:color w:val="auto"/>
                    </w:rPr>
                    <w:t>禁止违规开展互联网相关经营活动</w:t>
                  </w:r>
                </w:p>
              </w:tc>
              <w:tc>
                <w:tcPr>
                  <w:tcW w:w="649" w:type="pct"/>
                  <w:vAlign w:val="center"/>
                </w:tcPr>
                <w:p w14:paraId="41B07854">
                  <w:pPr>
                    <w:pStyle w:val="906"/>
                    <w:spacing w:line="240" w:lineRule="auto"/>
                    <w:rPr>
                      <w:color w:val="auto"/>
                    </w:rPr>
                  </w:pPr>
                  <w:r>
                    <w:rPr>
                      <w:rFonts w:hint="eastAsia"/>
                      <w:color w:val="auto"/>
                    </w:rPr>
                    <w:t>不涉及</w:t>
                  </w:r>
                </w:p>
              </w:tc>
              <w:tc>
                <w:tcPr>
                  <w:tcW w:w="585" w:type="pct"/>
                  <w:vAlign w:val="center"/>
                </w:tcPr>
                <w:p w14:paraId="50934AC3">
                  <w:pPr>
                    <w:pStyle w:val="906"/>
                    <w:spacing w:line="240" w:lineRule="auto"/>
                    <w:rPr>
                      <w:color w:val="auto"/>
                    </w:rPr>
                  </w:pPr>
                  <w:r>
                    <w:rPr>
                      <w:rFonts w:hint="eastAsia"/>
                      <w:color w:val="auto"/>
                    </w:rPr>
                    <w:t>否</w:t>
                  </w:r>
                </w:p>
              </w:tc>
            </w:tr>
            <w:tr w14:paraId="72AC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35AB6E8F">
                  <w:pPr>
                    <w:pStyle w:val="906"/>
                    <w:spacing w:line="240" w:lineRule="auto"/>
                    <w:rPr>
                      <w:color w:val="auto"/>
                    </w:rPr>
                  </w:pPr>
                  <w:r>
                    <w:rPr>
                      <w:rFonts w:hint="eastAsia"/>
                      <w:color w:val="auto"/>
                    </w:rPr>
                    <w:t>6</w:t>
                  </w:r>
                </w:p>
              </w:tc>
              <w:tc>
                <w:tcPr>
                  <w:tcW w:w="3416" w:type="pct"/>
                  <w:vAlign w:val="center"/>
                </w:tcPr>
                <w:p w14:paraId="079414BF">
                  <w:pPr>
                    <w:pStyle w:val="906"/>
                    <w:spacing w:line="240" w:lineRule="auto"/>
                    <w:rPr>
                      <w:color w:val="auto"/>
                    </w:rPr>
                  </w:pPr>
                  <w:r>
                    <w:rPr>
                      <w:rFonts w:hint="eastAsia"/>
                      <w:color w:val="auto"/>
                    </w:rPr>
                    <w:t>禁止违规开展新闻传媒相关业务</w:t>
                  </w:r>
                </w:p>
              </w:tc>
              <w:tc>
                <w:tcPr>
                  <w:tcW w:w="649" w:type="pct"/>
                  <w:vAlign w:val="center"/>
                </w:tcPr>
                <w:p w14:paraId="5BCF8133">
                  <w:pPr>
                    <w:pStyle w:val="906"/>
                    <w:spacing w:line="240" w:lineRule="auto"/>
                    <w:rPr>
                      <w:color w:val="auto"/>
                    </w:rPr>
                  </w:pPr>
                  <w:r>
                    <w:rPr>
                      <w:rFonts w:hint="eastAsia"/>
                      <w:color w:val="auto"/>
                    </w:rPr>
                    <w:t>不涉及</w:t>
                  </w:r>
                </w:p>
              </w:tc>
              <w:tc>
                <w:tcPr>
                  <w:tcW w:w="585" w:type="pct"/>
                  <w:vAlign w:val="center"/>
                </w:tcPr>
                <w:p w14:paraId="0D833C8B">
                  <w:pPr>
                    <w:pStyle w:val="906"/>
                    <w:spacing w:line="240" w:lineRule="auto"/>
                    <w:rPr>
                      <w:color w:val="auto"/>
                    </w:rPr>
                  </w:pPr>
                  <w:r>
                    <w:rPr>
                      <w:rFonts w:hint="eastAsia"/>
                      <w:color w:val="auto"/>
                    </w:rPr>
                    <w:t>否</w:t>
                  </w:r>
                </w:p>
              </w:tc>
            </w:tr>
            <w:tr w14:paraId="2A49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03287E73">
                  <w:pPr>
                    <w:pStyle w:val="906"/>
                    <w:spacing w:line="240" w:lineRule="auto"/>
                    <w:rPr>
                      <w:color w:val="auto"/>
                    </w:rPr>
                  </w:pPr>
                  <w:r>
                    <w:rPr>
                      <w:rFonts w:hint="eastAsia"/>
                      <w:color w:val="auto"/>
                    </w:rPr>
                    <w:t>二</w:t>
                  </w:r>
                </w:p>
              </w:tc>
              <w:tc>
                <w:tcPr>
                  <w:tcW w:w="4650" w:type="pct"/>
                  <w:gridSpan w:val="3"/>
                  <w:vAlign w:val="center"/>
                </w:tcPr>
                <w:p w14:paraId="18A60F6B">
                  <w:pPr>
                    <w:pStyle w:val="906"/>
                    <w:spacing w:line="240" w:lineRule="auto"/>
                    <w:rPr>
                      <w:color w:val="auto"/>
                    </w:rPr>
                  </w:pPr>
                  <w:r>
                    <w:rPr>
                      <w:rFonts w:hint="eastAsia"/>
                      <w:color w:val="auto"/>
                    </w:rPr>
                    <w:t>许可准入类（制造业）</w:t>
                  </w:r>
                </w:p>
              </w:tc>
            </w:tr>
            <w:tr w14:paraId="410D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07DA24F1">
                  <w:pPr>
                    <w:pStyle w:val="906"/>
                    <w:spacing w:line="240" w:lineRule="auto"/>
                    <w:rPr>
                      <w:color w:val="auto"/>
                    </w:rPr>
                  </w:pPr>
                  <w:r>
                    <w:rPr>
                      <w:rFonts w:hint="eastAsia"/>
                      <w:color w:val="auto"/>
                    </w:rPr>
                    <w:t>1</w:t>
                  </w:r>
                </w:p>
              </w:tc>
              <w:tc>
                <w:tcPr>
                  <w:tcW w:w="3416" w:type="pct"/>
                  <w:vAlign w:val="center"/>
                </w:tcPr>
                <w:p w14:paraId="5654F9ED">
                  <w:pPr>
                    <w:pStyle w:val="906"/>
                    <w:spacing w:line="240" w:lineRule="auto"/>
                    <w:rPr>
                      <w:color w:val="auto"/>
                    </w:rPr>
                  </w:pPr>
                  <w:r>
                    <w:rPr>
                      <w:rFonts w:hint="eastAsia"/>
                      <w:color w:val="auto"/>
                    </w:rPr>
                    <w:t>未获得许可，不得从事特定食品生产经营和进出口</w:t>
                  </w:r>
                </w:p>
              </w:tc>
              <w:tc>
                <w:tcPr>
                  <w:tcW w:w="649" w:type="pct"/>
                  <w:vAlign w:val="center"/>
                </w:tcPr>
                <w:p w14:paraId="37B0A670">
                  <w:pPr>
                    <w:pStyle w:val="906"/>
                    <w:spacing w:line="240" w:lineRule="auto"/>
                    <w:rPr>
                      <w:color w:val="auto"/>
                    </w:rPr>
                  </w:pPr>
                  <w:r>
                    <w:rPr>
                      <w:rFonts w:hint="eastAsia"/>
                      <w:color w:val="auto"/>
                    </w:rPr>
                    <w:t>不涉及</w:t>
                  </w:r>
                </w:p>
              </w:tc>
              <w:tc>
                <w:tcPr>
                  <w:tcW w:w="585" w:type="pct"/>
                  <w:vAlign w:val="center"/>
                </w:tcPr>
                <w:p w14:paraId="2543D1F3">
                  <w:pPr>
                    <w:pStyle w:val="906"/>
                    <w:spacing w:line="240" w:lineRule="auto"/>
                    <w:rPr>
                      <w:color w:val="auto"/>
                    </w:rPr>
                  </w:pPr>
                  <w:r>
                    <w:rPr>
                      <w:rFonts w:hint="eastAsia"/>
                      <w:color w:val="auto"/>
                    </w:rPr>
                    <w:t>否</w:t>
                  </w:r>
                </w:p>
              </w:tc>
            </w:tr>
            <w:tr w14:paraId="55AE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3BA49A7C">
                  <w:pPr>
                    <w:pStyle w:val="906"/>
                    <w:spacing w:line="240" w:lineRule="auto"/>
                    <w:rPr>
                      <w:color w:val="auto"/>
                    </w:rPr>
                  </w:pPr>
                  <w:r>
                    <w:rPr>
                      <w:rFonts w:hint="eastAsia"/>
                      <w:color w:val="auto"/>
                    </w:rPr>
                    <w:t>2</w:t>
                  </w:r>
                </w:p>
              </w:tc>
              <w:tc>
                <w:tcPr>
                  <w:tcW w:w="3416" w:type="pct"/>
                  <w:vAlign w:val="center"/>
                </w:tcPr>
                <w:p w14:paraId="2B652614">
                  <w:pPr>
                    <w:pStyle w:val="906"/>
                    <w:spacing w:line="240" w:lineRule="auto"/>
                    <w:rPr>
                      <w:color w:val="auto"/>
                    </w:rPr>
                  </w:pPr>
                  <w:r>
                    <w:rPr>
                      <w:rFonts w:hint="eastAsia"/>
                      <w:color w:val="auto"/>
                    </w:rPr>
                    <w:t>未获得许可或履行规定程序，不得从事烟草专卖生产</w:t>
                  </w:r>
                </w:p>
              </w:tc>
              <w:tc>
                <w:tcPr>
                  <w:tcW w:w="649" w:type="pct"/>
                  <w:vAlign w:val="center"/>
                </w:tcPr>
                <w:p w14:paraId="42A0F698">
                  <w:pPr>
                    <w:pStyle w:val="906"/>
                    <w:spacing w:line="240" w:lineRule="auto"/>
                    <w:rPr>
                      <w:color w:val="auto"/>
                    </w:rPr>
                  </w:pPr>
                  <w:r>
                    <w:rPr>
                      <w:rFonts w:hint="eastAsia"/>
                      <w:color w:val="auto"/>
                    </w:rPr>
                    <w:t>不涉及</w:t>
                  </w:r>
                </w:p>
              </w:tc>
              <w:tc>
                <w:tcPr>
                  <w:tcW w:w="585" w:type="pct"/>
                  <w:vAlign w:val="center"/>
                </w:tcPr>
                <w:p w14:paraId="7BF685C1">
                  <w:pPr>
                    <w:pStyle w:val="906"/>
                    <w:spacing w:line="240" w:lineRule="auto"/>
                    <w:rPr>
                      <w:color w:val="auto"/>
                    </w:rPr>
                  </w:pPr>
                  <w:r>
                    <w:rPr>
                      <w:rFonts w:hint="eastAsia"/>
                      <w:color w:val="auto"/>
                    </w:rPr>
                    <w:t>否</w:t>
                  </w:r>
                </w:p>
              </w:tc>
            </w:tr>
            <w:tr w14:paraId="2C83F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60E76B5B">
                  <w:pPr>
                    <w:pStyle w:val="906"/>
                    <w:spacing w:line="240" w:lineRule="auto"/>
                    <w:rPr>
                      <w:color w:val="auto"/>
                    </w:rPr>
                  </w:pPr>
                  <w:r>
                    <w:rPr>
                      <w:rFonts w:hint="eastAsia"/>
                      <w:color w:val="auto"/>
                    </w:rPr>
                    <w:t>3</w:t>
                  </w:r>
                </w:p>
              </w:tc>
              <w:tc>
                <w:tcPr>
                  <w:tcW w:w="3416" w:type="pct"/>
                  <w:vAlign w:val="center"/>
                </w:tcPr>
                <w:p w14:paraId="586E36F3">
                  <w:pPr>
                    <w:pStyle w:val="906"/>
                    <w:spacing w:line="240" w:lineRule="auto"/>
                    <w:rPr>
                      <w:color w:val="auto"/>
                    </w:rPr>
                  </w:pPr>
                  <w:r>
                    <w:rPr>
                      <w:rFonts w:hint="eastAsia"/>
                      <w:color w:val="auto"/>
                    </w:rPr>
                    <w:t>未获得许可，不得从事印刷复制业或公章刻制业特定业务</w:t>
                  </w:r>
                </w:p>
              </w:tc>
              <w:tc>
                <w:tcPr>
                  <w:tcW w:w="649" w:type="pct"/>
                  <w:vAlign w:val="center"/>
                </w:tcPr>
                <w:p w14:paraId="0C512555">
                  <w:pPr>
                    <w:pStyle w:val="906"/>
                    <w:spacing w:line="240" w:lineRule="auto"/>
                    <w:rPr>
                      <w:color w:val="auto"/>
                    </w:rPr>
                  </w:pPr>
                  <w:r>
                    <w:rPr>
                      <w:rFonts w:hint="eastAsia"/>
                      <w:color w:val="auto"/>
                    </w:rPr>
                    <w:t>不涉及</w:t>
                  </w:r>
                </w:p>
              </w:tc>
              <w:tc>
                <w:tcPr>
                  <w:tcW w:w="585" w:type="pct"/>
                  <w:vAlign w:val="center"/>
                </w:tcPr>
                <w:p w14:paraId="5F21A50C">
                  <w:pPr>
                    <w:pStyle w:val="906"/>
                    <w:spacing w:line="240" w:lineRule="auto"/>
                    <w:rPr>
                      <w:color w:val="auto"/>
                    </w:rPr>
                  </w:pPr>
                  <w:r>
                    <w:rPr>
                      <w:rFonts w:hint="eastAsia"/>
                      <w:color w:val="auto"/>
                    </w:rPr>
                    <w:t>否</w:t>
                  </w:r>
                </w:p>
              </w:tc>
            </w:tr>
            <w:tr w14:paraId="41BA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7AC01978">
                  <w:pPr>
                    <w:pStyle w:val="906"/>
                    <w:spacing w:line="240" w:lineRule="auto"/>
                    <w:rPr>
                      <w:color w:val="auto"/>
                    </w:rPr>
                  </w:pPr>
                  <w:r>
                    <w:rPr>
                      <w:rFonts w:hint="eastAsia"/>
                      <w:color w:val="auto"/>
                    </w:rPr>
                    <w:t>4</w:t>
                  </w:r>
                </w:p>
              </w:tc>
              <w:tc>
                <w:tcPr>
                  <w:tcW w:w="3416" w:type="pct"/>
                  <w:vAlign w:val="center"/>
                </w:tcPr>
                <w:p w14:paraId="460370AC">
                  <w:pPr>
                    <w:pStyle w:val="906"/>
                    <w:spacing w:line="240" w:lineRule="auto"/>
                    <w:rPr>
                      <w:color w:val="auto"/>
                    </w:rPr>
                  </w:pPr>
                  <w:r>
                    <w:rPr>
                      <w:rFonts w:hint="eastAsia"/>
                      <w:color w:val="auto"/>
                    </w:rPr>
                    <w:t>未获得许可，不得从事涉核、放射性物品生产、运输和经营</w:t>
                  </w:r>
                </w:p>
              </w:tc>
              <w:tc>
                <w:tcPr>
                  <w:tcW w:w="649" w:type="pct"/>
                  <w:vAlign w:val="center"/>
                </w:tcPr>
                <w:p w14:paraId="134464AE">
                  <w:pPr>
                    <w:pStyle w:val="906"/>
                    <w:spacing w:line="240" w:lineRule="auto"/>
                    <w:rPr>
                      <w:color w:val="auto"/>
                    </w:rPr>
                  </w:pPr>
                  <w:r>
                    <w:rPr>
                      <w:rFonts w:hint="eastAsia"/>
                      <w:color w:val="auto"/>
                    </w:rPr>
                    <w:t>不涉及</w:t>
                  </w:r>
                </w:p>
              </w:tc>
              <w:tc>
                <w:tcPr>
                  <w:tcW w:w="585" w:type="pct"/>
                  <w:vAlign w:val="center"/>
                </w:tcPr>
                <w:p w14:paraId="48C25742">
                  <w:pPr>
                    <w:pStyle w:val="906"/>
                    <w:spacing w:line="240" w:lineRule="auto"/>
                    <w:rPr>
                      <w:color w:val="auto"/>
                    </w:rPr>
                  </w:pPr>
                  <w:r>
                    <w:rPr>
                      <w:rFonts w:hint="eastAsia"/>
                      <w:color w:val="auto"/>
                    </w:rPr>
                    <w:t>否</w:t>
                  </w:r>
                </w:p>
              </w:tc>
            </w:tr>
            <w:tr w14:paraId="7ABE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628143D8">
                  <w:pPr>
                    <w:pStyle w:val="906"/>
                    <w:spacing w:line="240" w:lineRule="auto"/>
                    <w:rPr>
                      <w:color w:val="auto"/>
                    </w:rPr>
                  </w:pPr>
                  <w:r>
                    <w:rPr>
                      <w:rFonts w:hint="eastAsia"/>
                      <w:color w:val="auto"/>
                    </w:rPr>
                    <w:t>5</w:t>
                  </w:r>
                </w:p>
              </w:tc>
              <w:tc>
                <w:tcPr>
                  <w:tcW w:w="3416" w:type="pct"/>
                  <w:vAlign w:val="center"/>
                </w:tcPr>
                <w:p w14:paraId="29BB3E52">
                  <w:pPr>
                    <w:pStyle w:val="906"/>
                    <w:spacing w:line="240" w:lineRule="auto"/>
                    <w:rPr>
                      <w:color w:val="auto"/>
                    </w:rPr>
                  </w:pPr>
                  <w:r>
                    <w:rPr>
                      <w:rFonts w:hint="eastAsia"/>
                      <w:color w:val="auto"/>
                    </w:rPr>
                    <w:t>未获得许可，不得从事特定化学品的生产经营及项目建设，不得从事金属冶炼项目建设</w:t>
                  </w:r>
                </w:p>
              </w:tc>
              <w:tc>
                <w:tcPr>
                  <w:tcW w:w="649" w:type="pct"/>
                  <w:vAlign w:val="center"/>
                </w:tcPr>
                <w:p w14:paraId="5DF7E8A5">
                  <w:pPr>
                    <w:pStyle w:val="906"/>
                    <w:spacing w:line="240" w:lineRule="auto"/>
                    <w:rPr>
                      <w:color w:val="auto"/>
                    </w:rPr>
                  </w:pPr>
                  <w:r>
                    <w:rPr>
                      <w:rFonts w:hint="eastAsia"/>
                      <w:color w:val="auto"/>
                    </w:rPr>
                    <w:t>不涉及</w:t>
                  </w:r>
                </w:p>
              </w:tc>
              <w:tc>
                <w:tcPr>
                  <w:tcW w:w="585" w:type="pct"/>
                  <w:vAlign w:val="center"/>
                </w:tcPr>
                <w:p w14:paraId="26756DC5">
                  <w:pPr>
                    <w:pStyle w:val="906"/>
                    <w:spacing w:line="240" w:lineRule="auto"/>
                    <w:rPr>
                      <w:color w:val="auto"/>
                    </w:rPr>
                  </w:pPr>
                  <w:r>
                    <w:rPr>
                      <w:rFonts w:hint="eastAsia"/>
                      <w:color w:val="auto"/>
                    </w:rPr>
                    <w:t>否</w:t>
                  </w:r>
                </w:p>
              </w:tc>
            </w:tr>
            <w:tr w14:paraId="50BB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417A9CBD">
                  <w:pPr>
                    <w:pStyle w:val="906"/>
                    <w:spacing w:line="240" w:lineRule="auto"/>
                    <w:rPr>
                      <w:color w:val="auto"/>
                    </w:rPr>
                  </w:pPr>
                  <w:r>
                    <w:rPr>
                      <w:rFonts w:hint="eastAsia"/>
                      <w:color w:val="auto"/>
                    </w:rPr>
                    <w:t>6</w:t>
                  </w:r>
                </w:p>
              </w:tc>
              <w:tc>
                <w:tcPr>
                  <w:tcW w:w="3416" w:type="pct"/>
                  <w:vAlign w:val="center"/>
                </w:tcPr>
                <w:p w14:paraId="3C58FB55">
                  <w:pPr>
                    <w:pStyle w:val="906"/>
                    <w:spacing w:line="240" w:lineRule="auto"/>
                    <w:rPr>
                      <w:color w:val="auto"/>
                    </w:rPr>
                  </w:pPr>
                  <w:r>
                    <w:rPr>
                      <w:rFonts w:hint="eastAsia"/>
                      <w:color w:val="auto"/>
                    </w:rPr>
                    <w:t>未获得许可，不得从事民用爆炸物品、烟花爆竹的生产及爆破作业</w:t>
                  </w:r>
                </w:p>
              </w:tc>
              <w:tc>
                <w:tcPr>
                  <w:tcW w:w="649" w:type="pct"/>
                  <w:vAlign w:val="center"/>
                </w:tcPr>
                <w:p w14:paraId="59671A04">
                  <w:pPr>
                    <w:pStyle w:val="906"/>
                    <w:spacing w:line="240" w:lineRule="auto"/>
                    <w:rPr>
                      <w:color w:val="auto"/>
                    </w:rPr>
                  </w:pPr>
                  <w:r>
                    <w:rPr>
                      <w:rFonts w:hint="eastAsia"/>
                      <w:color w:val="auto"/>
                    </w:rPr>
                    <w:t>不涉及</w:t>
                  </w:r>
                </w:p>
              </w:tc>
              <w:tc>
                <w:tcPr>
                  <w:tcW w:w="585" w:type="pct"/>
                  <w:vAlign w:val="center"/>
                </w:tcPr>
                <w:p w14:paraId="59881BAF">
                  <w:pPr>
                    <w:pStyle w:val="906"/>
                    <w:spacing w:line="240" w:lineRule="auto"/>
                    <w:rPr>
                      <w:color w:val="auto"/>
                    </w:rPr>
                  </w:pPr>
                  <w:r>
                    <w:rPr>
                      <w:rFonts w:hint="eastAsia"/>
                      <w:color w:val="auto"/>
                    </w:rPr>
                    <w:t>否</w:t>
                  </w:r>
                </w:p>
              </w:tc>
            </w:tr>
            <w:tr w14:paraId="0860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334D279F">
                  <w:pPr>
                    <w:pStyle w:val="906"/>
                    <w:spacing w:line="240" w:lineRule="auto"/>
                    <w:rPr>
                      <w:color w:val="auto"/>
                    </w:rPr>
                  </w:pPr>
                  <w:r>
                    <w:rPr>
                      <w:rFonts w:hint="eastAsia"/>
                      <w:color w:val="auto"/>
                    </w:rPr>
                    <w:t>7</w:t>
                  </w:r>
                </w:p>
              </w:tc>
              <w:tc>
                <w:tcPr>
                  <w:tcW w:w="3416" w:type="pct"/>
                  <w:vAlign w:val="center"/>
                </w:tcPr>
                <w:p w14:paraId="790996D6">
                  <w:pPr>
                    <w:pStyle w:val="906"/>
                    <w:spacing w:line="240" w:lineRule="auto"/>
                    <w:rPr>
                      <w:color w:val="auto"/>
                    </w:rPr>
                  </w:pPr>
                  <w:r>
                    <w:rPr>
                      <w:rFonts w:hint="eastAsia"/>
                      <w:color w:val="auto"/>
                    </w:rPr>
                    <w:t>未获得许可，不得从事药品的生产、销售或进出口</w:t>
                  </w:r>
                </w:p>
              </w:tc>
              <w:tc>
                <w:tcPr>
                  <w:tcW w:w="649" w:type="pct"/>
                  <w:vAlign w:val="center"/>
                </w:tcPr>
                <w:p w14:paraId="78E932BD">
                  <w:pPr>
                    <w:pStyle w:val="906"/>
                    <w:spacing w:line="240" w:lineRule="auto"/>
                    <w:rPr>
                      <w:color w:val="auto"/>
                    </w:rPr>
                  </w:pPr>
                  <w:r>
                    <w:rPr>
                      <w:rFonts w:hint="eastAsia"/>
                      <w:color w:val="auto"/>
                    </w:rPr>
                    <w:t>不涉及</w:t>
                  </w:r>
                </w:p>
              </w:tc>
              <w:tc>
                <w:tcPr>
                  <w:tcW w:w="585" w:type="pct"/>
                  <w:vAlign w:val="center"/>
                </w:tcPr>
                <w:p w14:paraId="69CC6E68">
                  <w:pPr>
                    <w:pStyle w:val="906"/>
                    <w:spacing w:line="240" w:lineRule="auto"/>
                    <w:rPr>
                      <w:color w:val="auto"/>
                    </w:rPr>
                  </w:pPr>
                  <w:r>
                    <w:rPr>
                      <w:rFonts w:hint="eastAsia"/>
                      <w:color w:val="auto"/>
                    </w:rPr>
                    <w:t>否</w:t>
                  </w:r>
                </w:p>
              </w:tc>
            </w:tr>
            <w:tr w14:paraId="6A2D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5819F9C5">
                  <w:pPr>
                    <w:pStyle w:val="906"/>
                    <w:spacing w:line="240" w:lineRule="auto"/>
                    <w:rPr>
                      <w:rFonts w:hint="eastAsia" w:ascii="Times New Roman" w:hAnsi="Times New Roman" w:eastAsia="宋体" w:cs="Times New Roman"/>
                      <w:color w:val="auto"/>
                      <w:kern w:val="0"/>
                      <w:sz w:val="18"/>
                      <w:szCs w:val="18"/>
                      <w:lang w:val="en-US" w:eastAsia="zh-CN" w:bidi="ar-SA"/>
                    </w:rPr>
                  </w:pPr>
                  <w:r>
                    <w:rPr>
                      <w:rFonts w:hint="eastAsia"/>
                      <w:color w:val="auto"/>
                    </w:rPr>
                    <w:t>8</w:t>
                  </w:r>
                </w:p>
              </w:tc>
              <w:tc>
                <w:tcPr>
                  <w:tcW w:w="3416" w:type="pct"/>
                  <w:vAlign w:val="center"/>
                </w:tcPr>
                <w:p w14:paraId="12B330FD">
                  <w:pPr>
                    <w:pStyle w:val="906"/>
                    <w:spacing w:line="240" w:lineRule="auto"/>
                    <w:rPr>
                      <w:rFonts w:hint="eastAsia"/>
                      <w:color w:val="auto"/>
                    </w:rPr>
                  </w:pPr>
                  <w:r>
                    <w:rPr>
                      <w:rFonts w:hint="eastAsia"/>
                      <w:color w:val="auto"/>
                    </w:rPr>
                    <w:t>未获得许可，不得从事医疗器械或化妆品的生产与进口</w:t>
                  </w:r>
                </w:p>
              </w:tc>
              <w:tc>
                <w:tcPr>
                  <w:tcW w:w="649" w:type="pct"/>
                  <w:shd w:val="clear" w:color="auto" w:fill="auto"/>
                  <w:vAlign w:val="center"/>
                </w:tcPr>
                <w:p w14:paraId="0AC84B68">
                  <w:pPr>
                    <w:pStyle w:val="906"/>
                    <w:spacing w:line="240" w:lineRule="auto"/>
                    <w:rPr>
                      <w:rFonts w:hint="eastAsia" w:ascii="Times New Roman" w:hAnsi="Times New Roman" w:eastAsia="宋体" w:cs="Times New Roman"/>
                      <w:color w:val="auto"/>
                      <w:kern w:val="0"/>
                      <w:sz w:val="18"/>
                      <w:szCs w:val="18"/>
                      <w:lang w:val="en-US" w:eastAsia="zh-CN" w:bidi="ar-SA"/>
                    </w:rPr>
                  </w:pPr>
                  <w:r>
                    <w:rPr>
                      <w:rFonts w:hint="eastAsia"/>
                      <w:color w:val="auto"/>
                    </w:rPr>
                    <w:t>不涉及</w:t>
                  </w:r>
                </w:p>
              </w:tc>
              <w:tc>
                <w:tcPr>
                  <w:tcW w:w="585" w:type="pct"/>
                  <w:shd w:val="clear" w:color="auto" w:fill="auto"/>
                  <w:vAlign w:val="center"/>
                </w:tcPr>
                <w:p w14:paraId="2E4B48DF">
                  <w:pPr>
                    <w:pStyle w:val="906"/>
                    <w:spacing w:line="240" w:lineRule="auto"/>
                    <w:rPr>
                      <w:rFonts w:hint="eastAsia" w:ascii="Times New Roman" w:hAnsi="Times New Roman" w:eastAsia="宋体" w:cs="Times New Roman"/>
                      <w:color w:val="auto"/>
                      <w:kern w:val="0"/>
                      <w:sz w:val="18"/>
                      <w:szCs w:val="18"/>
                      <w:lang w:val="en-US" w:eastAsia="zh-CN" w:bidi="ar-SA"/>
                    </w:rPr>
                  </w:pPr>
                  <w:r>
                    <w:rPr>
                      <w:rFonts w:hint="eastAsia"/>
                      <w:color w:val="auto"/>
                    </w:rPr>
                    <w:t>否</w:t>
                  </w:r>
                </w:p>
              </w:tc>
            </w:tr>
            <w:tr w14:paraId="0E9C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0F31FB7D">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9</w:t>
                  </w:r>
                </w:p>
              </w:tc>
              <w:tc>
                <w:tcPr>
                  <w:tcW w:w="3416" w:type="pct"/>
                  <w:vAlign w:val="center"/>
                </w:tcPr>
                <w:p w14:paraId="0A01B4CD">
                  <w:pPr>
                    <w:pStyle w:val="906"/>
                    <w:spacing w:line="240" w:lineRule="auto"/>
                    <w:rPr>
                      <w:color w:val="auto"/>
                    </w:rPr>
                  </w:pPr>
                  <w:r>
                    <w:rPr>
                      <w:rFonts w:hint="eastAsia"/>
                      <w:color w:val="auto"/>
                    </w:rPr>
                    <w:t>未获得许可，不得从事兽药及兽用生物制品的临床试验、生产、经营和进出口</w:t>
                  </w:r>
                </w:p>
              </w:tc>
              <w:tc>
                <w:tcPr>
                  <w:tcW w:w="649" w:type="pct"/>
                  <w:vAlign w:val="center"/>
                </w:tcPr>
                <w:p w14:paraId="3D705E5C">
                  <w:pPr>
                    <w:pStyle w:val="906"/>
                    <w:spacing w:line="240" w:lineRule="auto"/>
                    <w:rPr>
                      <w:color w:val="auto"/>
                    </w:rPr>
                  </w:pPr>
                  <w:r>
                    <w:rPr>
                      <w:rFonts w:hint="eastAsia"/>
                      <w:color w:val="auto"/>
                    </w:rPr>
                    <w:t>不涉及</w:t>
                  </w:r>
                </w:p>
              </w:tc>
              <w:tc>
                <w:tcPr>
                  <w:tcW w:w="585" w:type="pct"/>
                  <w:vAlign w:val="center"/>
                </w:tcPr>
                <w:p w14:paraId="199713C8">
                  <w:pPr>
                    <w:pStyle w:val="906"/>
                    <w:spacing w:line="240" w:lineRule="auto"/>
                    <w:rPr>
                      <w:color w:val="auto"/>
                    </w:rPr>
                  </w:pPr>
                  <w:r>
                    <w:rPr>
                      <w:rFonts w:hint="eastAsia"/>
                      <w:color w:val="auto"/>
                    </w:rPr>
                    <w:t>否</w:t>
                  </w:r>
                </w:p>
              </w:tc>
            </w:tr>
            <w:tr w14:paraId="481DB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50DDF13E">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10</w:t>
                  </w:r>
                </w:p>
              </w:tc>
              <w:tc>
                <w:tcPr>
                  <w:tcW w:w="3416" w:type="pct"/>
                  <w:vAlign w:val="center"/>
                </w:tcPr>
                <w:p w14:paraId="2D679257">
                  <w:pPr>
                    <w:pStyle w:val="906"/>
                    <w:spacing w:line="240" w:lineRule="auto"/>
                    <w:rPr>
                      <w:color w:val="auto"/>
                    </w:rPr>
                  </w:pPr>
                  <w:r>
                    <w:rPr>
                      <w:rFonts w:hint="eastAsia"/>
                      <w:color w:val="auto"/>
                    </w:rPr>
                    <w:t>未获得许可，不得从事农药</w:t>
                  </w:r>
                  <w:r>
                    <w:rPr>
                      <w:rFonts w:hint="eastAsia"/>
                      <w:color w:val="auto"/>
                      <w:lang w:eastAsia="zh-CN"/>
                    </w:rPr>
                    <w:t>、</w:t>
                  </w:r>
                  <w:r>
                    <w:rPr>
                      <w:rFonts w:hint="eastAsia"/>
                      <w:color w:val="auto"/>
                      <w:lang w:val="en-US" w:eastAsia="zh-CN"/>
                    </w:rPr>
                    <w:t>肥料</w:t>
                  </w:r>
                  <w:r>
                    <w:rPr>
                      <w:rFonts w:hint="eastAsia"/>
                      <w:color w:val="auto"/>
                    </w:rPr>
                    <w:t>的生产、经营和进口</w:t>
                  </w:r>
                </w:p>
              </w:tc>
              <w:tc>
                <w:tcPr>
                  <w:tcW w:w="649" w:type="pct"/>
                  <w:vAlign w:val="center"/>
                </w:tcPr>
                <w:p w14:paraId="45E1BD2E">
                  <w:pPr>
                    <w:pStyle w:val="906"/>
                    <w:spacing w:line="240" w:lineRule="auto"/>
                    <w:rPr>
                      <w:color w:val="auto"/>
                    </w:rPr>
                  </w:pPr>
                  <w:r>
                    <w:rPr>
                      <w:rFonts w:hint="eastAsia"/>
                      <w:color w:val="auto"/>
                    </w:rPr>
                    <w:t>不涉及</w:t>
                  </w:r>
                </w:p>
              </w:tc>
              <w:tc>
                <w:tcPr>
                  <w:tcW w:w="585" w:type="pct"/>
                  <w:vAlign w:val="center"/>
                </w:tcPr>
                <w:p w14:paraId="16B92C74">
                  <w:pPr>
                    <w:pStyle w:val="906"/>
                    <w:spacing w:line="240" w:lineRule="auto"/>
                    <w:rPr>
                      <w:color w:val="auto"/>
                    </w:rPr>
                  </w:pPr>
                  <w:r>
                    <w:rPr>
                      <w:rFonts w:hint="eastAsia"/>
                      <w:color w:val="auto"/>
                    </w:rPr>
                    <w:t>否</w:t>
                  </w:r>
                </w:p>
              </w:tc>
            </w:tr>
            <w:tr w14:paraId="1190C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009A898E">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11</w:t>
                  </w:r>
                </w:p>
              </w:tc>
              <w:tc>
                <w:tcPr>
                  <w:tcW w:w="3416" w:type="pct"/>
                  <w:vAlign w:val="center"/>
                </w:tcPr>
                <w:p w14:paraId="0D542CD7">
                  <w:pPr>
                    <w:pStyle w:val="906"/>
                    <w:spacing w:line="240" w:lineRule="auto"/>
                    <w:rPr>
                      <w:color w:val="auto"/>
                    </w:rPr>
                  </w:pPr>
                  <w:r>
                    <w:rPr>
                      <w:rFonts w:hint="eastAsia"/>
                      <w:color w:val="auto"/>
                    </w:rPr>
                    <w:t>未获得许可或相关资格，不得从事武器装备、枪支及其他公共安全相关产品的研发、生产、销售、购买和运输及特定国防科技工业领域项目的投资建设</w:t>
                  </w:r>
                </w:p>
              </w:tc>
              <w:tc>
                <w:tcPr>
                  <w:tcW w:w="649" w:type="pct"/>
                  <w:vAlign w:val="center"/>
                </w:tcPr>
                <w:p w14:paraId="78AEDBC4">
                  <w:pPr>
                    <w:pStyle w:val="906"/>
                    <w:spacing w:line="240" w:lineRule="auto"/>
                    <w:rPr>
                      <w:color w:val="auto"/>
                    </w:rPr>
                  </w:pPr>
                  <w:r>
                    <w:rPr>
                      <w:rFonts w:hint="eastAsia"/>
                      <w:color w:val="auto"/>
                    </w:rPr>
                    <w:t>不涉及</w:t>
                  </w:r>
                </w:p>
              </w:tc>
              <w:tc>
                <w:tcPr>
                  <w:tcW w:w="585" w:type="pct"/>
                  <w:vAlign w:val="center"/>
                </w:tcPr>
                <w:p w14:paraId="7ECEA8D3">
                  <w:pPr>
                    <w:pStyle w:val="906"/>
                    <w:spacing w:line="240" w:lineRule="auto"/>
                    <w:rPr>
                      <w:color w:val="auto"/>
                    </w:rPr>
                  </w:pPr>
                  <w:r>
                    <w:rPr>
                      <w:rFonts w:hint="eastAsia"/>
                      <w:color w:val="auto"/>
                    </w:rPr>
                    <w:t>否</w:t>
                  </w:r>
                </w:p>
              </w:tc>
            </w:tr>
            <w:tr w14:paraId="06F7D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1C45043D">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12</w:t>
                  </w:r>
                </w:p>
              </w:tc>
              <w:tc>
                <w:tcPr>
                  <w:tcW w:w="3416" w:type="pct"/>
                  <w:vAlign w:val="center"/>
                </w:tcPr>
                <w:p w14:paraId="78662A78">
                  <w:pPr>
                    <w:pStyle w:val="906"/>
                    <w:spacing w:line="240" w:lineRule="auto"/>
                    <w:rPr>
                      <w:color w:val="auto"/>
                    </w:rPr>
                  </w:pPr>
                  <w:r>
                    <w:rPr>
                      <w:rFonts w:hint="eastAsia"/>
                      <w:color w:val="auto"/>
                    </w:rPr>
                    <w:t>未获得许可，不得从事船舶和渔船的制造、更新、购置、进口或使用其生产经营</w:t>
                  </w:r>
                </w:p>
              </w:tc>
              <w:tc>
                <w:tcPr>
                  <w:tcW w:w="649" w:type="pct"/>
                  <w:vAlign w:val="center"/>
                </w:tcPr>
                <w:p w14:paraId="1C5BB64C">
                  <w:pPr>
                    <w:pStyle w:val="906"/>
                    <w:spacing w:line="240" w:lineRule="auto"/>
                    <w:rPr>
                      <w:color w:val="auto"/>
                    </w:rPr>
                  </w:pPr>
                  <w:r>
                    <w:rPr>
                      <w:rFonts w:hint="eastAsia"/>
                      <w:color w:val="auto"/>
                    </w:rPr>
                    <w:t>不涉及</w:t>
                  </w:r>
                </w:p>
              </w:tc>
              <w:tc>
                <w:tcPr>
                  <w:tcW w:w="585" w:type="pct"/>
                  <w:vAlign w:val="center"/>
                </w:tcPr>
                <w:p w14:paraId="3C5F51F5">
                  <w:pPr>
                    <w:pStyle w:val="906"/>
                    <w:spacing w:line="240" w:lineRule="auto"/>
                    <w:rPr>
                      <w:color w:val="auto"/>
                    </w:rPr>
                  </w:pPr>
                  <w:r>
                    <w:rPr>
                      <w:rFonts w:hint="eastAsia"/>
                      <w:color w:val="auto"/>
                    </w:rPr>
                    <w:t>否</w:t>
                  </w:r>
                </w:p>
              </w:tc>
            </w:tr>
            <w:tr w14:paraId="25BB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331F3703">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13</w:t>
                  </w:r>
                </w:p>
              </w:tc>
              <w:tc>
                <w:tcPr>
                  <w:tcW w:w="3416" w:type="pct"/>
                  <w:vAlign w:val="center"/>
                </w:tcPr>
                <w:p w14:paraId="355D6C27">
                  <w:pPr>
                    <w:pStyle w:val="906"/>
                    <w:spacing w:line="240" w:lineRule="auto"/>
                    <w:rPr>
                      <w:color w:val="auto"/>
                    </w:rPr>
                  </w:pPr>
                  <w:r>
                    <w:rPr>
                      <w:rFonts w:hint="eastAsia"/>
                      <w:color w:val="auto"/>
                    </w:rPr>
                    <w:t>未获得许可，不得从事航空器、航空产品的制造、使用与民用航天发射相关业务</w:t>
                  </w:r>
                </w:p>
              </w:tc>
              <w:tc>
                <w:tcPr>
                  <w:tcW w:w="649" w:type="pct"/>
                  <w:vAlign w:val="center"/>
                </w:tcPr>
                <w:p w14:paraId="1270535B">
                  <w:pPr>
                    <w:pStyle w:val="906"/>
                    <w:spacing w:line="240" w:lineRule="auto"/>
                    <w:rPr>
                      <w:color w:val="auto"/>
                    </w:rPr>
                  </w:pPr>
                  <w:r>
                    <w:rPr>
                      <w:rFonts w:hint="eastAsia"/>
                      <w:color w:val="auto"/>
                    </w:rPr>
                    <w:t>不涉及</w:t>
                  </w:r>
                </w:p>
              </w:tc>
              <w:tc>
                <w:tcPr>
                  <w:tcW w:w="585" w:type="pct"/>
                  <w:vAlign w:val="center"/>
                </w:tcPr>
                <w:p w14:paraId="45DC9DFE">
                  <w:pPr>
                    <w:pStyle w:val="906"/>
                    <w:spacing w:line="240" w:lineRule="auto"/>
                    <w:rPr>
                      <w:color w:val="auto"/>
                    </w:rPr>
                  </w:pPr>
                  <w:r>
                    <w:rPr>
                      <w:rFonts w:hint="eastAsia"/>
                      <w:color w:val="auto"/>
                    </w:rPr>
                    <w:t>否</w:t>
                  </w:r>
                </w:p>
              </w:tc>
            </w:tr>
            <w:tr w14:paraId="001C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7DEADDF7">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14</w:t>
                  </w:r>
                </w:p>
              </w:tc>
              <w:tc>
                <w:tcPr>
                  <w:tcW w:w="3416" w:type="pct"/>
                  <w:vAlign w:val="center"/>
                </w:tcPr>
                <w:p w14:paraId="02EA820D">
                  <w:pPr>
                    <w:pStyle w:val="906"/>
                    <w:spacing w:line="240" w:lineRule="auto"/>
                    <w:rPr>
                      <w:color w:val="auto"/>
                    </w:rPr>
                  </w:pPr>
                  <w:r>
                    <w:rPr>
                      <w:rFonts w:hint="eastAsia"/>
                      <w:color w:val="auto"/>
                    </w:rPr>
                    <w:t>未获得许可，不得从事特定铁路运输设备生产、维修、进口业务</w:t>
                  </w:r>
                </w:p>
              </w:tc>
              <w:tc>
                <w:tcPr>
                  <w:tcW w:w="649" w:type="pct"/>
                  <w:vAlign w:val="center"/>
                </w:tcPr>
                <w:p w14:paraId="44349C6F">
                  <w:pPr>
                    <w:pStyle w:val="906"/>
                    <w:spacing w:line="240" w:lineRule="auto"/>
                    <w:rPr>
                      <w:color w:val="auto"/>
                    </w:rPr>
                  </w:pPr>
                  <w:r>
                    <w:rPr>
                      <w:rFonts w:hint="eastAsia"/>
                      <w:color w:val="auto"/>
                    </w:rPr>
                    <w:t>不涉及</w:t>
                  </w:r>
                </w:p>
              </w:tc>
              <w:tc>
                <w:tcPr>
                  <w:tcW w:w="585" w:type="pct"/>
                  <w:vAlign w:val="center"/>
                </w:tcPr>
                <w:p w14:paraId="3B52E185">
                  <w:pPr>
                    <w:pStyle w:val="906"/>
                    <w:spacing w:line="240" w:lineRule="auto"/>
                    <w:rPr>
                      <w:color w:val="auto"/>
                    </w:rPr>
                  </w:pPr>
                  <w:r>
                    <w:rPr>
                      <w:rFonts w:hint="eastAsia"/>
                      <w:color w:val="auto"/>
                    </w:rPr>
                    <w:t>否</w:t>
                  </w:r>
                </w:p>
              </w:tc>
            </w:tr>
            <w:tr w14:paraId="3C50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4D25A38C">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15</w:t>
                  </w:r>
                </w:p>
              </w:tc>
              <w:tc>
                <w:tcPr>
                  <w:tcW w:w="3416" w:type="pct"/>
                  <w:vAlign w:val="center"/>
                </w:tcPr>
                <w:p w14:paraId="2F70A91D">
                  <w:pPr>
                    <w:pStyle w:val="906"/>
                    <w:spacing w:line="240" w:lineRule="auto"/>
                    <w:rPr>
                      <w:color w:val="auto"/>
                    </w:rPr>
                  </w:pPr>
                  <w:r>
                    <w:rPr>
                      <w:rFonts w:hint="eastAsia"/>
                      <w:color w:val="auto"/>
                    </w:rPr>
                    <w:t>未获得许可，不得从事道路机动车辆生产</w:t>
                  </w:r>
                </w:p>
              </w:tc>
              <w:tc>
                <w:tcPr>
                  <w:tcW w:w="649" w:type="pct"/>
                  <w:vAlign w:val="center"/>
                </w:tcPr>
                <w:p w14:paraId="1550BFA7">
                  <w:pPr>
                    <w:pStyle w:val="906"/>
                    <w:spacing w:line="240" w:lineRule="auto"/>
                    <w:rPr>
                      <w:color w:val="auto"/>
                    </w:rPr>
                  </w:pPr>
                  <w:r>
                    <w:rPr>
                      <w:rFonts w:hint="eastAsia"/>
                      <w:color w:val="auto"/>
                    </w:rPr>
                    <w:t>不涉及</w:t>
                  </w:r>
                </w:p>
              </w:tc>
              <w:tc>
                <w:tcPr>
                  <w:tcW w:w="585" w:type="pct"/>
                  <w:vAlign w:val="center"/>
                </w:tcPr>
                <w:p w14:paraId="1DE331B8">
                  <w:pPr>
                    <w:pStyle w:val="906"/>
                    <w:spacing w:line="240" w:lineRule="auto"/>
                    <w:rPr>
                      <w:color w:val="auto"/>
                    </w:rPr>
                  </w:pPr>
                  <w:r>
                    <w:rPr>
                      <w:rFonts w:hint="eastAsia"/>
                      <w:color w:val="auto"/>
                    </w:rPr>
                    <w:t>否</w:t>
                  </w:r>
                </w:p>
              </w:tc>
            </w:tr>
            <w:tr w14:paraId="1912F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1E6C9C60">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16</w:t>
                  </w:r>
                </w:p>
              </w:tc>
              <w:tc>
                <w:tcPr>
                  <w:tcW w:w="3416" w:type="pct"/>
                  <w:vAlign w:val="center"/>
                </w:tcPr>
                <w:p w14:paraId="75E65BBB">
                  <w:pPr>
                    <w:pStyle w:val="906"/>
                    <w:spacing w:line="240" w:lineRule="auto"/>
                    <w:rPr>
                      <w:color w:val="auto"/>
                    </w:rPr>
                  </w:pPr>
                  <w:r>
                    <w:rPr>
                      <w:rFonts w:hint="eastAsia"/>
                      <w:color w:val="auto"/>
                    </w:rPr>
                    <w:t>未获得许可或强制性认证，不得从事特种设备、重要工业产品等特定产品的生产经营</w:t>
                  </w:r>
                </w:p>
              </w:tc>
              <w:tc>
                <w:tcPr>
                  <w:tcW w:w="649" w:type="pct"/>
                  <w:vAlign w:val="center"/>
                </w:tcPr>
                <w:p w14:paraId="0CBCEDDF">
                  <w:pPr>
                    <w:pStyle w:val="906"/>
                    <w:spacing w:line="240" w:lineRule="auto"/>
                    <w:rPr>
                      <w:color w:val="auto"/>
                    </w:rPr>
                  </w:pPr>
                  <w:r>
                    <w:rPr>
                      <w:rFonts w:hint="eastAsia"/>
                      <w:color w:val="auto"/>
                    </w:rPr>
                    <w:t>不涉及</w:t>
                  </w:r>
                </w:p>
              </w:tc>
              <w:tc>
                <w:tcPr>
                  <w:tcW w:w="585" w:type="pct"/>
                  <w:vAlign w:val="center"/>
                </w:tcPr>
                <w:p w14:paraId="0EB0A316">
                  <w:pPr>
                    <w:pStyle w:val="906"/>
                    <w:spacing w:line="240" w:lineRule="auto"/>
                    <w:rPr>
                      <w:color w:val="auto"/>
                    </w:rPr>
                  </w:pPr>
                  <w:r>
                    <w:rPr>
                      <w:rFonts w:hint="eastAsia"/>
                      <w:color w:val="auto"/>
                    </w:rPr>
                    <w:t>否</w:t>
                  </w:r>
                </w:p>
              </w:tc>
            </w:tr>
            <w:tr w14:paraId="532A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05E8380E">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17</w:t>
                  </w:r>
                </w:p>
              </w:tc>
              <w:tc>
                <w:tcPr>
                  <w:tcW w:w="3416" w:type="pct"/>
                  <w:vAlign w:val="center"/>
                </w:tcPr>
                <w:p w14:paraId="25BB5102">
                  <w:pPr>
                    <w:pStyle w:val="906"/>
                    <w:spacing w:line="240" w:lineRule="auto"/>
                    <w:rPr>
                      <w:color w:val="auto"/>
                    </w:rPr>
                  </w:pPr>
                  <w:r>
                    <w:rPr>
                      <w:rFonts w:hint="eastAsia"/>
                      <w:color w:val="auto"/>
                    </w:rPr>
                    <w:t>未获得许可，不得从事电信、无线电等设备或计算及信息系统安全专用产品的生产、进口和经营</w:t>
                  </w:r>
                </w:p>
              </w:tc>
              <w:tc>
                <w:tcPr>
                  <w:tcW w:w="649" w:type="pct"/>
                  <w:vAlign w:val="center"/>
                </w:tcPr>
                <w:p w14:paraId="0F64DB4D">
                  <w:pPr>
                    <w:pStyle w:val="906"/>
                    <w:spacing w:line="240" w:lineRule="auto"/>
                    <w:rPr>
                      <w:color w:val="auto"/>
                    </w:rPr>
                  </w:pPr>
                  <w:r>
                    <w:rPr>
                      <w:rFonts w:hint="eastAsia"/>
                      <w:color w:val="auto"/>
                    </w:rPr>
                    <w:t>不涉及</w:t>
                  </w:r>
                </w:p>
              </w:tc>
              <w:tc>
                <w:tcPr>
                  <w:tcW w:w="585" w:type="pct"/>
                  <w:vAlign w:val="center"/>
                </w:tcPr>
                <w:p w14:paraId="7853FBE2">
                  <w:pPr>
                    <w:pStyle w:val="906"/>
                    <w:spacing w:line="240" w:lineRule="auto"/>
                    <w:rPr>
                      <w:color w:val="auto"/>
                    </w:rPr>
                  </w:pPr>
                  <w:r>
                    <w:rPr>
                      <w:rFonts w:hint="eastAsia"/>
                      <w:color w:val="auto"/>
                    </w:rPr>
                    <w:t>否</w:t>
                  </w:r>
                </w:p>
              </w:tc>
            </w:tr>
            <w:tr w14:paraId="0FBD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54A95D51">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18</w:t>
                  </w:r>
                </w:p>
              </w:tc>
              <w:tc>
                <w:tcPr>
                  <w:tcW w:w="3416" w:type="pct"/>
                  <w:vAlign w:val="center"/>
                </w:tcPr>
                <w:p w14:paraId="3D268B65">
                  <w:pPr>
                    <w:pStyle w:val="906"/>
                    <w:spacing w:line="240" w:lineRule="auto"/>
                    <w:rPr>
                      <w:color w:val="auto"/>
                    </w:rPr>
                  </w:pPr>
                  <w:r>
                    <w:rPr>
                      <w:rFonts w:hint="eastAsia"/>
                      <w:color w:val="auto"/>
                    </w:rPr>
                    <w:t>未获得许可，不得从事商用密码的检测评估和进出口</w:t>
                  </w:r>
                </w:p>
              </w:tc>
              <w:tc>
                <w:tcPr>
                  <w:tcW w:w="649" w:type="pct"/>
                  <w:vAlign w:val="center"/>
                </w:tcPr>
                <w:p w14:paraId="45C3F70A">
                  <w:pPr>
                    <w:pStyle w:val="906"/>
                    <w:spacing w:line="240" w:lineRule="auto"/>
                    <w:rPr>
                      <w:color w:val="auto"/>
                    </w:rPr>
                  </w:pPr>
                  <w:r>
                    <w:rPr>
                      <w:rFonts w:hint="eastAsia"/>
                      <w:color w:val="auto"/>
                    </w:rPr>
                    <w:t>不涉及</w:t>
                  </w:r>
                </w:p>
              </w:tc>
              <w:tc>
                <w:tcPr>
                  <w:tcW w:w="585" w:type="pct"/>
                  <w:vAlign w:val="center"/>
                </w:tcPr>
                <w:p w14:paraId="586DF2AA">
                  <w:pPr>
                    <w:pStyle w:val="906"/>
                    <w:spacing w:line="240" w:lineRule="auto"/>
                    <w:rPr>
                      <w:color w:val="auto"/>
                    </w:rPr>
                  </w:pPr>
                  <w:r>
                    <w:rPr>
                      <w:rFonts w:hint="eastAsia"/>
                      <w:color w:val="auto"/>
                    </w:rPr>
                    <w:t>否</w:t>
                  </w:r>
                </w:p>
              </w:tc>
            </w:tr>
            <w:tr w14:paraId="5A2A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shd w:val="clear" w:color="auto" w:fill="auto"/>
                  <w:vAlign w:val="center"/>
                </w:tcPr>
                <w:p w14:paraId="2CB663FA">
                  <w:pPr>
                    <w:pStyle w:val="906"/>
                    <w:spacing w:line="240" w:lineRule="auto"/>
                    <w:rPr>
                      <w:rFonts w:ascii="Times New Roman" w:hAnsi="Times New Roman" w:eastAsia="宋体" w:cs="Times New Roman"/>
                      <w:color w:val="auto"/>
                      <w:kern w:val="0"/>
                      <w:sz w:val="18"/>
                      <w:szCs w:val="18"/>
                      <w:lang w:val="en-US" w:eastAsia="zh-CN" w:bidi="ar-SA"/>
                    </w:rPr>
                  </w:pPr>
                  <w:r>
                    <w:rPr>
                      <w:rFonts w:hint="eastAsia"/>
                      <w:color w:val="auto"/>
                    </w:rPr>
                    <w:t>19</w:t>
                  </w:r>
                </w:p>
              </w:tc>
              <w:tc>
                <w:tcPr>
                  <w:tcW w:w="3416" w:type="pct"/>
                  <w:vAlign w:val="center"/>
                </w:tcPr>
                <w:p w14:paraId="0D48E456">
                  <w:pPr>
                    <w:pStyle w:val="906"/>
                    <w:spacing w:line="240" w:lineRule="auto"/>
                    <w:rPr>
                      <w:color w:val="auto"/>
                    </w:rPr>
                  </w:pPr>
                  <w:r>
                    <w:rPr>
                      <w:rFonts w:hint="eastAsia"/>
                      <w:color w:val="auto"/>
                    </w:rPr>
                    <w:t>未获得许可，不得制造计量器具或从事相关量值传递和技术业务工作</w:t>
                  </w:r>
                </w:p>
              </w:tc>
              <w:tc>
                <w:tcPr>
                  <w:tcW w:w="649" w:type="pct"/>
                  <w:vAlign w:val="center"/>
                </w:tcPr>
                <w:p w14:paraId="34DC132C">
                  <w:pPr>
                    <w:pStyle w:val="906"/>
                    <w:spacing w:line="240" w:lineRule="auto"/>
                    <w:rPr>
                      <w:color w:val="auto"/>
                    </w:rPr>
                  </w:pPr>
                  <w:r>
                    <w:rPr>
                      <w:rFonts w:hint="eastAsia"/>
                      <w:color w:val="auto"/>
                    </w:rPr>
                    <w:t>不涉及</w:t>
                  </w:r>
                </w:p>
              </w:tc>
              <w:tc>
                <w:tcPr>
                  <w:tcW w:w="585" w:type="pct"/>
                  <w:vAlign w:val="center"/>
                </w:tcPr>
                <w:p w14:paraId="1FC5B072">
                  <w:pPr>
                    <w:pStyle w:val="906"/>
                    <w:spacing w:line="240" w:lineRule="auto"/>
                    <w:rPr>
                      <w:color w:val="auto"/>
                    </w:rPr>
                  </w:pPr>
                  <w:r>
                    <w:rPr>
                      <w:rFonts w:hint="eastAsia"/>
                      <w:color w:val="auto"/>
                    </w:rPr>
                    <w:t>否</w:t>
                  </w:r>
                </w:p>
              </w:tc>
            </w:tr>
            <w:tr w14:paraId="2370D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49" w:type="pct"/>
                  <w:vAlign w:val="center"/>
                </w:tcPr>
                <w:p w14:paraId="713C39B6">
                  <w:pPr>
                    <w:pStyle w:val="906"/>
                    <w:spacing w:line="240" w:lineRule="auto"/>
                    <w:rPr>
                      <w:rFonts w:hint="default" w:eastAsia="宋体"/>
                      <w:color w:val="auto"/>
                      <w:lang w:val="en-US" w:eastAsia="zh-CN"/>
                    </w:rPr>
                  </w:pPr>
                  <w:r>
                    <w:rPr>
                      <w:rFonts w:hint="eastAsia"/>
                      <w:color w:val="auto"/>
                      <w:lang w:val="en-US" w:eastAsia="zh-CN"/>
                    </w:rPr>
                    <w:t>20</w:t>
                  </w:r>
                </w:p>
              </w:tc>
              <w:tc>
                <w:tcPr>
                  <w:tcW w:w="3416" w:type="pct"/>
                  <w:vAlign w:val="center"/>
                </w:tcPr>
                <w:p w14:paraId="25473D43">
                  <w:pPr>
                    <w:pStyle w:val="906"/>
                    <w:spacing w:line="240" w:lineRule="auto"/>
                    <w:rPr>
                      <w:color w:val="auto"/>
                    </w:rPr>
                  </w:pPr>
                  <w:r>
                    <w:rPr>
                      <w:rFonts w:hint="eastAsia"/>
                      <w:color w:val="auto"/>
                    </w:rPr>
                    <w:t>未获得许可，不得从事报废机动车回收拆解业务</w:t>
                  </w:r>
                </w:p>
              </w:tc>
              <w:tc>
                <w:tcPr>
                  <w:tcW w:w="649" w:type="pct"/>
                  <w:vAlign w:val="center"/>
                </w:tcPr>
                <w:p w14:paraId="237D99CE">
                  <w:pPr>
                    <w:pStyle w:val="906"/>
                    <w:spacing w:line="240" w:lineRule="auto"/>
                    <w:rPr>
                      <w:color w:val="auto"/>
                    </w:rPr>
                  </w:pPr>
                  <w:r>
                    <w:rPr>
                      <w:rFonts w:hint="eastAsia"/>
                      <w:color w:val="auto"/>
                    </w:rPr>
                    <w:t>不涉及</w:t>
                  </w:r>
                </w:p>
              </w:tc>
              <w:tc>
                <w:tcPr>
                  <w:tcW w:w="585" w:type="pct"/>
                  <w:vAlign w:val="center"/>
                </w:tcPr>
                <w:p w14:paraId="2BE9BDD2">
                  <w:pPr>
                    <w:pStyle w:val="906"/>
                    <w:spacing w:line="240" w:lineRule="auto"/>
                    <w:rPr>
                      <w:color w:val="auto"/>
                    </w:rPr>
                  </w:pPr>
                  <w:r>
                    <w:rPr>
                      <w:rFonts w:hint="eastAsia"/>
                      <w:color w:val="auto"/>
                    </w:rPr>
                    <w:t>否</w:t>
                  </w:r>
                </w:p>
              </w:tc>
            </w:tr>
          </w:tbl>
          <w:p w14:paraId="5E98DE50">
            <w:pPr>
              <w:pStyle w:val="87"/>
              <w:numPr>
                <w:ilvl w:val="0"/>
                <w:numId w:val="0"/>
              </w:numPr>
              <w:rPr>
                <w:b/>
                <w:bCs/>
                <w:color w:val="auto"/>
              </w:rPr>
            </w:pPr>
            <w:r>
              <w:rPr>
                <w:rFonts w:hint="eastAsia"/>
                <w:b/>
                <w:bCs/>
                <w:color w:val="auto"/>
                <w:lang w:val="en-US" w:eastAsia="zh-CN"/>
              </w:rPr>
              <w:t>5、</w:t>
            </w:r>
            <w:r>
              <w:rPr>
                <w:rFonts w:hint="eastAsia"/>
                <w:b/>
                <w:bCs/>
                <w:color w:val="auto"/>
              </w:rPr>
              <w:t>与《长江经济带发展负面清单指南（试行，2022年版）》（长江办[2022]7号）相符性分析</w:t>
            </w:r>
          </w:p>
          <w:p w14:paraId="788A8ED6">
            <w:pPr>
              <w:ind w:firstLine="480" w:firstLineChars="200"/>
              <w:rPr>
                <w:color w:val="auto"/>
              </w:rPr>
            </w:pPr>
            <w:r>
              <w:rPr>
                <w:color w:val="auto"/>
              </w:rPr>
              <w:t>本项目与（长江办[2022]</w:t>
            </w:r>
            <w:r>
              <w:rPr>
                <w:rFonts w:hint="eastAsia"/>
                <w:color w:val="auto"/>
                <w:lang w:val="en-US" w:eastAsia="zh-CN"/>
              </w:rPr>
              <w:t>7</w:t>
            </w:r>
            <w:r>
              <w:rPr>
                <w:color w:val="auto"/>
              </w:rPr>
              <w:t>号）符合性分析见下表：</w:t>
            </w:r>
          </w:p>
          <w:p w14:paraId="45B58ADC">
            <w:pPr>
              <w:pStyle w:val="25"/>
              <w:jc w:val="center"/>
              <w:rPr>
                <w:rFonts w:eastAsia="黑体"/>
                <w:bCs/>
                <w:color w:val="auto"/>
                <w:sz w:val="24"/>
                <w:szCs w:val="24"/>
                <w:lang w:val="en-US"/>
              </w:rPr>
            </w:pPr>
            <w:bookmarkStart w:id="9" w:name="OLE_LINK19"/>
            <w:r>
              <w:rPr>
                <w:rFonts w:hint="eastAsia" w:eastAsia="黑体"/>
                <w:bCs/>
                <w:color w:val="auto"/>
                <w:sz w:val="24"/>
                <w:szCs w:val="24"/>
                <w:lang w:val="en-US"/>
              </w:rPr>
              <w:t>表</w:t>
            </w:r>
            <w:r>
              <w:rPr>
                <w:rFonts w:eastAsia="黑体" w:cs="Times New Roman"/>
                <w:bCs/>
                <w:color w:val="auto"/>
                <w:sz w:val="24"/>
                <w:szCs w:val="24"/>
                <w:lang w:val="en-US"/>
              </w:rPr>
              <w:t>1-</w:t>
            </w:r>
            <w:r>
              <w:rPr>
                <w:rFonts w:hint="eastAsia" w:eastAsia="黑体" w:cs="Times New Roman"/>
                <w:bCs/>
                <w:color w:val="auto"/>
                <w:sz w:val="24"/>
                <w:szCs w:val="24"/>
                <w:lang w:val="en-US" w:eastAsia="zh-CN"/>
              </w:rPr>
              <w:t>7</w:t>
            </w:r>
            <w:r>
              <w:rPr>
                <w:rFonts w:eastAsia="黑体" w:cs="Times New Roman"/>
                <w:bCs/>
                <w:color w:val="auto"/>
                <w:sz w:val="24"/>
                <w:szCs w:val="24"/>
                <w:lang w:val="en-US"/>
              </w:rPr>
              <w:t xml:space="preserve">  </w:t>
            </w:r>
            <w:r>
              <w:rPr>
                <w:rFonts w:hint="eastAsia" w:eastAsia="黑体"/>
                <w:bCs/>
                <w:color w:val="auto"/>
                <w:sz w:val="24"/>
                <w:szCs w:val="24"/>
                <w:lang w:val="en-US"/>
              </w:rPr>
              <w:t>与长江办[2022]</w:t>
            </w:r>
            <w:r>
              <w:rPr>
                <w:rFonts w:hint="eastAsia" w:eastAsia="黑体"/>
                <w:bCs/>
                <w:color w:val="auto"/>
                <w:sz w:val="24"/>
                <w:szCs w:val="24"/>
                <w:lang w:val="en-US" w:eastAsia="zh-CN"/>
              </w:rPr>
              <w:t>7</w:t>
            </w:r>
            <w:r>
              <w:rPr>
                <w:rFonts w:hint="eastAsia" w:eastAsia="黑体"/>
                <w:bCs/>
                <w:color w:val="auto"/>
                <w:sz w:val="24"/>
                <w:szCs w:val="24"/>
                <w:lang w:val="en-US"/>
              </w:rPr>
              <w:t>号相符性分析</w:t>
            </w:r>
          </w:p>
          <w:bookmarkEnd w:id="9"/>
          <w:tbl>
            <w:tblPr>
              <w:tblStyle w:val="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607"/>
              <w:gridCol w:w="4114"/>
              <w:gridCol w:w="2941"/>
              <w:gridCol w:w="685"/>
            </w:tblGrid>
            <w:tr w14:paraId="33B8D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32D9957F">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序号</w:t>
                  </w:r>
                </w:p>
              </w:tc>
              <w:tc>
                <w:tcPr>
                  <w:tcW w:w="2464" w:type="pct"/>
                  <w:tcBorders>
                    <w:tl2br w:val="nil"/>
                    <w:tr2bl w:val="nil"/>
                  </w:tcBorders>
                  <w:noWrap w:val="0"/>
                  <w:vAlign w:val="center"/>
                </w:tcPr>
                <w:p w14:paraId="65A17C70">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文件内容</w:t>
                  </w:r>
                </w:p>
              </w:tc>
              <w:tc>
                <w:tcPr>
                  <w:tcW w:w="1761" w:type="pct"/>
                  <w:tcBorders>
                    <w:tl2br w:val="nil"/>
                    <w:tr2bl w:val="nil"/>
                  </w:tcBorders>
                  <w:noWrap w:val="0"/>
                  <w:vAlign w:val="center"/>
                </w:tcPr>
                <w:p w14:paraId="7C58084D">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本项目情况</w:t>
                  </w:r>
                </w:p>
              </w:tc>
              <w:tc>
                <w:tcPr>
                  <w:tcW w:w="410" w:type="pct"/>
                  <w:tcBorders>
                    <w:tl2br w:val="nil"/>
                    <w:tr2bl w:val="nil"/>
                  </w:tcBorders>
                  <w:noWrap w:val="0"/>
                  <w:vAlign w:val="center"/>
                </w:tcPr>
                <w:p w14:paraId="6F1884F7">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相符性</w:t>
                  </w:r>
                </w:p>
              </w:tc>
            </w:tr>
            <w:tr w14:paraId="53E9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6C225406">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1</w:t>
                  </w:r>
                </w:p>
              </w:tc>
              <w:tc>
                <w:tcPr>
                  <w:tcW w:w="2464" w:type="pct"/>
                  <w:tcBorders>
                    <w:tl2br w:val="nil"/>
                    <w:tr2bl w:val="nil"/>
                  </w:tcBorders>
                  <w:noWrap w:val="0"/>
                  <w:vAlign w:val="center"/>
                </w:tcPr>
                <w:p w14:paraId="77CB6F12">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禁止建设不符合全国和省级港口布局规划以及港口总体规划的码头项目，禁止建设不符合《长江干线过江通道布局规划》的过长江通道项目。</w:t>
                  </w:r>
                </w:p>
              </w:tc>
              <w:tc>
                <w:tcPr>
                  <w:tcW w:w="1761" w:type="pct"/>
                  <w:tcBorders>
                    <w:tl2br w:val="nil"/>
                    <w:tr2bl w:val="nil"/>
                  </w:tcBorders>
                  <w:noWrap w:val="0"/>
                  <w:vAlign w:val="center"/>
                </w:tcPr>
                <w:p w14:paraId="08202D52">
                  <w:pPr>
                    <w:pStyle w:val="25"/>
                    <w:spacing w:line="240" w:lineRule="auto"/>
                    <w:jc w:val="center"/>
                    <w:rPr>
                      <w:rFonts w:hint="default" w:ascii="Times New Roman" w:hAnsi="Times New Roman" w:eastAsia="宋体" w:cs="宋体"/>
                      <w:bCs/>
                      <w:color w:val="auto"/>
                      <w:sz w:val="18"/>
                      <w:szCs w:val="18"/>
                      <w:lang w:val="en-US" w:eastAsia="zh-CN"/>
                    </w:rPr>
                  </w:pPr>
                  <w:r>
                    <w:rPr>
                      <w:rFonts w:hint="default" w:ascii="Times New Roman" w:hAnsi="Times New Roman" w:eastAsia="宋体" w:cs="宋体"/>
                      <w:bCs/>
                      <w:color w:val="auto"/>
                      <w:sz w:val="18"/>
                      <w:szCs w:val="18"/>
                      <w:lang w:val="en-US" w:eastAsia="zh-CN"/>
                    </w:rPr>
                    <w:t>拟建项目为</w:t>
                  </w:r>
                  <w:r>
                    <w:rPr>
                      <w:rFonts w:hint="eastAsia" w:cs="宋体"/>
                      <w:bCs/>
                      <w:color w:val="auto"/>
                      <w:sz w:val="18"/>
                      <w:szCs w:val="18"/>
                      <w:lang w:val="en-US" w:eastAsia="zh-CN"/>
                    </w:rPr>
                    <w:t>C3392 有色金属铸造</w:t>
                  </w:r>
                  <w:r>
                    <w:rPr>
                      <w:rFonts w:hint="eastAsia" w:ascii="Times New Roman" w:hAnsi="Times New Roman" w:eastAsia="宋体" w:cs="宋体"/>
                      <w:bCs/>
                      <w:color w:val="auto"/>
                      <w:sz w:val="18"/>
                      <w:szCs w:val="18"/>
                      <w:lang w:val="en-US" w:eastAsia="zh-CN"/>
                    </w:rPr>
                    <w:t>，不属于码头、长江通道项目。</w:t>
                  </w:r>
                </w:p>
              </w:tc>
              <w:tc>
                <w:tcPr>
                  <w:tcW w:w="410" w:type="pct"/>
                  <w:tcBorders>
                    <w:tl2br w:val="nil"/>
                    <w:tr2bl w:val="nil"/>
                  </w:tcBorders>
                  <w:noWrap w:val="0"/>
                  <w:vAlign w:val="center"/>
                </w:tcPr>
                <w:p w14:paraId="0C5FA864">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477D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9" w:hRule="atLeast"/>
                <w:jc w:val="center"/>
              </w:trPr>
              <w:tc>
                <w:tcPr>
                  <w:tcW w:w="364" w:type="pct"/>
                  <w:tcBorders>
                    <w:tl2br w:val="nil"/>
                    <w:tr2bl w:val="nil"/>
                  </w:tcBorders>
                  <w:noWrap w:val="0"/>
                  <w:vAlign w:val="center"/>
                </w:tcPr>
                <w:p w14:paraId="1D6CEDEA">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2</w:t>
                  </w:r>
                </w:p>
              </w:tc>
              <w:tc>
                <w:tcPr>
                  <w:tcW w:w="2464" w:type="pct"/>
                  <w:tcBorders>
                    <w:tl2br w:val="nil"/>
                    <w:tr2bl w:val="nil"/>
                  </w:tcBorders>
                  <w:noWrap w:val="0"/>
                  <w:vAlign w:val="center"/>
                </w:tcPr>
                <w:p w14:paraId="3690543D">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禁止在自然保护区核心区、缓冲区岸线和河段范围内投资建设旅游和生产经营项目。禁止在风景名胜区核心景区岸线和河段范围内投资建设与风景名胜资源保护无关的项目。</w:t>
                  </w:r>
                </w:p>
              </w:tc>
              <w:tc>
                <w:tcPr>
                  <w:tcW w:w="1761" w:type="pct"/>
                  <w:tcBorders>
                    <w:tl2br w:val="nil"/>
                    <w:tr2bl w:val="nil"/>
                  </w:tcBorders>
                  <w:noWrap w:val="0"/>
                  <w:vAlign w:val="center"/>
                </w:tcPr>
                <w:p w14:paraId="39BA535A">
                  <w:pPr>
                    <w:pStyle w:val="25"/>
                    <w:spacing w:line="240" w:lineRule="auto"/>
                    <w:jc w:val="center"/>
                    <w:rPr>
                      <w:rFonts w:hint="eastAsia"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拟建项目位于</w:t>
                  </w:r>
                  <w:bookmarkStart w:id="10" w:name="OLE_LINK22"/>
                  <w:r>
                    <w:rPr>
                      <w:rFonts w:hint="eastAsia" w:ascii="Times New Roman" w:hAnsi="Times New Roman" w:eastAsia="宋体" w:cs="宋体"/>
                      <w:bCs/>
                      <w:color w:val="auto"/>
                      <w:sz w:val="18"/>
                      <w:szCs w:val="18"/>
                      <w:lang w:val="en-US" w:eastAsia="zh-CN"/>
                    </w:rPr>
                    <w:t>皖江江南新兴产业集中区</w:t>
                  </w:r>
                  <w:bookmarkEnd w:id="10"/>
                  <w:r>
                    <w:rPr>
                      <w:rFonts w:hint="eastAsia" w:ascii="Times New Roman" w:hAnsi="Times New Roman" w:eastAsia="宋体" w:cs="宋体"/>
                      <w:bCs/>
                      <w:color w:val="auto"/>
                      <w:sz w:val="18"/>
                      <w:szCs w:val="18"/>
                      <w:lang w:val="en-US" w:eastAsia="zh-CN"/>
                    </w:rPr>
                    <w:t>，项目周边不涉及自然保护区、风景名胜区等。</w:t>
                  </w:r>
                </w:p>
              </w:tc>
              <w:tc>
                <w:tcPr>
                  <w:tcW w:w="410" w:type="pct"/>
                  <w:tcBorders>
                    <w:tl2br w:val="nil"/>
                    <w:tr2bl w:val="nil"/>
                  </w:tcBorders>
                  <w:noWrap w:val="0"/>
                  <w:vAlign w:val="center"/>
                </w:tcPr>
                <w:p w14:paraId="52D5C1FA">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65F1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1849" w:hRule="atLeast"/>
                <w:jc w:val="center"/>
              </w:trPr>
              <w:tc>
                <w:tcPr>
                  <w:tcW w:w="364" w:type="pct"/>
                  <w:tcBorders>
                    <w:tl2br w:val="nil"/>
                    <w:tr2bl w:val="nil"/>
                  </w:tcBorders>
                  <w:noWrap w:val="0"/>
                  <w:vAlign w:val="center"/>
                </w:tcPr>
                <w:p w14:paraId="041BF29C">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3</w:t>
                  </w:r>
                </w:p>
              </w:tc>
              <w:tc>
                <w:tcPr>
                  <w:tcW w:w="2464" w:type="pct"/>
                  <w:tcBorders>
                    <w:tl2br w:val="nil"/>
                    <w:tr2bl w:val="nil"/>
                  </w:tcBorders>
                  <w:noWrap w:val="0"/>
                  <w:vAlign w:val="center"/>
                </w:tcPr>
                <w:p w14:paraId="3C4F25DF">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在饮用水源一级保护区岸线和河段范围内新建、改建、扩建与供水设施和保护水源无关的项目，以及网箱养殖、畜禽养殖、旅游等可能污染饮用水水体投资建设项目。禁止在饮用水水源二级保护区的岸线和河段范围内新建、改建、扩建排放污染物的投资建设项目。</w:t>
                  </w:r>
                </w:p>
              </w:tc>
              <w:tc>
                <w:tcPr>
                  <w:tcW w:w="1761" w:type="pct"/>
                  <w:tcBorders>
                    <w:tl2br w:val="nil"/>
                    <w:tr2bl w:val="nil"/>
                  </w:tcBorders>
                  <w:noWrap w:val="0"/>
                  <w:vAlign w:val="center"/>
                </w:tcPr>
                <w:p w14:paraId="10F07DEA">
                  <w:pPr>
                    <w:pStyle w:val="25"/>
                    <w:spacing w:line="240" w:lineRule="auto"/>
                    <w:jc w:val="center"/>
                    <w:rPr>
                      <w:rFonts w:hint="eastAsia"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拟建项目不在饮用水源一级、二级保护区岸线和河段范围内。</w:t>
                  </w:r>
                </w:p>
              </w:tc>
              <w:tc>
                <w:tcPr>
                  <w:tcW w:w="410" w:type="pct"/>
                  <w:tcBorders>
                    <w:tl2br w:val="nil"/>
                    <w:tr2bl w:val="nil"/>
                  </w:tcBorders>
                  <w:noWrap w:val="0"/>
                  <w:vAlign w:val="center"/>
                </w:tcPr>
                <w:p w14:paraId="62310B4A">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60CDB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0CAF35D5">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4</w:t>
                  </w:r>
                </w:p>
              </w:tc>
              <w:tc>
                <w:tcPr>
                  <w:tcW w:w="2464" w:type="pct"/>
                  <w:tcBorders>
                    <w:tl2br w:val="nil"/>
                    <w:tr2bl w:val="nil"/>
                  </w:tcBorders>
                  <w:noWrap w:val="0"/>
                  <w:vAlign w:val="center"/>
                </w:tcPr>
                <w:p w14:paraId="23BD2668">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禁止在水产种质资源保护区的岸线和河段范围内挖沙、采矿，以及任何不符合主体功能定位的投资建设项目。</w:t>
                  </w:r>
                </w:p>
              </w:tc>
              <w:tc>
                <w:tcPr>
                  <w:tcW w:w="1761" w:type="pct"/>
                  <w:tcBorders>
                    <w:tl2br w:val="nil"/>
                    <w:tr2bl w:val="nil"/>
                  </w:tcBorders>
                  <w:noWrap w:val="0"/>
                  <w:vAlign w:val="center"/>
                </w:tcPr>
                <w:p w14:paraId="13F35A0E">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拟建项目不在水产种质资源保护区的岸线和河段范围内，且不属于挖沙、采矿项目。</w:t>
                  </w:r>
                </w:p>
              </w:tc>
              <w:tc>
                <w:tcPr>
                  <w:tcW w:w="410" w:type="pct"/>
                  <w:tcBorders>
                    <w:tl2br w:val="nil"/>
                    <w:tr2bl w:val="nil"/>
                  </w:tcBorders>
                  <w:noWrap w:val="0"/>
                  <w:vAlign w:val="center"/>
                </w:tcPr>
                <w:p w14:paraId="2B44E921">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5D56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0A18391C">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5</w:t>
                  </w:r>
                </w:p>
              </w:tc>
              <w:tc>
                <w:tcPr>
                  <w:tcW w:w="2464" w:type="pct"/>
                  <w:tcBorders>
                    <w:tl2br w:val="nil"/>
                    <w:tr2bl w:val="nil"/>
                  </w:tcBorders>
                  <w:noWrap w:val="0"/>
                  <w:vAlign w:val="center"/>
                </w:tcPr>
                <w:p w14:paraId="4BF24D36">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违法利用、占用长江流域河湖岸线。禁止在《长江岸线保护和开发利用总体规划》划定的岸线保护区和保留区内投资建设除事关公共安全及公众利益的防洪护岸，河道治理、供水、生态环境保护、航道治理、国家重要基础设施以外的项目。禁止在《全国重要江河湖泊功能区划》划定的河段及湖泊保护区、保留区内投资建设不利于水资源及自然生态保护的项目</w:t>
                  </w:r>
                </w:p>
              </w:tc>
              <w:tc>
                <w:tcPr>
                  <w:tcW w:w="1761" w:type="pct"/>
                  <w:tcBorders>
                    <w:tl2br w:val="nil"/>
                    <w:tr2bl w:val="nil"/>
                  </w:tcBorders>
                  <w:noWrap w:val="0"/>
                  <w:vAlign w:val="center"/>
                </w:tcPr>
                <w:p w14:paraId="724CA427">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拟建项目不涉及长江流域河湖岸线、周边不涉及河段及湖泊保护区。</w:t>
                  </w:r>
                </w:p>
              </w:tc>
              <w:tc>
                <w:tcPr>
                  <w:tcW w:w="410" w:type="pct"/>
                  <w:tcBorders>
                    <w:tl2br w:val="nil"/>
                    <w:tr2bl w:val="nil"/>
                  </w:tcBorders>
                  <w:noWrap w:val="0"/>
                  <w:vAlign w:val="center"/>
                </w:tcPr>
                <w:p w14:paraId="3DDEF245">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46BF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26F8C596">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6</w:t>
                  </w:r>
                </w:p>
              </w:tc>
              <w:tc>
                <w:tcPr>
                  <w:tcW w:w="2464" w:type="pct"/>
                  <w:tcBorders>
                    <w:tl2br w:val="nil"/>
                    <w:tr2bl w:val="nil"/>
                  </w:tcBorders>
                  <w:noWrap w:val="0"/>
                  <w:vAlign w:val="center"/>
                </w:tcPr>
                <w:p w14:paraId="578891FE">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禁止未经许可在长江干支流及湖泊新设、改设或扩大排污口。</w:t>
                  </w:r>
                </w:p>
              </w:tc>
              <w:tc>
                <w:tcPr>
                  <w:tcW w:w="1761" w:type="pct"/>
                  <w:tcBorders>
                    <w:tl2br w:val="nil"/>
                    <w:tr2bl w:val="nil"/>
                  </w:tcBorders>
                  <w:noWrap w:val="0"/>
                  <w:vAlign w:val="center"/>
                </w:tcPr>
                <w:p w14:paraId="68933F6D">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拟建项目不在长江干支流及湖泊设排污口。</w:t>
                  </w:r>
                </w:p>
              </w:tc>
              <w:tc>
                <w:tcPr>
                  <w:tcW w:w="410" w:type="pct"/>
                  <w:tcBorders>
                    <w:tl2br w:val="nil"/>
                    <w:tr2bl w:val="nil"/>
                  </w:tcBorders>
                  <w:noWrap w:val="0"/>
                  <w:vAlign w:val="center"/>
                </w:tcPr>
                <w:p w14:paraId="1AD7B2EA">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2F1C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6B6C1A62">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7</w:t>
                  </w:r>
                </w:p>
              </w:tc>
              <w:tc>
                <w:tcPr>
                  <w:tcW w:w="2464" w:type="pct"/>
                  <w:tcBorders>
                    <w:tl2br w:val="nil"/>
                    <w:tr2bl w:val="nil"/>
                  </w:tcBorders>
                  <w:noWrap w:val="0"/>
                  <w:vAlign w:val="center"/>
                </w:tcPr>
                <w:p w14:paraId="0CF8D088">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禁止在“一江一口两湖七河”和332个水生生物保护区开展生产性捕捞。</w:t>
                  </w:r>
                </w:p>
              </w:tc>
              <w:tc>
                <w:tcPr>
                  <w:tcW w:w="1761" w:type="pct"/>
                  <w:tcBorders>
                    <w:tl2br w:val="nil"/>
                    <w:tr2bl w:val="nil"/>
                  </w:tcBorders>
                  <w:noWrap w:val="0"/>
                  <w:vAlign w:val="center"/>
                </w:tcPr>
                <w:p w14:paraId="1F196A1E">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拟建项目不涉及捕捞。</w:t>
                  </w:r>
                </w:p>
              </w:tc>
              <w:tc>
                <w:tcPr>
                  <w:tcW w:w="410" w:type="pct"/>
                  <w:tcBorders>
                    <w:tl2br w:val="nil"/>
                    <w:tr2bl w:val="nil"/>
                  </w:tcBorders>
                  <w:noWrap w:val="0"/>
                  <w:vAlign w:val="center"/>
                </w:tcPr>
                <w:p w14:paraId="77062C1E">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3896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2DA12521">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8</w:t>
                  </w:r>
                </w:p>
              </w:tc>
              <w:tc>
                <w:tcPr>
                  <w:tcW w:w="2464" w:type="pct"/>
                  <w:tcBorders>
                    <w:tl2br w:val="nil"/>
                    <w:tr2bl w:val="nil"/>
                  </w:tcBorders>
                  <w:noWrap w:val="0"/>
                  <w:vAlign w:val="center"/>
                </w:tcPr>
                <w:p w14:paraId="2BCA3BAB">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tc>
              <w:tc>
                <w:tcPr>
                  <w:tcW w:w="1761" w:type="pct"/>
                  <w:tcBorders>
                    <w:tl2br w:val="nil"/>
                    <w:tr2bl w:val="nil"/>
                  </w:tcBorders>
                  <w:noWrap w:val="0"/>
                  <w:vAlign w:val="center"/>
                </w:tcPr>
                <w:p w14:paraId="2E567154">
                  <w:pPr>
                    <w:pStyle w:val="25"/>
                    <w:spacing w:line="240" w:lineRule="auto"/>
                    <w:jc w:val="center"/>
                    <w:rPr>
                      <w:rFonts w:hint="default" w:ascii="Times New Roman" w:hAnsi="Times New Roman" w:eastAsia="宋体" w:cs="宋体"/>
                      <w:bCs/>
                      <w:color w:val="auto"/>
                      <w:sz w:val="18"/>
                      <w:szCs w:val="18"/>
                      <w:lang w:val="en-US" w:eastAsia="zh-CN"/>
                    </w:rPr>
                  </w:pPr>
                  <w:r>
                    <w:rPr>
                      <w:rFonts w:hint="default" w:ascii="Times New Roman" w:hAnsi="Times New Roman" w:eastAsia="宋体" w:cs="宋体"/>
                      <w:bCs/>
                      <w:color w:val="auto"/>
                      <w:sz w:val="18"/>
                      <w:szCs w:val="18"/>
                      <w:lang w:val="en-US" w:eastAsia="zh-CN"/>
                    </w:rPr>
                    <w:t>拟建项目位于</w:t>
                  </w:r>
                  <w:r>
                    <w:rPr>
                      <w:rFonts w:hint="eastAsia" w:ascii="Times New Roman" w:hAnsi="Times New Roman" w:eastAsia="宋体" w:cs="宋体"/>
                      <w:bCs/>
                      <w:color w:val="auto"/>
                      <w:sz w:val="18"/>
                      <w:szCs w:val="18"/>
                      <w:lang w:val="en-US" w:eastAsia="zh-CN"/>
                    </w:rPr>
                    <w:t>皖江江南新兴产业集中区</w:t>
                  </w:r>
                  <w:r>
                    <w:rPr>
                      <w:rFonts w:hint="default" w:ascii="Times New Roman" w:hAnsi="Times New Roman" w:eastAsia="宋体" w:cs="宋体"/>
                      <w:bCs/>
                      <w:color w:val="auto"/>
                      <w:sz w:val="18"/>
                      <w:szCs w:val="18"/>
                      <w:lang w:val="en-US" w:eastAsia="zh-CN"/>
                    </w:rPr>
                    <w:t>，项目为</w:t>
                  </w:r>
                  <w:r>
                    <w:rPr>
                      <w:rFonts w:hint="eastAsia" w:cs="宋体"/>
                      <w:bCs/>
                      <w:color w:val="auto"/>
                      <w:sz w:val="18"/>
                      <w:szCs w:val="18"/>
                      <w:lang w:val="en-US" w:eastAsia="zh-CN"/>
                    </w:rPr>
                    <w:t>C3392 有色金属铸造</w:t>
                  </w:r>
                  <w:r>
                    <w:rPr>
                      <w:rFonts w:hint="eastAsia" w:ascii="Times New Roman" w:hAnsi="Times New Roman" w:eastAsia="宋体" w:cs="宋体"/>
                      <w:bCs/>
                      <w:color w:val="auto"/>
                      <w:sz w:val="18"/>
                      <w:szCs w:val="18"/>
                      <w:lang w:val="en-US" w:eastAsia="zh-CN"/>
                    </w:rPr>
                    <w:t>，</w:t>
                  </w:r>
                  <w:r>
                    <w:rPr>
                      <w:rFonts w:hint="default" w:ascii="Times New Roman" w:hAnsi="Times New Roman" w:eastAsia="宋体" w:cs="宋体"/>
                      <w:bCs/>
                      <w:color w:val="auto"/>
                      <w:sz w:val="18"/>
                      <w:szCs w:val="18"/>
                      <w:lang w:val="en-US" w:eastAsia="zh-CN"/>
                    </w:rPr>
                    <w:t>且规划厂界距离长江约</w:t>
                  </w:r>
                  <w:r>
                    <w:rPr>
                      <w:rFonts w:hint="eastAsia" w:cs="宋体"/>
                      <w:bCs/>
                      <w:color w:val="auto"/>
                      <w:sz w:val="18"/>
                      <w:szCs w:val="18"/>
                      <w:lang w:val="en-US" w:eastAsia="zh-CN"/>
                    </w:rPr>
                    <w:t>5.6</w:t>
                  </w:r>
                  <w:r>
                    <w:rPr>
                      <w:rFonts w:hint="default" w:ascii="Times New Roman" w:hAnsi="Times New Roman" w:eastAsia="宋体" w:cs="宋体"/>
                      <w:bCs/>
                      <w:color w:val="auto"/>
                      <w:sz w:val="18"/>
                      <w:szCs w:val="18"/>
                      <w:lang w:val="en-US" w:eastAsia="zh-CN"/>
                    </w:rPr>
                    <w:t>km。</w:t>
                  </w:r>
                </w:p>
              </w:tc>
              <w:tc>
                <w:tcPr>
                  <w:tcW w:w="410" w:type="pct"/>
                  <w:tcBorders>
                    <w:tl2br w:val="nil"/>
                    <w:tr2bl w:val="nil"/>
                  </w:tcBorders>
                  <w:noWrap w:val="0"/>
                  <w:vAlign w:val="center"/>
                </w:tcPr>
                <w:p w14:paraId="72C603D7">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3579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5C1D13A1">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9</w:t>
                  </w:r>
                </w:p>
              </w:tc>
              <w:tc>
                <w:tcPr>
                  <w:tcW w:w="2464" w:type="pct"/>
                  <w:tcBorders>
                    <w:tl2br w:val="nil"/>
                    <w:tr2bl w:val="nil"/>
                  </w:tcBorders>
                  <w:noWrap w:val="0"/>
                  <w:vAlign w:val="center"/>
                </w:tcPr>
                <w:p w14:paraId="7A7A851A">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禁止在合规园区外新建、扩建钢铁、石化、化工、焦化、建材、有色、制浆造纸等高污染项目。</w:t>
                  </w:r>
                </w:p>
              </w:tc>
              <w:tc>
                <w:tcPr>
                  <w:tcW w:w="1761" w:type="pct"/>
                  <w:tcBorders>
                    <w:tl2br w:val="nil"/>
                    <w:tr2bl w:val="nil"/>
                  </w:tcBorders>
                  <w:noWrap w:val="0"/>
                  <w:vAlign w:val="center"/>
                </w:tcPr>
                <w:p w14:paraId="05254A4F">
                  <w:pPr>
                    <w:pStyle w:val="25"/>
                    <w:spacing w:line="240" w:lineRule="auto"/>
                    <w:jc w:val="center"/>
                    <w:rPr>
                      <w:rFonts w:hint="default" w:ascii="Times New Roman" w:hAnsi="Times New Roman" w:eastAsia="宋体" w:cs="宋体"/>
                      <w:bCs/>
                      <w:color w:val="auto"/>
                      <w:sz w:val="18"/>
                      <w:szCs w:val="18"/>
                      <w:lang w:val="en-US" w:eastAsia="zh-CN"/>
                    </w:rPr>
                  </w:pPr>
                  <w:r>
                    <w:rPr>
                      <w:rFonts w:hint="default" w:ascii="Times New Roman" w:hAnsi="Times New Roman" w:eastAsia="宋体" w:cs="宋体"/>
                      <w:bCs/>
                      <w:color w:val="auto"/>
                      <w:sz w:val="18"/>
                      <w:szCs w:val="18"/>
                      <w:lang w:val="en-US" w:eastAsia="zh-CN"/>
                    </w:rPr>
                    <w:t>拟建项目位于</w:t>
                  </w:r>
                  <w:r>
                    <w:rPr>
                      <w:rFonts w:hint="eastAsia" w:ascii="Times New Roman" w:hAnsi="Times New Roman" w:eastAsia="宋体" w:cs="宋体"/>
                      <w:bCs/>
                      <w:color w:val="auto"/>
                      <w:sz w:val="18"/>
                      <w:szCs w:val="18"/>
                      <w:lang w:val="en-US" w:eastAsia="zh-CN"/>
                    </w:rPr>
                    <w:t>皖江江南新兴产业集中区内</w:t>
                  </w:r>
                  <w:r>
                    <w:rPr>
                      <w:rFonts w:hint="default" w:ascii="Times New Roman" w:hAnsi="Times New Roman" w:eastAsia="宋体" w:cs="宋体"/>
                      <w:bCs/>
                      <w:color w:val="auto"/>
                      <w:sz w:val="18"/>
                      <w:szCs w:val="18"/>
                      <w:lang w:val="en-US" w:eastAsia="zh-CN"/>
                    </w:rPr>
                    <w:t>，项目为</w:t>
                  </w:r>
                  <w:r>
                    <w:rPr>
                      <w:rFonts w:hint="eastAsia" w:cs="宋体"/>
                      <w:bCs/>
                      <w:color w:val="auto"/>
                      <w:sz w:val="18"/>
                      <w:szCs w:val="18"/>
                      <w:lang w:val="en-US" w:eastAsia="zh-CN"/>
                    </w:rPr>
                    <w:t>C3392 有色金属铸造</w:t>
                  </w:r>
                  <w:r>
                    <w:rPr>
                      <w:rFonts w:hint="eastAsia" w:ascii="Times New Roman" w:hAnsi="Times New Roman" w:eastAsia="宋体" w:cs="宋体"/>
                      <w:bCs/>
                      <w:color w:val="auto"/>
                      <w:sz w:val="18"/>
                      <w:szCs w:val="18"/>
                      <w:lang w:val="en-US" w:eastAsia="zh-CN"/>
                    </w:rPr>
                    <w:t>，</w:t>
                  </w:r>
                  <w:r>
                    <w:rPr>
                      <w:rFonts w:hint="default" w:ascii="Times New Roman" w:hAnsi="Times New Roman" w:eastAsia="宋体" w:cs="宋体"/>
                      <w:bCs/>
                      <w:color w:val="auto"/>
                      <w:sz w:val="18"/>
                      <w:szCs w:val="18"/>
                      <w:lang w:val="en-US" w:eastAsia="zh-CN"/>
                    </w:rPr>
                    <w:t>不属于钢铁、石化、化工、焦化、建材、有色、制浆造纸等高污染项目。</w:t>
                  </w:r>
                </w:p>
              </w:tc>
              <w:tc>
                <w:tcPr>
                  <w:tcW w:w="410" w:type="pct"/>
                  <w:tcBorders>
                    <w:tl2br w:val="nil"/>
                    <w:tr2bl w:val="nil"/>
                  </w:tcBorders>
                  <w:noWrap w:val="0"/>
                  <w:vAlign w:val="center"/>
                </w:tcPr>
                <w:p w14:paraId="1653850D">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162D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0F358A06">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10</w:t>
                  </w:r>
                </w:p>
              </w:tc>
              <w:tc>
                <w:tcPr>
                  <w:tcW w:w="2464" w:type="pct"/>
                  <w:tcBorders>
                    <w:tl2br w:val="nil"/>
                    <w:tr2bl w:val="nil"/>
                  </w:tcBorders>
                  <w:noWrap w:val="0"/>
                  <w:vAlign w:val="center"/>
                </w:tcPr>
                <w:p w14:paraId="2B9F61AF">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禁止新建、扩建不符合国家石化、现代煤化工等产业布局规划的项目。</w:t>
                  </w:r>
                </w:p>
              </w:tc>
              <w:tc>
                <w:tcPr>
                  <w:tcW w:w="1761" w:type="pct"/>
                  <w:tcBorders>
                    <w:tl2br w:val="nil"/>
                    <w:tr2bl w:val="nil"/>
                  </w:tcBorders>
                  <w:noWrap w:val="0"/>
                  <w:vAlign w:val="center"/>
                </w:tcPr>
                <w:p w14:paraId="5CDFF983">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拟建项目为</w:t>
                  </w:r>
                  <w:r>
                    <w:rPr>
                      <w:rFonts w:hint="default" w:ascii="Times New Roman" w:hAnsi="Times New Roman" w:eastAsia="宋体" w:cs="宋体"/>
                      <w:bCs/>
                      <w:color w:val="auto"/>
                      <w:sz w:val="18"/>
                      <w:szCs w:val="18"/>
                      <w:lang w:val="en-US" w:eastAsia="zh-CN"/>
                    </w:rPr>
                    <w:t>为</w:t>
                  </w:r>
                  <w:r>
                    <w:rPr>
                      <w:rFonts w:hint="eastAsia" w:cs="宋体"/>
                      <w:bCs/>
                      <w:color w:val="auto"/>
                      <w:sz w:val="18"/>
                      <w:szCs w:val="18"/>
                      <w:lang w:val="en-US" w:eastAsia="zh-CN"/>
                    </w:rPr>
                    <w:t>C3392 有色金属铸造</w:t>
                  </w:r>
                  <w:r>
                    <w:rPr>
                      <w:rFonts w:hint="eastAsia" w:ascii="Times New Roman" w:hAnsi="Times New Roman" w:eastAsia="宋体" w:cs="宋体"/>
                      <w:bCs/>
                      <w:color w:val="auto"/>
                      <w:sz w:val="18"/>
                      <w:szCs w:val="18"/>
                      <w:lang w:val="en-US" w:eastAsia="zh-CN"/>
                    </w:rPr>
                    <w:t>，不属于石化、现代煤化工等产业</w:t>
                  </w:r>
                </w:p>
              </w:tc>
              <w:tc>
                <w:tcPr>
                  <w:tcW w:w="410" w:type="pct"/>
                  <w:tcBorders>
                    <w:tl2br w:val="nil"/>
                    <w:tr2bl w:val="nil"/>
                  </w:tcBorders>
                  <w:noWrap w:val="0"/>
                  <w:vAlign w:val="center"/>
                </w:tcPr>
                <w:p w14:paraId="4C9C4354">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r w14:paraId="1821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jc w:val="center"/>
              </w:trPr>
              <w:tc>
                <w:tcPr>
                  <w:tcW w:w="364" w:type="pct"/>
                  <w:tcBorders>
                    <w:tl2br w:val="nil"/>
                    <w:tr2bl w:val="nil"/>
                  </w:tcBorders>
                  <w:noWrap w:val="0"/>
                  <w:vAlign w:val="center"/>
                </w:tcPr>
                <w:p w14:paraId="0C8E8784">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11</w:t>
                  </w:r>
                </w:p>
              </w:tc>
              <w:tc>
                <w:tcPr>
                  <w:tcW w:w="2464" w:type="pct"/>
                  <w:tcBorders>
                    <w:tl2br w:val="nil"/>
                    <w:tr2bl w:val="nil"/>
                  </w:tcBorders>
                  <w:noWrap w:val="0"/>
                  <w:vAlign w:val="center"/>
                </w:tcPr>
                <w:p w14:paraId="23A4CE77">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禁止新建、扩建法律法规和相关政策明令禁止的落后产能项目。禁止新建、扩建不符合国家产能置换要求的严重过剩产能行业的项目。禁止新建、扩建不符合要求的高耗能高排放项目。</w:t>
                  </w:r>
                </w:p>
              </w:tc>
              <w:tc>
                <w:tcPr>
                  <w:tcW w:w="1761" w:type="pct"/>
                  <w:tcBorders>
                    <w:tl2br w:val="nil"/>
                    <w:tr2bl w:val="nil"/>
                  </w:tcBorders>
                  <w:noWrap w:val="0"/>
                  <w:vAlign w:val="center"/>
                </w:tcPr>
                <w:p w14:paraId="21872BAA">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对照《产业结构调整指导目录（2024年本）》，拟建项目不属于国家产业政策中限制类、淘汰类项目，本项目符合国家相关产业政策。</w:t>
                  </w:r>
                </w:p>
              </w:tc>
              <w:tc>
                <w:tcPr>
                  <w:tcW w:w="410" w:type="pct"/>
                  <w:tcBorders>
                    <w:tl2br w:val="nil"/>
                    <w:tr2bl w:val="nil"/>
                  </w:tcBorders>
                  <w:noWrap w:val="0"/>
                  <w:vAlign w:val="center"/>
                </w:tcPr>
                <w:p w14:paraId="6AEDFB42">
                  <w:pPr>
                    <w:pStyle w:val="25"/>
                    <w:spacing w:line="240" w:lineRule="auto"/>
                    <w:jc w:val="center"/>
                    <w:rPr>
                      <w:rFonts w:hint="default" w:ascii="Times New Roman" w:hAnsi="Times New Roman" w:eastAsia="宋体" w:cs="宋体"/>
                      <w:bCs/>
                      <w:color w:val="auto"/>
                      <w:sz w:val="18"/>
                      <w:szCs w:val="18"/>
                      <w:lang w:val="en-US" w:eastAsia="zh-CN"/>
                    </w:rPr>
                  </w:pPr>
                  <w:r>
                    <w:rPr>
                      <w:rFonts w:hint="eastAsia" w:ascii="Times New Roman" w:hAnsi="Times New Roman" w:eastAsia="宋体" w:cs="宋体"/>
                      <w:bCs/>
                      <w:color w:val="auto"/>
                      <w:sz w:val="18"/>
                      <w:szCs w:val="18"/>
                      <w:lang w:val="en-US" w:eastAsia="zh-CN"/>
                    </w:rPr>
                    <w:t>符合</w:t>
                  </w:r>
                </w:p>
              </w:tc>
            </w:tr>
          </w:tbl>
          <w:p w14:paraId="119C05F7">
            <w:pPr>
              <w:pStyle w:val="87"/>
              <w:numPr>
                <w:ilvl w:val="0"/>
                <w:numId w:val="0"/>
              </w:numPr>
              <w:rPr>
                <w:rFonts w:eastAsia="黑体"/>
                <w:bCs/>
                <w:color w:val="auto"/>
                <w:sz w:val="24"/>
                <w:szCs w:val="24"/>
                <w:lang w:val="en-US"/>
              </w:rPr>
            </w:pPr>
            <w:r>
              <w:rPr>
                <w:rFonts w:hint="eastAsia"/>
                <w:b/>
                <w:bCs/>
                <w:color w:val="auto"/>
                <w:lang w:val="en-US" w:eastAsia="zh-CN"/>
              </w:rPr>
              <w:t>6、</w:t>
            </w:r>
            <w:r>
              <w:rPr>
                <w:rFonts w:hint="eastAsia"/>
                <w:b/>
                <w:bCs/>
                <w:color w:val="auto"/>
              </w:rPr>
              <w:t>与《安徽省长江经济带发展负面清单实施细则（试行，2022年版）》（皖长江办[2022]</w:t>
            </w:r>
            <w:r>
              <w:rPr>
                <w:rFonts w:hint="eastAsia"/>
                <w:b/>
                <w:bCs/>
                <w:color w:val="auto"/>
                <w:lang w:val="en-US" w:eastAsia="zh-CN"/>
              </w:rPr>
              <w:t>10</w:t>
            </w:r>
            <w:r>
              <w:rPr>
                <w:rFonts w:hint="eastAsia"/>
                <w:b/>
                <w:bCs/>
                <w:color w:val="auto"/>
              </w:rPr>
              <w:t>号）相符性分析</w:t>
            </w:r>
          </w:p>
          <w:p w14:paraId="348DCABB">
            <w:pPr>
              <w:pStyle w:val="25"/>
              <w:jc w:val="center"/>
              <w:rPr>
                <w:rFonts w:eastAsia="黑体"/>
                <w:bCs/>
                <w:color w:val="auto"/>
                <w:sz w:val="24"/>
                <w:szCs w:val="24"/>
                <w:lang w:val="en-US"/>
              </w:rPr>
            </w:pPr>
            <w:r>
              <w:rPr>
                <w:rFonts w:hint="eastAsia" w:eastAsia="黑体"/>
                <w:bCs/>
                <w:color w:val="auto"/>
                <w:sz w:val="24"/>
                <w:szCs w:val="24"/>
                <w:lang w:val="en-US"/>
              </w:rPr>
              <w:t>表</w:t>
            </w:r>
            <w:r>
              <w:rPr>
                <w:rFonts w:eastAsia="黑体" w:cs="Times New Roman"/>
                <w:bCs/>
                <w:color w:val="auto"/>
                <w:sz w:val="24"/>
                <w:szCs w:val="24"/>
                <w:lang w:val="en-US"/>
              </w:rPr>
              <w:t>1-</w:t>
            </w:r>
            <w:r>
              <w:rPr>
                <w:rFonts w:hint="eastAsia" w:eastAsia="黑体" w:cs="Times New Roman"/>
                <w:bCs/>
                <w:color w:val="auto"/>
                <w:sz w:val="24"/>
                <w:szCs w:val="24"/>
                <w:lang w:val="en-US" w:eastAsia="zh-CN"/>
              </w:rPr>
              <w:t>8</w:t>
            </w:r>
            <w:r>
              <w:rPr>
                <w:rFonts w:eastAsia="黑体" w:cs="Times New Roman"/>
                <w:bCs/>
                <w:color w:val="auto"/>
                <w:sz w:val="24"/>
                <w:szCs w:val="24"/>
                <w:lang w:val="en-US"/>
              </w:rPr>
              <w:t xml:space="preserve">  </w:t>
            </w:r>
            <w:r>
              <w:rPr>
                <w:rFonts w:hint="eastAsia" w:eastAsia="黑体"/>
                <w:bCs/>
                <w:color w:val="auto"/>
                <w:sz w:val="24"/>
                <w:szCs w:val="24"/>
                <w:lang w:val="en-US"/>
              </w:rPr>
              <w:t>与</w:t>
            </w:r>
            <w:r>
              <w:rPr>
                <w:rFonts w:hint="eastAsia" w:eastAsia="黑体"/>
                <w:bCs/>
                <w:color w:val="auto"/>
                <w:sz w:val="24"/>
                <w:szCs w:val="24"/>
                <w:lang w:val="en-US" w:eastAsia="zh-CN"/>
              </w:rPr>
              <w:t>皖</w:t>
            </w:r>
            <w:r>
              <w:rPr>
                <w:rFonts w:hint="eastAsia" w:eastAsia="黑体"/>
                <w:bCs/>
                <w:color w:val="auto"/>
                <w:sz w:val="24"/>
                <w:szCs w:val="24"/>
                <w:lang w:val="en-US"/>
              </w:rPr>
              <w:t>长江办[2022]</w:t>
            </w:r>
            <w:r>
              <w:rPr>
                <w:rFonts w:hint="eastAsia" w:eastAsia="黑体"/>
                <w:bCs/>
                <w:color w:val="auto"/>
                <w:sz w:val="24"/>
                <w:szCs w:val="24"/>
                <w:lang w:val="en-US" w:eastAsia="zh-CN"/>
              </w:rPr>
              <w:t>10</w:t>
            </w:r>
            <w:r>
              <w:rPr>
                <w:rFonts w:hint="eastAsia" w:eastAsia="黑体"/>
                <w:bCs/>
                <w:color w:val="auto"/>
                <w:sz w:val="24"/>
                <w:szCs w:val="24"/>
                <w:lang w:val="en-US"/>
              </w:rPr>
              <w:t>号相符性分析</w:t>
            </w:r>
          </w:p>
          <w:tbl>
            <w:tblPr>
              <w:tblStyle w:val="6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3"/>
              <w:gridCol w:w="2987"/>
              <w:gridCol w:w="847"/>
            </w:tblGrid>
            <w:tr w14:paraId="2145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4299A618">
                  <w:pPr>
                    <w:pStyle w:val="25"/>
                    <w:spacing w:line="240" w:lineRule="auto"/>
                    <w:jc w:val="center"/>
                    <w:rPr>
                      <w:bCs/>
                      <w:color w:val="auto"/>
                      <w:sz w:val="18"/>
                      <w:szCs w:val="18"/>
                      <w:lang w:val="en-US"/>
                    </w:rPr>
                  </w:pPr>
                  <w:r>
                    <w:rPr>
                      <w:rFonts w:hint="eastAsia"/>
                      <w:bCs/>
                      <w:color w:val="auto"/>
                      <w:sz w:val="18"/>
                      <w:szCs w:val="18"/>
                      <w:lang w:val="en-US"/>
                    </w:rPr>
                    <w:t>相关要求</w:t>
                  </w:r>
                </w:p>
              </w:tc>
              <w:tc>
                <w:tcPr>
                  <w:tcW w:w="1789" w:type="pct"/>
                  <w:vAlign w:val="center"/>
                </w:tcPr>
                <w:p w14:paraId="00C22D67">
                  <w:pPr>
                    <w:pStyle w:val="25"/>
                    <w:spacing w:line="240" w:lineRule="auto"/>
                    <w:jc w:val="center"/>
                    <w:rPr>
                      <w:bCs/>
                      <w:color w:val="auto"/>
                      <w:sz w:val="18"/>
                      <w:szCs w:val="18"/>
                      <w:lang w:val="en-US"/>
                    </w:rPr>
                  </w:pPr>
                  <w:r>
                    <w:rPr>
                      <w:bCs/>
                      <w:color w:val="auto"/>
                      <w:sz w:val="18"/>
                      <w:szCs w:val="18"/>
                      <w:lang w:val="en-US"/>
                    </w:rPr>
                    <w:t>本项目</w:t>
                  </w:r>
                </w:p>
              </w:tc>
              <w:tc>
                <w:tcPr>
                  <w:tcW w:w="507" w:type="pct"/>
                  <w:vAlign w:val="center"/>
                </w:tcPr>
                <w:p w14:paraId="6634F050">
                  <w:pPr>
                    <w:pStyle w:val="25"/>
                    <w:spacing w:line="240" w:lineRule="auto"/>
                    <w:jc w:val="center"/>
                    <w:rPr>
                      <w:bCs/>
                      <w:color w:val="auto"/>
                      <w:sz w:val="18"/>
                      <w:szCs w:val="18"/>
                      <w:lang w:val="en-US"/>
                    </w:rPr>
                  </w:pPr>
                  <w:r>
                    <w:rPr>
                      <w:bCs/>
                      <w:color w:val="auto"/>
                      <w:sz w:val="18"/>
                      <w:szCs w:val="18"/>
                      <w:lang w:val="en-US"/>
                    </w:rPr>
                    <w:t>符合性</w:t>
                  </w:r>
                </w:p>
              </w:tc>
            </w:tr>
            <w:tr w14:paraId="6C313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6E210925">
                  <w:pPr>
                    <w:pStyle w:val="25"/>
                    <w:spacing w:line="240" w:lineRule="auto"/>
                    <w:jc w:val="center"/>
                    <w:rPr>
                      <w:bCs/>
                      <w:color w:val="auto"/>
                      <w:sz w:val="18"/>
                      <w:szCs w:val="18"/>
                      <w:lang w:val="en-US"/>
                    </w:rPr>
                  </w:pPr>
                  <w:r>
                    <w:rPr>
                      <w:rFonts w:hint="eastAsia"/>
                      <w:bCs/>
                      <w:color w:val="auto"/>
                      <w:sz w:val="18"/>
                      <w:szCs w:val="18"/>
                      <w:lang w:val="en-US"/>
                    </w:rPr>
                    <w:t>第九条 禁止未经许可在长江(安徽段)干支流、湖泊新设、改设或扩大排污口。</w:t>
                  </w:r>
                </w:p>
              </w:tc>
              <w:tc>
                <w:tcPr>
                  <w:tcW w:w="1789" w:type="pct"/>
                  <w:vAlign w:val="center"/>
                </w:tcPr>
                <w:p w14:paraId="5073DA1A">
                  <w:pPr>
                    <w:pStyle w:val="25"/>
                    <w:spacing w:line="240" w:lineRule="auto"/>
                    <w:jc w:val="center"/>
                    <w:rPr>
                      <w:bCs/>
                      <w:color w:val="auto"/>
                      <w:sz w:val="18"/>
                      <w:szCs w:val="18"/>
                      <w:lang w:val="en-US"/>
                    </w:rPr>
                  </w:pPr>
                  <w:r>
                    <w:rPr>
                      <w:rFonts w:hint="eastAsia"/>
                      <w:bCs/>
                      <w:color w:val="auto"/>
                      <w:sz w:val="18"/>
                      <w:szCs w:val="18"/>
                      <w:lang w:val="en-US"/>
                    </w:rPr>
                    <w:t>本项目废水经污水管网接入</w:t>
                  </w:r>
                  <w:r>
                    <w:rPr>
                      <w:rFonts w:hint="eastAsia"/>
                      <w:bCs/>
                      <w:color w:val="auto"/>
                      <w:sz w:val="18"/>
                      <w:szCs w:val="18"/>
                      <w:lang w:val="en-US" w:eastAsia="zh-CN"/>
                    </w:rPr>
                    <w:t>江南产业集中区第一污水处理厂</w:t>
                  </w:r>
                  <w:r>
                    <w:rPr>
                      <w:rFonts w:hint="eastAsia"/>
                      <w:bCs/>
                      <w:color w:val="auto"/>
                      <w:sz w:val="18"/>
                      <w:szCs w:val="18"/>
                      <w:lang w:val="en-US"/>
                    </w:rPr>
                    <w:t>处理，不新设排污口。</w:t>
                  </w:r>
                </w:p>
              </w:tc>
              <w:tc>
                <w:tcPr>
                  <w:tcW w:w="507" w:type="pct"/>
                  <w:vAlign w:val="center"/>
                </w:tcPr>
                <w:p w14:paraId="0ED39CE9">
                  <w:pPr>
                    <w:pStyle w:val="25"/>
                    <w:spacing w:line="240" w:lineRule="auto"/>
                    <w:jc w:val="center"/>
                    <w:rPr>
                      <w:bCs/>
                      <w:color w:val="auto"/>
                      <w:sz w:val="18"/>
                      <w:szCs w:val="18"/>
                      <w:lang w:val="en-US"/>
                    </w:rPr>
                  </w:pPr>
                  <w:r>
                    <w:rPr>
                      <w:rFonts w:hint="eastAsia"/>
                      <w:bCs/>
                      <w:color w:val="auto"/>
                      <w:sz w:val="18"/>
                      <w:szCs w:val="18"/>
                      <w:lang w:val="en-US"/>
                    </w:rPr>
                    <w:t>符合</w:t>
                  </w:r>
                </w:p>
              </w:tc>
            </w:tr>
            <w:tr w14:paraId="514C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2821B988">
                  <w:pPr>
                    <w:pStyle w:val="25"/>
                    <w:spacing w:line="240" w:lineRule="auto"/>
                    <w:jc w:val="center"/>
                    <w:rPr>
                      <w:bCs/>
                      <w:color w:val="auto"/>
                      <w:sz w:val="18"/>
                      <w:szCs w:val="18"/>
                      <w:lang w:val="en-US"/>
                    </w:rPr>
                  </w:pPr>
                  <w:r>
                    <w:rPr>
                      <w:rFonts w:hint="eastAsia"/>
                      <w:bCs/>
                      <w:color w:val="auto"/>
                      <w:sz w:val="18"/>
                      <w:szCs w:val="18"/>
                      <w:lang w:val="en-US"/>
                    </w:rPr>
                    <w:t>第十一条 禁止在长江(安徽段)干支流、巢湖岸线一公里范围内新建、扩建化工园区和化工项目。已批未开工的项目，依法停止建设，支持重新选址。已经开工建设的项目，严格进行检查评估，不符合岸线规划和环保、安全要求的，全部依法依规停建搬迁。禁止在长江干流岸线三公里范围内和主要支流岸线一公里范围内新建、改建、扩建尾矿库、冶炼渣库和磷石膏库，以提升安全、生态环境保护水平为目的的改建除外。</w:t>
                  </w:r>
                </w:p>
              </w:tc>
              <w:tc>
                <w:tcPr>
                  <w:tcW w:w="1789" w:type="pct"/>
                  <w:vAlign w:val="center"/>
                </w:tcPr>
                <w:p w14:paraId="65D0B7A5">
                  <w:pPr>
                    <w:pStyle w:val="25"/>
                    <w:spacing w:line="240" w:lineRule="auto"/>
                    <w:jc w:val="center"/>
                    <w:rPr>
                      <w:bCs/>
                      <w:color w:val="auto"/>
                      <w:sz w:val="18"/>
                      <w:szCs w:val="18"/>
                      <w:lang w:val="en-US"/>
                    </w:rPr>
                  </w:pPr>
                  <w:r>
                    <w:rPr>
                      <w:rFonts w:hint="eastAsia"/>
                      <w:bCs/>
                      <w:color w:val="auto"/>
                      <w:sz w:val="18"/>
                      <w:szCs w:val="18"/>
                      <w:lang w:val="en-US"/>
                    </w:rPr>
                    <w:t>本项目距长江主要支流岸线</w:t>
                  </w:r>
                  <w:r>
                    <w:rPr>
                      <w:rFonts w:hint="eastAsia"/>
                      <w:bCs/>
                      <w:color w:val="auto"/>
                      <w:sz w:val="18"/>
                      <w:szCs w:val="18"/>
                      <w:lang w:val="en-US" w:eastAsia="zh-CN"/>
                    </w:rPr>
                    <w:t>九华河</w:t>
                  </w:r>
                  <w:r>
                    <w:rPr>
                      <w:rFonts w:hint="eastAsia"/>
                      <w:bCs/>
                      <w:color w:val="auto"/>
                      <w:sz w:val="18"/>
                      <w:szCs w:val="18"/>
                      <w:lang w:val="en-US"/>
                    </w:rPr>
                    <w:t>最近距离约</w:t>
                  </w:r>
                  <w:r>
                    <w:rPr>
                      <w:rFonts w:hint="eastAsia"/>
                      <w:bCs/>
                      <w:color w:val="auto"/>
                      <w:sz w:val="18"/>
                      <w:szCs w:val="18"/>
                      <w:lang w:val="en-US" w:eastAsia="zh-CN"/>
                    </w:rPr>
                    <w:t>2200</w:t>
                  </w:r>
                  <w:r>
                    <w:rPr>
                      <w:rFonts w:hint="eastAsia"/>
                      <w:bCs/>
                      <w:color w:val="auto"/>
                      <w:sz w:val="18"/>
                      <w:szCs w:val="18"/>
                      <w:lang w:val="en-US"/>
                    </w:rPr>
                    <w:t>m，不在长江(安徽段)干支流、巢湖岸线一公里范围内且不属于化工项目；本项目距离长江直线距离约5.6km</w:t>
                  </w:r>
                  <w:r>
                    <w:rPr>
                      <w:rFonts w:hint="eastAsia"/>
                      <w:bCs/>
                      <w:color w:val="auto"/>
                      <w:sz w:val="18"/>
                      <w:szCs w:val="18"/>
                      <w:lang w:val="en-US" w:eastAsia="zh-CN"/>
                    </w:rPr>
                    <w:t>，</w:t>
                  </w:r>
                  <w:r>
                    <w:rPr>
                      <w:rFonts w:hint="eastAsia"/>
                      <w:bCs/>
                      <w:color w:val="auto"/>
                      <w:sz w:val="18"/>
                      <w:szCs w:val="18"/>
                      <w:lang w:val="en-US"/>
                    </w:rPr>
                    <w:t>不在长江干流岸线三公里范围内和主要支流岸线一公里范围内。</w:t>
                  </w:r>
                </w:p>
              </w:tc>
              <w:tc>
                <w:tcPr>
                  <w:tcW w:w="507" w:type="pct"/>
                  <w:vAlign w:val="center"/>
                </w:tcPr>
                <w:p w14:paraId="6FD898C1">
                  <w:pPr>
                    <w:pStyle w:val="25"/>
                    <w:spacing w:line="240" w:lineRule="auto"/>
                    <w:jc w:val="center"/>
                    <w:rPr>
                      <w:bCs/>
                      <w:color w:val="auto"/>
                      <w:sz w:val="18"/>
                      <w:szCs w:val="18"/>
                      <w:lang w:val="en-US"/>
                    </w:rPr>
                  </w:pPr>
                  <w:r>
                    <w:rPr>
                      <w:rFonts w:hint="eastAsia"/>
                      <w:bCs/>
                      <w:color w:val="auto"/>
                      <w:sz w:val="18"/>
                      <w:szCs w:val="18"/>
                      <w:lang w:val="en-US"/>
                    </w:rPr>
                    <w:t>符合</w:t>
                  </w:r>
                </w:p>
              </w:tc>
            </w:tr>
            <w:tr w14:paraId="4A086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75B97FBC">
                  <w:pPr>
                    <w:pStyle w:val="25"/>
                    <w:spacing w:line="240" w:lineRule="auto"/>
                    <w:jc w:val="center"/>
                    <w:rPr>
                      <w:bCs/>
                      <w:color w:val="auto"/>
                      <w:sz w:val="18"/>
                      <w:szCs w:val="18"/>
                      <w:lang w:val="en-US"/>
                    </w:rPr>
                  </w:pPr>
                  <w:r>
                    <w:rPr>
                      <w:rFonts w:hint="eastAsia"/>
                      <w:bCs/>
                      <w:color w:val="auto"/>
                      <w:sz w:val="18"/>
                      <w:szCs w:val="18"/>
                      <w:lang w:val="en-US"/>
                    </w:rPr>
                    <w:t>第十二条 禁止在合规园区外新建、扩建钢铁、石化、化工、焦化、建材、有色、制浆造纸等高污染项目。</w:t>
                  </w:r>
                </w:p>
              </w:tc>
              <w:tc>
                <w:tcPr>
                  <w:tcW w:w="1789" w:type="pct"/>
                  <w:vAlign w:val="center"/>
                </w:tcPr>
                <w:p w14:paraId="629BAA65">
                  <w:pPr>
                    <w:pStyle w:val="25"/>
                    <w:spacing w:line="240" w:lineRule="auto"/>
                    <w:jc w:val="center"/>
                    <w:rPr>
                      <w:bCs/>
                      <w:color w:val="auto"/>
                      <w:sz w:val="18"/>
                      <w:szCs w:val="18"/>
                      <w:lang w:val="en-US"/>
                    </w:rPr>
                  </w:pPr>
                  <w:r>
                    <w:rPr>
                      <w:rFonts w:hint="eastAsia"/>
                      <w:bCs/>
                      <w:color w:val="auto"/>
                      <w:sz w:val="18"/>
                      <w:szCs w:val="18"/>
                      <w:lang w:val="en-US"/>
                    </w:rPr>
                    <w:t>本项目属于“</w:t>
                  </w:r>
                  <w:r>
                    <w:rPr>
                      <w:rFonts w:hint="eastAsia"/>
                      <w:bCs/>
                      <w:color w:val="auto"/>
                      <w:sz w:val="18"/>
                      <w:szCs w:val="18"/>
                      <w:lang w:val="en-US" w:eastAsia="zh-CN"/>
                    </w:rPr>
                    <w:t>C3392 有色金属铸造</w:t>
                  </w:r>
                  <w:r>
                    <w:rPr>
                      <w:rFonts w:hint="eastAsia"/>
                      <w:bCs/>
                      <w:color w:val="auto"/>
                      <w:sz w:val="18"/>
                      <w:szCs w:val="18"/>
                      <w:lang w:val="en-US"/>
                    </w:rPr>
                    <w:t>”，不属于钢铁、石化、化工、焦化、建材、有色、制浆造纸等高污染项目。</w:t>
                  </w:r>
                </w:p>
              </w:tc>
              <w:tc>
                <w:tcPr>
                  <w:tcW w:w="507" w:type="pct"/>
                  <w:vAlign w:val="center"/>
                </w:tcPr>
                <w:p w14:paraId="4432CF70">
                  <w:pPr>
                    <w:pStyle w:val="25"/>
                    <w:spacing w:line="240" w:lineRule="auto"/>
                    <w:jc w:val="center"/>
                    <w:rPr>
                      <w:bCs/>
                      <w:color w:val="auto"/>
                      <w:sz w:val="18"/>
                      <w:szCs w:val="18"/>
                      <w:lang w:val="en-US"/>
                    </w:rPr>
                  </w:pPr>
                  <w:r>
                    <w:rPr>
                      <w:rFonts w:hint="eastAsia"/>
                      <w:bCs/>
                      <w:color w:val="auto"/>
                      <w:sz w:val="18"/>
                      <w:szCs w:val="18"/>
                      <w:lang w:val="en-US"/>
                    </w:rPr>
                    <w:t>符合</w:t>
                  </w:r>
                </w:p>
              </w:tc>
            </w:tr>
            <w:tr w14:paraId="42A8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45D3D004">
                  <w:pPr>
                    <w:pStyle w:val="25"/>
                    <w:spacing w:line="240" w:lineRule="auto"/>
                    <w:jc w:val="center"/>
                    <w:rPr>
                      <w:bCs/>
                      <w:color w:val="auto"/>
                      <w:sz w:val="18"/>
                      <w:szCs w:val="18"/>
                      <w:lang w:val="en-US"/>
                    </w:rPr>
                  </w:pPr>
                  <w:r>
                    <w:rPr>
                      <w:rFonts w:hint="eastAsia"/>
                      <w:bCs/>
                      <w:color w:val="auto"/>
                      <w:sz w:val="18"/>
                      <w:szCs w:val="18"/>
                      <w:lang w:val="en-US"/>
                    </w:rPr>
                    <w:t>第十四条 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禁止新建、扩建不符合国家产能置换要求的严重过剩产能行业的项目。禁止新建、扩建不符合要求的高耗能高排放项目。</w:t>
                  </w:r>
                </w:p>
              </w:tc>
              <w:tc>
                <w:tcPr>
                  <w:tcW w:w="1789" w:type="pct"/>
                  <w:vAlign w:val="center"/>
                </w:tcPr>
                <w:p w14:paraId="37BCD264">
                  <w:pPr>
                    <w:pStyle w:val="25"/>
                    <w:spacing w:line="240" w:lineRule="auto"/>
                    <w:jc w:val="center"/>
                    <w:rPr>
                      <w:bCs/>
                      <w:color w:val="auto"/>
                      <w:sz w:val="18"/>
                      <w:szCs w:val="18"/>
                      <w:lang w:val="en-US"/>
                    </w:rPr>
                  </w:pPr>
                  <w:r>
                    <w:rPr>
                      <w:rFonts w:hint="eastAsia"/>
                      <w:bCs/>
                      <w:color w:val="auto"/>
                      <w:sz w:val="18"/>
                      <w:szCs w:val="18"/>
                      <w:lang w:val="en-US"/>
                    </w:rPr>
                    <w:t>本项目不属于《产业结构调整指导目录（2024年本）》中规定的限制类、淘汰类和鼓励类，根据《产业结构调整方向暂行规定》中第十一条“不属于鼓励类、限制类和淘汰类，且符合国家有关法律、法规规定的，为允许类”的规定，符合国家产业政策。本项目不属于高耗能高排放项目。</w:t>
                  </w:r>
                </w:p>
              </w:tc>
              <w:tc>
                <w:tcPr>
                  <w:tcW w:w="507" w:type="pct"/>
                  <w:vAlign w:val="center"/>
                </w:tcPr>
                <w:p w14:paraId="23B752CD">
                  <w:pPr>
                    <w:pStyle w:val="25"/>
                    <w:spacing w:line="240" w:lineRule="auto"/>
                    <w:jc w:val="center"/>
                    <w:rPr>
                      <w:bCs/>
                      <w:color w:val="auto"/>
                      <w:sz w:val="18"/>
                      <w:szCs w:val="18"/>
                      <w:lang w:val="en-US"/>
                    </w:rPr>
                  </w:pPr>
                  <w:r>
                    <w:rPr>
                      <w:rFonts w:hint="eastAsia"/>
                      <w:bCs/>
                      <w:color w:val="auto"/>
                      <w:sz w:val="18"/>
                      <w:szCs w:val="18"/>
                      <w:lang w:val="en-US"/>
                    </w:rPr>
                    <w:t>符合</w:t>
                  </w:r>
                </w:p>
              </w:tc>
            </w:tr>
          </w:tbl>
          <w:p w14:paraId="6699234A">
            <w:pPr>
              <w:pStyle w:val="25"/>
              <w:numPr>
                <w:ilvl w:val="0"/>
                <w:numId w:val="0"/>
              </w:numPr>
              <w:jc w:val="both"/>
              <w:rPr>
                <w:rFonts w:cs="Times New Roman"/>
                <w:b/>
                <w:bCs/>
                <w:color w:val="auto"/>
                <w:sz w:val="24"/>
                <w:szCs w:val="24"/>
              </w:rPr>
            </w:pPr>
            <w:r>
              <w:rPr>
                <w:rFonts w:hint="eastAsia" w:cs="Times New Roman"/>
                <w:b/>
                <w:bCs/>
                <w:color w:val="auto"/>
                <w:sz w:val="24"/>
                <w:szCs w:val="24"/>
                <w:lang w:val="en-US" w:eastAsia="zh-CN"/>
              </w:rPr>
              <w:t>7、</w:t>
            </w:r>
            <w:r>
              <w:rPr>
                <w:rFonts w:cs="Times New Roman"/>
                <w:b/>
                <w:bCs/>
                <w:color w:val="auto"/>
                <w:sz w:val="24"/>
                <w:szCs w:val="24"/>
              </w:rPr>
              <w:t>与《关于全面打造水清岸绿产业优美丽长江（安徽）经济带的实施意见（升级版）》（皖发[2021]19号）</w:t>
            </w:r>
            <w:r>
              <w:rPr>
                <w:rFonts w:cs="Times New Roman"/>
                <w:b/>
                <w:bCs/>
                <w:color w:val="auto"/>
                <w:sz w:val="24"/>
                <w:szCs w:val="24"/>
                <w:lang w:val="en-US"/>
              </w:rPr>
              <w:t>符合性</w:t>
            </w:r>
            <w:r>
              <w:rPr>
                <w:rFonts w:cs="Times New Roman"/>
                <w:b/>
                <w:bCs/>
                <w:color w:val="auto"/>
                <w:sz w:val="24"/>
                <w:szCs w:val="24"/>
              </w:rPr>
              <w:t>分析</w:t>
            </w:r>
          </w:p>
          <w:p w14:paraId="45677AF8">
            <w:pPr>
              <w:ind w:firstLine="480" w:firstLineChars="200"/>
              <w:rPr>
                <w:color w:val="auto"/>
              </w:rPr>
            </w:pPr>
            <w:r>
              <w:rPr>
                <w:color w:val="auto"/>
              </w:rPr>
              <w:t>该文件指出要着力构筑长江岸线的1公里、5公里、15公里“三道防线”，深入实施长江经济带发展战略，关于全面打造水清岸线产业，优美长江（安徽）经济带，故本次评价就本项目建设情况与“三道防线”相关要求进行符合性分析，详见下表：</w:t>
            </w:r>
          </w:p>
          <w:p w14:paraId="429E2948">
            <w:pPr>
              <w:pStyle w:val="25"/>
              <w:jc w:val="center"/>
              <w:rPr>
                <w:rFonts w:eastAsia="黑体"/>
                <w:bCs/>
                <w:color w:val="auto"/>
                <w:sz w:val="24"/>
                <w:szCs w:val="24"/>
                <w:lang w:val="en-US"/>
              </w:rPr>
            </w:pPr>
            <w:r>
              <w:rPr>
                <w:rFonts w:hint="eastAsia" w:eastAsia="黑体"/>
                <w:bCs/>
                <w:color w:val="auto"/>
                <w:sz w:val="24"/>
                <w:szCs w:val="24"/>
                <w:lang w:val="en-US"/>
              </w:rPr>
              <w:t>表</w:t>
            </w:r>
            <w:r>
              <w:rPr>
                <w:rFonts w:eastAsia="黑体" w:cs="Times New Roman"/>
                <w:bCs/>
                <w:color w:val="auto"/>
                <w:sz w:val="24"/>
                <w:szCs w:val="24"/>
                <w:lang w:val="en-US"/>
              </w:rPr>
              <w:t>1-</w:t>
            </w:r>
            <w:r>
              <w:rPr>
                <w:rFonts w:hint="eastAsia" w:eastAsia="黑体" w:cs="Times New Roman"/>
                <w:bCs/>
                <w:color w:val="auto"/>
                <w:sz w:val="24"/>
                <w:szCs w:val="24"/>
                <w:lang w:val="en-US" w:eastAsia="zh-CN"/>
              </w:rPr>
              <w:t>9</w:t>
            </w:r>
            <w:r>
              <w:rPr>
                <w:rFonts w:eastAsia="黑体" w:cs="Times New Roman"/>
                <w:bCs/>
                <w:color w:val="auto"/>
                <w:sz w:val="24"/>
                <w:szCs w:val="24"/>
                <w:lang w:val="en-US"/>
              </w:rPr>
              <w:t xml:space="preserve">  </w:t>
            </w:r>
            <w:r>
              <w:rPr>
                <w:rFonts w:hint="eastAsia" w:eastAsia="黑体"/>
                <w:bCs/>
                <w:color w:val="auto"/>
                <w:sz w:val="24"/>
                <w:szCs w:val="24"/>
                <w:lang w:val="en-US"/>
              </w:rPr>
              <w:t>与皖发[2021]19号相符性分析</w:t>
            </w:r>
          </w:p>
          <w:tbl>
            <w:tblPr>
              <w:tblStyle w:val="6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3"/>
              <w:gridCol w:w="2987"/>
              <w:gridCol w:w="847"/>
            </w:tblGrid>
            <w:tr w14:paraId="3AFC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3AED538F">
                  <w:pPr>
                    <w:pStyle w:val="25"/>
                    <w:spacing w:line="240" w:lineRule="auto"/>
                    <w:jc w:val="center"/>
                    <w:rPr>
                      <w:bCs/>
                      <w:color w:val="auto"/>
                      <w:sz w:val="18"/>
                      <w:szCs w:val="18"/>
                      <w:lang w:val="en-US"/>
                    </w:rPr>
                  </w:pPr>
                  <w:r>
                    <w:rPr>
                      <w:rFonts w:hint="eastAsia"/>
                      <w:bCs/>
                      <w:color w:val="auto"/>
                      <w:sz w:val="18"/>
                      <w:szCs w:val="18"/>
                      <w:lang w:val="en-US"/>
                    </w:rPr>
                    <w:t>相关要求</w:t>
                  </w:r>
                </w:p>
              </w:tc>
              <w:tc>
                <w:tcPr>
                  <w:tcW w:w="1789" w:type="pct"/>
                  <w:vAlign w:val="center"/>
                </w:tcPr>
                <w:p w14:paraId="136D262B">
                  <w:pPr>
                    <w:pStyle w:val="25"/>
                    <w:spacing w:line="240" w:lineRule="auto"/>
                    <w:jc w:val="center"/>
                    <w:rPr>
                      <w:bCs/>
                      <w:color w:val="auto"/>
                      <w:sz w:val="18"/>
                      <w:szCs w:val="18"/>
                      <w:lang w:val="en-US"/>
                    </w:rPr>
                  </w:pPr>
                  <w:r>
                    <w:rPr>
                      <w:bCs/>
                      <w:color w:val="auto"/>
                      <w:sz w:val="18"/>
                      <w:szCs w:val="18"/>
                      <w:lang w:val="en-US"/>
                    </w:rPr>
                    <w:t>本项目</w:t>
                  </w:r>
                </w:p>
              </w:tc>
              <w:tc>
                <w:tcPr>
                  <w:tcW w:w="507" w:type="pct"/>
                  <w:vAlign w:val="center"/>
                </w:tcPr>
                <w:p w14:paraId="134EFDE4">
                  <w:pPr>
                    <w:pStyle w:val="25"/>
                    <w:spacing w:line="240" w:lineRule="auto"/>
                    <w:jc w:val="center"/>
                    <w:rPr>
                      <w:bCs/>
                      <w:color w:val="auto"/>
                      <w:sz w:val="18"/>
                      <w:szCs w:val="18"/>
                      <w:lang w:val="en-US"/>
                    </w:rPr>
                  </w:pPr>
                  <w:r>
                    <w:rPr>
                      <w:bCs/>
                      <w:color w:val="auto"/>
                      <w:sz w:val="18"/>
                      <w:szCs w:val="18"/>
                      <w:lang w:val="en-US"/>
                    </w:rPr>
                    <w:t>符合性</w:t>
                  </w:r>
                </w:p>
              </w:tc>
            </w:tr>
            <w:tr w14:paraId="0C42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0E3C0DC0">
                  <w:pPr>
                    <w:spacing w:line="240" w:lineRule="auto"/>
                    <w:rPr>
                      <w:bCs/>
                      <w:color w:val="auto"/>
                      <w:sz w:val="18"/>
                      <w:szCs w:val="18"/>
                    </w:rPr>
                  </w:pPr>
                  <w:r>
                    <w:rPr>
                      <w:color w:val="auto"/>
                      <w:sz w:val="18"/>
                      <w:szCs w:val="18"/>
                    </w:rPr>
                    <w:t>严禁1公里范围内新建化工项目。</w:t>
                  </w:r>
                </w:p>
              </w:tc>
              <w:tc>
                <w:tcPr>
                  <w:tcW w:w="1789" w:type="pct"/>
                  <w:vAlign w:val="center"/>
                </w:tcPr>
                <w:p w14:paraId="385D8B13">
                  <w:pPr>
                    <w:pStyle w:val="25"/>
                    <w:spacing w:line="240" w:lineRule="auto"/>
                    <w:jc w:val="center"/>
                    <w:rPr>
                      <w:bCs/>
                      <w:color w:val="auto"/>
                      <w:sz w:val="18"/>
                      <w:szCs w:val="18"/>
                      <w:lang w:val="en-US"/>
                    </w:rPr>
                  </w:pPr>
                  <w:r>
                    <w:rPr>
                      <w:rFonts w:hint="eastAsia"/>
                      <w:bCs/>
                      <w:color w:val="auto"/>
                      <w:sz w:val="18"/>
                      <w:szCs w:val="18"/>
                      <w:lang w:val="en-US"/>
                    </w:rPr>
                    <w:t>本项目</w:t>
                  </w:r>
                  <w:r>
                    <w:rPr>
                      <w:rFonts w:hint="eastAsia"/>
                      <w:color w:val="auto"/>
                    </w:rPr>
                    <w:t>不属于化工项目，</w:t>
                  </w:r>
                  <w:r>
                    <w:rPr>
                      <w:rFonts w:hint="eastAsia"/>
                      <w:bCs/>
                      <w:color w:val="auto"/>
                      <w:sz w:val="18"/>
                      <w:szCs w:val="18"/>
                      <w:lang w:val="en-US"/>
                    </w:rPr>
                    <w:t>距离</w:t>
                  </w:r>
                  <w:r>
                    <w:rPr>
                      <w:rFonts w:hint="eastAsia"/>
                      <w:bCs/>
                      <w:color w:val="auto"/>
                      <w:sz w:val="18"/>
                      <w:szCs w:val="18"/>
                      <w:lang w:val="en-US" w:eastAsia="zh-CN"/>
                    </w:rPr>
                    <w:t>九华河</w:t>
                  </w:r>
                  <w:r>
                    <w:rPr>
                      <w:rFonts w:hint="eastAsia"/>
                      <w:bCs/>
                      <w:color w:val="auto"/>
                      <w:sz w:val="18"/>
                      <w:szCs w:val="18"/>
                      <w:lang w:val="en-US"/>
                    </w:rPr>
                    <w:t>河岸约</w:t>
                  </w:r>
                  <w:r>
                    <w:rPr>
                      <w:rFonts w:hint="eastAsia"/>
                      <w:bCs/>
                      <w:color w:val="auto"/>
                      <w:sz w:val="18"/>
                      <w:szCs w:val="18"/>
                      <w:lang w:val="en-US" w:eastAsia="zh-CN"/>
                    </w:rPr>
                    <w:t>2.2</w:t>
                  </w:r>
                  <w:r>
                    <w:rPr>
                      <w:rFonts w:hint="eastAsia"/>
                      <w:bCs/>
                      <w:color w:val="auto"/>
                      <w:sz w:val="18"/>
                      <w:szCs w:val="18"/>
                      <w:lang w:val="en-US"/>
                    </w:rPr>
                    <w:t>km，不在长江支流（</w:t>
                  </w:r>
                  <w:r>
                    <w:rPr>
                      <w:rFonts w:hint="eastAsia"/>
                      <w:bCs/>
                      <w:color w:val="auto"/>
                      <w:sz w:val="18"/>
                      <w:szCs w:val="18"/>
                      <w:lang w:val="en-US" w:eastAsia="zh-CN"/>
                    </w:rPr>
                    <w:t>九华河</w:t>
                  </w:r>
                  <w:r>
                    <w:rPr>
                      <w:rFonts w:hint="eastAsia"/>
                      <w:bCs/>
                      <w:color w:val="auto"/>
                      <w:sz w:val="18"/>
                      <w:szCs w:val="18"/>
                      <w:lang w:val="en-US"/>
                    </w:rPr>
                    <w:t>）1公里范围内。</w:t>
                  </w:r>
                </w:p>
              </w:tc>
              <w:tc>
                <w:tcPr>
                  <w:tcW w:w="507" w:type="pct"/>
                  <w:vAlign w:val="center"/>
                </w:tcPr>
                <w:p w14:paraId="0751B87A">
                  <w:pPr>
                    <w:pStyle w:val="25"/>
                    <w:spacing w:line="240" w:lineRule="auto"/>
                    <w:jc w:val="center"/>
                    <w:rPr>
                      <w:bCs/>
                      <w:color w:val="auto"/>
                      <w:sz w:val="18"/>
                      <w:szCs w:val="18"/>
                      <w:lang w:val="en-US"/>
                    </w:rPr>
                  </w:pPr>
                  <w:r>
                    <w:rPr>
                      <w:rFonts w:hint="eastAsia"/>
                      <w:bCs/>
                      <w:color w:val="auto"/>
                      <w:sz w:val="18"/>
                      <w:szCs w:val="18"/>
                      <w:lang w:val="en-US"/>
                    </w:rPr>
                    <w:t>符合</w:t>
                  </w:r>
                </w:p>
              </w:tc>
            </w:tr>
            <w:tr w14:paraId="26525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5395B99F">
                  <w:pPr>
                    <w:spacing w:line="240" w:lineRule="auto"/>
                    <w:rPr>
                      <w:bCs/>
                      <w:color w:val="auto"/>
                      <w:sz w:val="18"/>
                      <w:szCs w:val="18"/>
                    </w:rPr>
                  </w:pPr>
                  <w:r>
                    <w:rPr>
                      <w:color w:val="auto"/>
                      <w:sz w:val="18"/>
                      <w:szCs w:val="18"/>
                    </w:rPr>
                    <w:t>严控5公里范围内新建重化工重污染项目。长江干流岸线5公里范围内，全面落实长江岸线功能定位要求，实施严格的化工项目市场准入制度，除提升安全、环保、节能水平，以及质量升级、结构调整的改扩建项目外，严控新建煤化工和石油化工等重污染、重化工项目。严禁新建布局重化工园区。合规化工园区内，严禁新批环境基础设施不完善或长期不能稳定运行的企业新建和扩建化工项目</w:t>
                  </w:r>
                </w:p>
              </w:tc>
              <w:tc>
                <w:tcPr>
                  <w:tcW w:w="1789" w:type="pct"/>
                  <w:vAlign w:val="center"/>
                </w:tcPr>
                <w:p w14:paraId="1C582B86">
                  <w:pPr>
                    <w:pStyle w:val="25"/>
                    <w:spacing w:line="240" w:lineRule="auto"/>
                    <w:jc w:val="center"/>
                    <w:rPr>
                      <w:bCs/>
                      <w:color w:val="auto"/>
                      <w:sz w:val="18"/>
                      <w:szCs w:val="18"/>
                      <w:lang w:val="en-US"/>
                    </w:rPr>
                  </w:pPr>
                  <w:r>
                    <w:rPr>
                      <w:bCs/>
                      <w:color w:val="auto"/>
                      <w:sz w:val="18"/>
                      <w:szCs w:val="18"/>
                      <w:lang w:val="en-US"/>
                    </w:rPr>
                    <w:t>不属于长江干流5公里范围内。不属于新建重化工项目。</w:t>
                  </w:r>
                </w:p>
              </w:tc>
              <w:tc>
                <w:tcPr>
                  <w:tcW w:w="507" w:type="pct"/>
                  <w:vAlign w:val="center"/>
                </w:tcPr>
                <w:p w14:paraId="499276E5">
                  <w:pPr>
                    <w:pStyle w:val="25"/>
                    <w:spacing w:line="240" w:lineRule="auto"/>
                    <w:jc w:val="center"/>
                    <w:rPr>
                      <w:bCs/>
                      <w:color w:val="auto"/>
                      <w:sz w:val="18"/>
                      <w:szCs w:val="18"/>
                      <w:lang w:val="en-US"/>
                    </w:rPr>
                  </w:pPr>
                  <w:r>
                    <w:rPr>
                      <w:rFonts w:hint="eastAsia"/>
                      <w:bCs/>
                      <w:color w:val="auto"/>
                      <w:sz w:val="18"/>
                      <w:szCs w:val="18"/>
                      <w:lang w:val="en-US"/>
                    </w:rPr>
                    <w:t>符合</w:t>
                  </w:r>
                </w:p>
              </w:tc>
            </w:tr>
            <w:tr w14:paraId="6761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6C4FFFBD">
                  <w:pPr>
                    <w:spacing w:line="240" w:lineRule="auto"/>
                    <w:rPr>
                      <w:bCs/>
                      <w:color w:val="auto"/>
                      <w:sz w:val="18"/>
                      <w:szCs w:val="18"/>
                    </w:rPr>
                  </w:pPr>
                  <w:r>
                    <w:rPr>
                      <w:color w:val="auto"/>
                      <w:sz w:val="18"/>
                      <w:szCs w:val="18"/>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89" w:type="pct"/>
                  <w:vAlign w:val="center"/>
                </w:tcPr>
                <w:p w14:paraId="24211A70">
                  <w:pPr>
                    <w:pStyle w:val="25"/>
                    <w:spacing w:line="240" w:lineRule="auto"/>
                    <w:jc w:val="center"/>
                    <w:rPr>
                      <w:bCs/>
                      <w:color w:val="auto"/>
                      <w:sz w:val="18"/>
                      <w:szCs w:val="18"/>
                      <w:lang w:val="en-US"/>
                    </w:rPr>
                  </w:pPr>
                  <w:r>
                    <w:rPr>
                      <w:bCs/>
                      <w:color w:val="auto"/>
                      <w:sz w:val="18"/>
                      <w:szCs w:val="18"/>
                      <w:lang w:val="en-US"/>
                    </w:rPr>
                    <w:t>拟建项目不属于长江干流15公里范围内严管项目。</w:t>
                  </w:r>
                </w:p>
              </w:tc>
              <w:tc>
                <w:tcPr>
                  <w:tcW w:w="507" w:type="pct"/>
                  <w:vAlign w:val="center"/>
                </w:tcPr>
                <w:p w14:paraId="772A7915">
                  <w:pPr>
                    <w:pStyle w:val="25"/>
                    <w:spacing w:line="240" w:lineRule="auto"/>
                    <w:jc w:val="center"/>
                    <w:rPr>
                      <w:bCs/>
                      <w:color w:val="auto"/>
                      <w:sz w:val="18"/>
                      <w:szCs w:val="18"/>
                      <w:lang w:val="en-US"/>
                    </w:rPr>
                  </w:pPr>
                  <w:r>
                    <w:rPr>
                      <w:rFonts w:hint="eastAsia"/>
                      <w:bCs/>
                      <w:color w:val="auto"/>
                      <w:sz w:val="18"/>
                      <w:szCs w:val="18"/>
                      <w:lang w:val="en-US"/>
                    </w:rPr>
                    <w:t>符合</w:t>
                  </w:r>
                </w:p>
              </w:tc>
            </w:tr>
            <w:tr w14:paraId="181E8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2C2B8E8F">
                  <w:pPr>
                    <w:spacing w:line="240" w:lineRule="auto"/>
                    <w:rPr>
                      <w:bCs/>
                      <w:color w:val="auto"/>
                      <w:sz w:val="18"/>
                      <w:szCs w:val="18"/>
                    </w:rPr>
                  </w:pPr>
                  <w:r>
                    <w:rPr>
                      <w:color w:val="auto"/>
                      <w:sz w:val="18"/>
                      <w:szCs w:val="18"/>
                    </w:rPr>
                    <w:t>园区企业污水处理全覆盖。园区工业污水和生活污水必须全部纳入统一污水管网，实现统一管理，不留死角，企业工业污水在排入园区污水处理厂之前，必须各自预处理达到园区污水处理厂统一接管限值；</w:t>
                  </w:r>
                </w:p>
              </w:tc>
              <w:tc>
                <w:tcPr>
                  <w:tcW w:w="1789" w:type="pct"/>
                  <w:vAlign w:val="center"/>
                </w:tcPr>
                <w:p w14:paraId="00A1CCCD">
                  <w:pPr>
                    <w:pStyle w:val="25"/>
                    <w:spacing w:line="240" w:lineRule="auto"/>
                    <w:jc w:val="center"/>
                    <w:rPr>
                      <w:bCs/>
                      <w:color w:val="auto"/>
                      <w:sz w:val="18"/>
                      <w:szCs w:val="18"/>
                      <w:lang w:val="en-US"/>
                    </w:rPr>
                  </w:pPr>
                  <w:r>
                    <w:rPr>
                      <w:rFonts w:hint="eastAsia"/>
                      <w:bCs/>
                      <w:color w:val="auto"/>
                      <w:sz w:val="18"/>
                      <w:szCs w:val="18"/>
                      <w:lang w:val="en-US"/>
                    </w:rPr>
                    <w:t>本项目生活污水</w:t>
                  </w:r>
                  <w:r>
                    <w:rPr>
                      <w:rFonts w:hint="eastAsia"/>
                      <w:bCs/>
                      <w:color w:val="auto"/>
                      <w:sz w:val="18"/>
                      <w:szCs w:val="18"/>
                      <w:lang w:val="en-US" w:eastAsia="zh-CN"/>
                    </w:rPr>
                    <w:t>与食堂废水经化粪池、隔油池处理后</w:t>
                  </w:r>
                  <w:r>
                    <w:rPr>
                      <w:rFonts w:hint="eastAsia"/>
                      <w:bCs/>
                      <w:color w:val="auto"/>
                      <w:sz w:val="18"/>
                      <w:szCs w:val="18"/>
                      <w:lang w:val="en-US"/>
                    </w:rPr>
                    <w:t>，</w:t>
                  </w:r>
                  <w:r>
                    <w:rPr>
                      <w:rFonts w:hint="eastAsia"/>
                      <w:bCs/>
                      <w:color w:val="auto"/>
                      <w:sz w:val="18"/>
                      <w:szCs w:val="18"/>
                      <w:lang w:val="en-US" w:eastAsia="zh-CN"/>
                    </w:rPr>
                    <w:t>与循环冷却排水</w:t>
                  </w:r>
                  <w:r>
                    <w:rPr>
                      <w:rFonts w:hint="eastAsia"/>
                      <w:bCs/>
                      <w:color w:val="auto"/>
                      <w:sz w:val="18"/>
                      <w:szCs w:val="18"/>
                      <w:lang w:val="en-US"/>
                    </w:rPr>
                    <w:t>经园区污水管网排入</w:t>
                  </w:r>
                  <w:r>
                    <w:rPr>
                      <w:rFonts w:hint="eastAsia"/>
                      <w:bCs/>
                      <w:color w:val="auto"/>
                      <w:sz w:val="18"/>
                      <w:szCs w:val="18"/>
                      <w:lang w:val="en-US" w:eastAsia="zh-CN"/>
                    </w:rPr>
                    <w:t>江南产业集中区第一污水处理厂</w:t>
                  </w:r>
                  <w:r>
                    <w:rPr>
                      <w:rFonts w:hint="eastAsia"/>
                      <w:bCs/>
                      <w:color w:val="auto"/>
                      <w:sz w:val="18"/>
                      <w:szCs w:val="18"/>
                      <w:lang w:val="en-US"/>
                    </w:rPr>
                    <w:t>处理。</w:t>
                  </w:r>
                </w:p>
              </w:tc>
              <w:tc>
                <w:tcPr>
                  <w:tcW w:w="507" w:type="pct"/>
                  <w:vAlign w:val="center"/>
                </w:tcPr>
                <w:p w14:paraId="02B41193">
                  <w:pPr>
                    <w:pStyle w:val="25"/>
                    <w:spacing w:line="240" w:lineRule="auto"/>
                    <w:jc w:val="center"/>
                    <w:rPr>
                      <w:bCs/>
                      <w:color w:val="auto"/>
                      <w:sz w:val="18"/>
                      <w:szCs w:val="18"/>
                      <w:lang w:val="en-US"/>
                    </w:rPr>
                  </w:pPr>
                  <w:r>
                    <w:rPr>
                      <w:rFonts w:hint="eastAsia"/>
                      <w:bCs/>
                      <w:color w:val="auto"/>
                      <w:sz w:val="18"/>
                      <w:szCs w:val="18"/>
                      <w:lang w:val="en-US"/>
                    </w:rPr>
                    <w:t>符合</w:t>
                  </w:r>
                </w:p>
              </w:tc>
            </w:tr>
            <w:tr w14:paraId="524D0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7218D2F1">
                  <w:pPr>
                    <w:spacing w:line="240" w:lineRule="auto"/>
                    <w:rPr>
                      <w:color w:val="auto"/>
                      <w:sz w:val="18"/>
                      <w:szCs w:val="18"/>
                    </w:rPr>
                  </w:pPr>
                  <w:r>
                    <w:rPr>
                      <w:color w:val="auto"/>
                      <w:sz w:val="18"/>
                      <w:szCs w:val="18"/>
                    </w:rPr>
                    <w:t>严格控制污染物排放。各类工业企</w:t>
                  </w:r>
                  <w:r>
                    <w:rPr>
                      <w:rFonts w:hint="eastAsia"/>
                      <w:color w:val="auto"/>
                      <w:sz w:val="18"/>
                      <w:szCs w:val="18"/>
                    </w:rPr>
                    <w:t>业</w:t>
                  </w:r>
                  <w:r>
                    <w:rPr>
                      <w:color w:val="auto"/>
                      <w:sz w:val="18"/>
                      <w:szCs w:val="18"/>
                    </w:rPr>
                    <w:t>废气污染源稳定达标排放。加快建立覆盖所有固定污染源的企业排放许可制度，执行相应行业污染物排放特别限值标准。</w:t>
                  </w:r>
                </w:p>
              </w:tc>
              <w:tc>
                <w:tcPr>
                  <w:tcW w:w="1789" w:type="pct"/>
                  <w:vAlign w:val="center"/>
                </w:tcPr>
                <w:p w14:paraId="32C444DC">
                  <w:pPr>
                    <w:pStyle w:val="25"/>
                    <w:spacing w:line="240" w:lineRule="auto"/>
                    <w:jc w:val="center"/>
                    <w:rPr>
                      <w:bCs/>
                      <w:color w:val="auto"/>
                      <w:sz w:val="18"/>
                      <w:szCs w:val="18"/>
                      <w:lang w:val="en-US"/>
                    </w:rPr>
                  </w:pPr>
                  <w:r>
                    <w:rPr>
                      <w:rFonts w:hint="eastAsia"/>
                      <w:bCs/>
                      <w:color w:val="auto"/>
                      <w:sz w:val="18"/>
                      <w:szCs w:val="18"/>
                      <w:lang w:val="en-US"/>
                    </w:rPr>
                    <w:t>本项目废气污染物主要为</w:t>
                  </w:r>
                  <w:r>
                    <w:rPr>
                      <w:rFonts w:hint="eastAsia"/>
                      <w:bCs/>
                      <w:color w:val="auto"/>
                      <w:sz w:val="18"/>
                      <w:szCs w:val="18"/>
                      <w:lang w:val="en-US" w:eastAsia="zh-CN"/>
                    </w:rPr>
                    <w:t>颗粒物、二氧化硫、氮氧化物，经本项目废气治理措施</w:t>
                  </w:r>
                  <w:r>
                    <w:rPr>
                      <w:rFonts w:hint="eastAsia"/>
                      <w:bCs/>
                      <w:color w:val="auto"/>
                      <w:sz w:val="18"/>
                      <w:szCs w:val="18"/>
                      <w:lang w:val="en-US"/>
                    </w:rPr>
                    <w:t>可达标排放。</w:t>
                  </w:r>
                </w:p>
              </w:tc>
              <w:tc>
                <w:tcPr>
                  <w:tcW w:w="507" w:type="pct"/>
                  <w:vAlign w:val="center"/>
                </w:tcPr>
                <w:p w14:paraId="115E6547">
                  <w:pPr>
                    <w:pStyle w:val="25"/>
                    <w:spacing w:line="240" w:lineRule="auto"/>
                    <w:jc w:val="center"/>
                    <w:rPr>
                      <w:bCs/>
                      <w:color w:val="auto"/>
                      <w:sz w:val="18"/>
                      <w:szCs w:val="18"/>
                      <w:lang w:val="en-US"/>
                    </w:rPr>
                  </w:pPr>
                  <w:r>
                    <w:rPr>
                      <w:rFonts w:hint="eastAsia"/>
                      <w:bCs/>
                      <w:color w:val="auto"/>
                      <w:sz w:val="18"/>
                      <w:szCs w:val="18"/>
                      <w:lang w:val="en-US"/>
                    </w:rPr>
                    <w:t>符合</w:t>
                  </w:r>
                </w:p>
              </w:tc>
            </w:tr>
            <w:tr w14:paraId="53E2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14:paraId="01A65DE6">
                  <w:pPr>
                    <w:spacing w:line="240" w:lineRule="auto"/>
                    <w:rPr>
                      <w:color w:val="auto"/>
                      <w:sz w:val="18"/>
                      <w:szCs w:val="18"/>
                    </w:rPr>
                  </w:pPr>
                  <w:r>
                    <w:rPr>
                      <w:color w:val="auto"/>
                      <w:sz w:val="18"/>
                      <w:szCs w:val="18"/>
                    </w:rPr>
                    <w:t>园内企业按要求对工业废水进行预处理，达到园区污水处理厂统一纳管标准后再通过专用管网排放至园区污水处理厂进行再次处理。</w:t>
                  </w:r>
                </w:p>
              </w:tc>
              <w:tc>
                <w:tcPr>
                  <w:tcW w:w="1789" w:type="pct"/>
                  <w:vAlign w:val="center"/>
                </w:tcPr>
                <w:p w14:paraId="3AEC0A9B">
                  <w:pPr>
                    <w:pStyle w:val="25"/>
                    <w:spacing w:line="240" w:lineRule="auto"/>
                    <w:jc w:val="center"/>
                    <w:rPr>
                      <w:bCs/>
                      <w:color w:val="auto"/>
                      <w:sz w:val="18"/>
                      <w:szCs w:val="18"/>
                      <w:lang w:val="en-US"/>
                    </w:rPr>
                  </w:pPr>
                  <w:r>
                    <w:rPr>
                      <w:rFonts w:hint="eastAsia"/>
                      <w:bCs/>
                      <w:color w:val="auto"/>
                      <w:sz w:val="18"/>
                      <w:szCs w:val="18"/>
                      <w:lang w:val="en-US"/>
                    </w:rPr>
                    <w:t>本项目</w:t>
                  </w:r>
                  <w:r>
                    <w:rPr>
                      <w:rFonts w:hint="eastAsia"/>
                      <w:bCs/>
                      <w:color w:val="auto"/>
                      <w:sz w:val="18"/>
                      <w:szCs w:val="18"/>
                      <w:lang w:val="en-US" w:eastAsia="zh-CN"/>
                    </w:rPr>
                    <w:t>仅涉及生活污水及冷却水排水，生活污水经化粪池处理后排入江南产业集中区第一污水处理厂</w:t>
                  </w:r>
                  <w:r>
                    <w:rPr>
                      <w:rFonts w:hint="eastAsia"/>
                      <w:bCs/>
                      <w:color w:val="auto"/>
                      <w:sz w:val="18"/>
                      <w:szCs w:val="18"/>
                      <w:lang w:val="en-US"/>
                    </w:rPr>
                    <w:t>处理</w:t>
                  </w:r>
                  <w:r>
                    <w:rPr>
                      <w:rFonts w:hint="eastAsia" w:cs="Times New Roman"/>
                      <w:color w:val="auto"/>
                      <w:sz w:val="18"/>
                      <w:szCs w:val="18"/>
                    </w:rPr>
                    <w:t>。</w:t>
                  </w:r>
                </w:p>
              </w:tc>
              <w:tc>
                <w:tcPr>
                  <w:tcW w:w="507" w:type="pct"/>
                  <w:vAlign w:val="center"/>
                </w:tcPr>
                <w:p w14:paraId="54C1534E">
                  <w:pPr>
                    <w:pStyle w:val="25"/>
                    <w:spacing w:line="240" w:lineRule="auto"/>
                    <w:jc w:val="center"/>
                    <w:rPr>
                      <w:bCs/>
                      <w:color w:val="auto"/>
                      <w:sz w:val="18"/>
                      <w:szCs w:val="18"/>
                      <w:lang w:val="en-US"/>
                    </w:rPr>
                  </w:pPr>
                  <w:r>
                    <w:rPr>
                      <w:rFonts w:hint="eastAsia"/>
                      <w:bCs/>
                      <w:color w:val="auto"/>
                      <w:sz w:val="18"/>
                      <w:szCs w:val="18"/>
                      <w:lang w:val="en-US"/>
                    </w:rPr>
                    <w:t>符合</w:t>
                  </w:r>
                </w:p>
              </w:tc>
            </w:tr>
          </w:tbl>
          <w:p w14:paraId="0B00B0AC">
            <w:pPr>
              <w:pStyle w:val="25"/>
              <w:numPr>
                <w:ilvl w:val="0"/>
                <w:numId w:val="0"/>
              </w:numPr>
              <w:rPr>
                <w:rFonts w:cs="Times New Roman"/>
                <w:b/>
                <w:bCs/>
                <w:color w:val="auto"/>
                <w:sz w:val="24"/>
                <w:szCs w:val="24"/>
              </w:rPr>
            </w:pPr>
            <w:r>
              <w:rPr>
                <w:rFonts w:hint="eastAsia" w:cs="Times New Roman"/>
                <w:b/>
                <w:bCs/>
                <w:color w:val="auto"/>
                <w:sz w:val="24"/>
                <w:szCs w:val="24"/>
                <w:lang w:val="en-US" w:eastAsia="zh-CN"/>
              </w:rPr>
              <w:t>8、</w:t>
            </w:r>
            <w:r>
              <w:rPr>
                <w:rFonts w:hint="eastAsia" w:cs="Times New Roman"/>
                <w:b/>
                <w:bCs/>
                <w:color w:val="auto"/>
                <w:sz w:val="24"/>
                <w:szCs w:val="24"/>
              </w:rPr>
              <w:t>与《中华人民共和国长江保护法》的相符性分析</w:t>
            </w:r>
          </w:p>
          <w:p w14:paraId="7F4F6053">
            <w:pPr>
              <w:ind w:firstLine="480" w:firstLineChars="200"/>
              <w:rPr>
                <w:rFonts w:hint="eastAsia"/>
                <w:color w:val="auto"/>
                <w:lang w:val="en-US" w:eastAsia="zh-CN"/>
              </w:rPr>
            </w:pPr>
            <w:r>
              <w:rPr>
                <w:color w:val="auto"/>
              </w:rPr>
              <w:t>本项目与</w:t>
            </w:r>
            <w:r>
              <w:rPr>
                <w:rFonts w:hint="eastAsia"/>
                <w:color w:val="auto"/>
              </w:rPr>
              <w:t>《中华人民共和国长江保护法》的相符性分析</w:t>
            </w:r>
            <w:r>
              <w:rPr>
                <w:rFonts w:hint="eastAsia"/>
                <w:color w:val="auto"/>
                <w:lang w:val="en-US" w:eastAsia="zh-CN"/>
              </w:rPr>
              <w:t>如下。</w:t>
            </w:r>
          </w:p>
          <w:p w14:paraId="04C077F5">
            <w:pPr>
              <w:pStyle w:val="25"/>
              <w:jc w:val="center"/>
              <w:rPr>
                <w:rFonts w:hint="eastAsia" w:ascii="Times New Roman" w:hAnsi="Times New Roman" w:eastAsia="黑体" w:cs="宋体"/>
                <w:bCs/>
                <w:color w:val="auto"/>
                <w:sz w:val="24"/>
                <w:szCs w:val="24"/>
                <w:lang w:val="en-US" w:eastAsia="zh-CN"/>
              </w:rPr>
            </w:pPr>
            <w:r>
              <w:rPr>
                <w:rFonts w:hint="eastAsia" w:ascii="Times New Roman" w:hAnsi="Times New Roman" w:eastAsia="黑体" w:cs="宋体"/>
                <w:bCs/>
                <w:color w:val="auto"/>
                <w:sz w:val="24"/>
                <w:szCs w:val="24"/>
                <w:lang w:val="en-US" w:eastAsia="zh-CN"/>
              </w:rPr>
              <w:t>表1-1</w:t>
            </w:r>
            <w:r>
              <w:rPr>
                <w:rFonts w:hint="eastAsia" w:eastAsia="黑体" w:cs="宋体"/>
                <w:bCs/>
                <w:color w:val="auto"/>
                <w:sz w:val="24"/>
                <w:szCs w:val="24"/>
                <w:lang w:val="en-US" w:eastAsia="zh-CN"/>
              </w:rPr>
              <w:t>0</w:t>
            </w:r>
            <w:r>
              <w:rPr>
                <w:rFonts w:hint="eastAsia" w:ascii="Times New Roman" w:hAnsi="Times New Roman" w:eastAsia="黑体" w:cs="宋体"/>
                <w:bCs/>
                <w:color w:val="auto"/>
                <w:sz w:val="24"/>
                <w:szCs w:val="24"/>
                <w:lang w:val="en-US" w:eastAsia="zh-CN"/>
              </w:rPr>
              <w:t xml:space="preserve">  本项目与中华人民共和国长江保护法相符性分析</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1"/>
              <w:gridCol w:w="4707"/>
              <w:gridCol w:w="2259"/>
              <w:gridCol w:w="843"/>
            </w:tblGrid>
            <w:tr w14:paraId="5298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0C037129">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序号</w:t>
                  </w:r>
                </w:p>
              </w:tc>
              <w:tc>
                <w:tcPr>
                  <w:tcW w:w="4738" w:type="dxa"/>
                  <w:tcBorders>
                    <w:tl2br w:val="nil"/>
                    <w:tr2bl w:val="nil"/>
                  </w:tcBorders>
                  <w:noWrap w:val="0"/>
                  <w:vAlign w:val="center"/>
                </w:tcPr>
                <w:p w14:paraId="2461BE7B">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长江保护法要求</w:t>
                  </w:r>
                </w:p>
              </w:tc>
              <w:tc>
                <w:tcPr>
                  <w:tcW w:w="2274" w:type="dxa"/>
                  <w:tcBorders>
                    <w:tl2br w:val="nil"/>
                    <w:tr2bl w:val="nil"/>
                  </w:tcBorders>
                  <w:noWrap w:val="0"/>
                  <w:vAlign w:val="center"/>
                </w:tcPr>
                <w:p w14:paraId="11BF4AF5">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本项目情况</w:t>
                  </w:r>
                </w:p>
              </w:tc>
              <w:tc>
                <w:tcPr>
                  <w:tcW w:w="848" w:type="dxa"/>
                  <w:tcBorders>
                    <w:tl2br w:val="nil"/>
                    <w:tr2bl w:val="nil"/>
                  </w:tcBorders>
                  <w:noWrap w:val="0"/>
                  <w:vAlign w:val="center"/>
                </w:tcPr>
                <w:p w14:paraId="1248A034">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相符性</w:t>
                  </w:r>
                </w:p>
              </w:tc>
            </w:tr>
            <w:tr w14:paraId="145B2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7EE07642">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第二条</w:t>
                  </w:r>
                </w:p>
              </w:tc>
              <w:tc>
                <w:tcPr>
                  <w:tcW w:w="4738" w:type="dxa"/>
                  <w:tcBorders>
                    <w:tl2br w:val="nil"/>
                    <w:tr2bl w:val="nil"/>
                  </w:tcBorders>
                  <w:noWrap w:val="0"/>
                  <w:vAlign w:val="center"/>
                </w:tcPr>
                <w:p w14:paraId="4FB153FA">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2274" w:type="dxa"/>
                  <w:tcBorders>
                    <w:tl2br w:val="nil"/>
                    <w:tr2bl w:val="nil"/>
                  </w:tcBorders>
                  <w:noWrap w:val="0"/>
                  <w:vAlign w:val="center"/>
                </w:tcPr>
                <w:p w14:paraId="5CE8994A">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本项目在安徽省皖江江南新兴产业集中区，属于长江流域。</w:t>
                  </w:r>
                </w:p>
              </w:tc>
              <w:tc>
                <w:tcPr>
                  <w:tcW w:w="848" w:type="dxa"/>
                  <w:tcBorders>
                    <w:tl2br w:val="nil"/>
                    <w:tr2bl w:val="nil"/>
                  </w:tcBorders>
                  <w:noWrap w:val="0"/>
                  <w:vAlign w:val="center"/>
                </w:tcPr>
                <w:p w14:paraId="529DB52D">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符合</w:t>
                  </w:r>
                </w:p>
              </w:tc>
            </w:tr>
            <w:tr w14:paraId="516E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15548531">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第二十一条</w:t>
                  </w:r>
                </w:p>
              </w:tc>
              <w:tc>
                <w:tcPr>
                  <w:tcW w:w="4738" w:type="dxa"/>
                  <w:tcBorders>
                    <w:tl2br w:val="nil"/>
                    <w:tr2bl w:val="nil"/>
                  </w:tcBorders>
                  <w:noWrap w:val="0"/>
                  <w:vAlign w:val="center"/>
                </w:tcPr>
                <w:p w14:paraId="615F0D62">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2274" w:type="dxa"/>
                  <w:tcBorders>
                    <w:tl2br w:val="nil"/>
                    <w:tr2bl w:val="nil"/>
                  </w:tcBorders>
                  <w:noWrap w:val="0"/>
                  <w:vAlign w:val="center"/>
                </w:tcPr>
                <w:p w14:paraId="1FF8153F">
                  <w:pPr>
                    <w:spacing w:line="240" w:lineRule="auto"/>
                    <w:jc w:val="center"/>
                    <w:rPr>
                      <w:rFonts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本项目</w:t>
                  </w:r>
                  <w:r>
                    <w:rPr>
                      <w:rFonts w:hint="default" w:ascii="Times New Roman" w:hAnsi="Times New Roman" w:eastAsia="宋体" w:cs="Times New Roman"/>
                      <w:color w:val="auto"/>
                      <w:sz w:val="18"/>
                      <w:szCs w:val="18"/>
                      <w:lang w:eastAsia="zh-CN"/>
                    </w:rPr>
                    <w:t>生活污水通过厂内污水总排口排入</w:t>
                  </w:r>
                  <w:r>
                    <w:rPr>
                      <w:rFonts w:hint="eastAsia" w:ascii="Times New Roman" w:hAnsi="Times New Roman" w:eastAsia="宋体" w:cs="Times New Roman"/>
                      <w:color w:val="auto"/>
                      <w:sz w:val="18"/>
                      <w:szCs w:val="18"/>
                      <w:lang w:val="en-US" w:eastAsia="zh-CN"/>
                    </w:rPr>
                    <w:t>园区污水管网进入</w:t>
                  </w:r>
                  <w:r>
                    <w:rPr>
                      <w:rFonts w:hint="eastAsia" w:cs="Times New Roman"/>
                      <w:color w:val="auto"/>
                      <w:sz w:val="18"/>
                      <w:szCs w:val="18"/>
                      <w:lang w:eastAsia="zh-CN"/>
                    </w:rPr>
                    <w:t>安安产业园</w:t>
                  </w:r>
                  <w:r>
                    <w:rPr>
                      <w:rFonts w:hint="eastAsia" w:ascii="Times New Roman" w:hAnsi="Times New Roman" w:eastAsia="宋体" w:cs="Times New Roman"/>
                      <w:color w:val="auto"/>
                      <w:sz w:val="18"/>
                      <w:szCs w:val="18"/>
                      <w:lang w:val="en-US" w:eastAsia="zh-CN"/>
                    </w:rPr>
                    <w:t>园区已建</w:t>
                  </w:r>
                  <w:r>
                    <w:rPr>
                      <w:rFonts w:hint="default" w:ascii="Times New Roman" w:hAnsi="Times New Roman" w:eastAsia="宋体" w:cs="Times New Roman"/>
                      <w:color w:val="auto"/>
                      <w:sz w:val="18"/>
                      <w:szCs w:val="18"/>
                      <w:lang w:eastAsia="zh-CN"/>
                    </w:rPr>
                    <w:t>化粪池处理</w:t>
                  </w:r>
                  <w:r>
                    <w:rPr>
                      <w:rFonts w:hint="eastAsia" w:ascii="Times New Roman" w:hAnsi="Times New Roman" w:eastAsia="宋体" w:cs="Times New Roman"/>
                      <w:color w:val="auto"/>
                      <w:sz w:val="18"/>
                      <w:szCs w:val="18"/>
                      <w:lang w:eastAsia="zh-CN"/>
                    </w:rPr>
                    <w:t>，</w:t>
                  </w:r>
                  <w:r>
                    <w:rPr>
                      <w:rFonts w:hint="default" w:ascii="Times New Roman" w:hAnsi="Times New Roman" w:eastAsia="宋体" w:cs="Times New Roman"/>
                      <w:color w:val="auto"/>
                      <w:sz w:val="18"/>
                      <w:szCs w:val="18"/>
                    </w:rPr>
                    <w:t>达到皖江江南新兴产业集中区第一污水处理厂接管标准和《污水综合排放标准》(GB8978-1996)表 4 中三级标准，然后排入皖江江南新兴产业集中区第一污水处理厂进一步处理</w:t>
                  </w:r>
                </w:p>
              </w:tc>
              <w:tc>
                <w:tcPr>
                  <w:tcW w:w="848" w:type="dxa"/>
                  <w:tcBorders>
                    <w:tl2br w:val="nil"/>
                    <w:tr2bl w:val="nil"/>
                  </w:tcBorders>
                  <w:noWrap w:val="0"/>
                  <w:vAlign w:val="center"/>
                </w:tcPr>
                <w:p w14:paraId="0C32C853">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符合</w:t>
                  </w:r>
                </w:p>
              </w:tc>
            </w:tr>
            <w:tr w14:paraId="6898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16A57488">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第二十二条</w:t>
                  </w:r>
                </w:p>
              </w:tc>
              <w:tc>
                <w:tcPr>
                  <w:tcW w:w="4738" w:type="dxa"/>
                  <w:tcBorders>
                    <w:tl2br w:val="nil"/>
                    <w:tr2bl w:val="nil"/>
                  </w:tcBorders>
                  <w:noWrap w:val="0"/>
                  <w:vAlign w:val="center"/>
                </w:tcPr>
                <w:p w14:paraId="37138154">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2274" w:type="dxa"/>
                  <w:tcBorders>
                    <w:tl2br w:val="nil"/>
                    <w:tr2bl w:val="nil"/>
                  </w:tcBorders>
                  <w:noWrap w:val="0"/>
                  <w:vAlign w:val="center"/>
                </w:tcPr>
                <w:p w14:paraId="7E5B9304">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本项目位于</w:t>
                  </w:r>
                  <w:r>
                    <w:rPr>
                      <w:rFonts w:ascii="Times New Roman" w:hAnsi="Times New Roman" w:eastAsia="宋体" w:cs="Times New Roman"/>
                      <w:color w:val="auto"/>
                      <w:sz w:val="18"/>
                      <w:szCs w:val="18"/>
                    </w:rPr>
                    <w:t>安徽省</w:t>
                  </w:r>
                  <w:r>
                    <w:rPr>
                      <w:rFonts w:hint="default" w:ascii="Times New Roman" w:hAnsi="Times New Roman" w:eastAsia="宋体" w:cs="Times New Roman"/>
                      <w:color w:val="auto"/>
                      <w:sz w:val="18"/>
                      <w:szCs w:val="18"/>
                    </w:rPr>
                    <w:t>皖江江南产业集中区</w:t>
                  </w:r>
                  <w:r>
                    <w:rPr>
                      <w:rFonts w:hint="eastAsia" w:ascii="Times New Roman" w:hAnsi="Times New Roman" w:eastAsia="宋体" w:cs="Times New Roman"/>
                      <w:color w:val="auto"/>
                      <w:sz w:val="18"/>
                      <w:szCs w:val="18"/>
                      <w:lang w:eastAsia="zh-CN"/>
                    </w:rPr>
                    <w:t>，</w:t>
                  </w:r>
                  <w:r>
                    <w:rPr>
                      <w:rFonts w:hint="default" w:ascii="Times New Roman" w:hAnsi="Times New Roman" w:eastAsia="宋体" w:cs="Times New Roman"/>
                      <w:color w:val="auto"/>
                      <w:sz w:val="18"/>
                      <w:szCs w:val="18"/>
                    </w:rPr>
                    <w:t>不属于长江流域重点生态功能区。</w:t>
                  </w:r>
                </w:p>
              </w:tc>
              <w:tc>
                <w:tcPr>
                  <w:tcW w:w="848" w:type="dxa"/>
                  <w:tcBorders>
                    <w:tl2br w:val="nil"/>
                    <w:tr2bl w:val="nil"/>
                  </w:tcBorders>
                  <w:noWrap w:val="0"/>
                  <w:vAlign w:val="center"/>
                </w:tcPr>
                <w:p w14:paraId="59AB5635">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符合</w:t>
                  </w:r>
                </w:p>
              </w:tc>
            </w:tr>
            <w:tr w14:paraId="0E18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682D7E68">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第二十六条</w:t>
                  </w:r>
                </w:p>
              </w:tc>
              <w:tc>
                <w:tcPr>
                  <w:tcW w:w="4738" w:type="dxa"/>
                  <w:tcBorders>
                    <w:tl2br w:val="nil"/>
                    <w:tr2bl w:val="nil"/>
                  </w:tcBorders>
                  <w:noWrap w:val="0"/>
                  <w:vAlign w:val="center"/>
                </w:tcPr>
                <w:p w14:paraId="3F35A7DF">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2274" w:type="dxa"/>
                  <w:tcBorders>
                    <w:tl2br w:val="nil"/>
                    <w:tr2bl w:val="nil"/>
                  </w:tcBorders>
                  <w:noWrap w:val="0"/>
                  <w:vAlign w:val="center"/>
                </w:tcPr>
                <w:p w14:paraId="0273CFF8">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本项目距离长江直线距离</w:t>
                  </w:r>
                  <w:r>
                    <w:rPr>
                      <w:rFonts w:hint="eastAsia" w:ascii="Times New Roman" w:hAnsi="Times New Roman" w:eastAsia="宋体" w:cs="Times New Roman"/>
                      <w:color w:val="auto"/>
                      <w:sz w:val="18"/>
                      <w:szCs w:val="18"/>
                      <w:lang w:val="en-US" w:eastAsia="zh-CN"/>
                    </w:rPr>
                    <w:t>约</w:t>
                  </w:r>
                  <w:r>
                    <w:rPr>
                      <w:rFonts w:hint="eastAsia" w:cs="Times New Roman"/>
                      <w:color w:val="auto"/>
                      <w:sz w:val="18"/>
                      <w:szCs w:val="18"/>
                      <w:lang w:val="en-US" w:eastAsia="zh-CN"/>
                    </w:rPr>
                    <w:t>5.6</w:t>
                  </w:r>
                  <w:r>
                    <w:rPr>
                      <w:rFonts w:ascii="Times New Roman" w:hAnsi="Times New Roman" w:eastAsia="宋体" w:cs="Times New Roman"/>
                      <w:color w:val="auto"/>
                      <w:sz w:val="18"/>
                      <w:szCs w:val="18"/>
                    </w:rPr>
                    <w:t>k</w:t>
                  </w:r>
                  <w:r>
                    <w:rPr>
                      <w:rFonts w:hint="default" w:ascii="Times New Roman" w:hAnsi="Times New Roman" w:eastAsia="宋体" w:cs="Times New Roman"/>
                      <w:color w:val="auto"/>
                      <w:sz w:val="18"/>
                      <w:szCs w:val="18"/>
                    </w:rPr>
                    <w:t>m，不属于</w:t>
                  </w:r>
                  <w:r>
                    <w:rPr>
                      <w:rFonts w:ascii="Times New Roman" w:hAnsi="Times New Roman" w:eastAsia="宋体" w:cs="Times New Roman"/>
                      <w:color w:val="auto"/>
                      <w:sz w:val="18"/>
                      <w:szCs w:val="18"/>
                    </w:rPr>
                    <w:t>化工、</w:t>
                  </w:r>
                  <w:r>
                    <w:rPr>
                      <w:rFonts w:hint="default" w:ascii="Times New Roman" w:hAnsi="Times New Roman" w:eastAsia="宋体" w:cs="Times New Roman"/>
                      <w:color w:val="auto"/>
                      <w:sz w:val="18"/>
                      <w:szCs w:val="18"/>
                    </w:rPr>
                    <w:t>尾矿库项目。</w:t>
                  </w:r>
                </w:p>
              </w:tc>
              <w:tc>
                <w:tcPr>
                  <w:tcW w:w="848" w:type="dxa"/>
                  <w:tcBorders>
                    <w:tl2br w:val="nil"/>
                    <w:tr2bl w:val="nil"/>
                  </w:tcBorders>
                  <w:noWrap w:val="0"/>
                  <w:vAlign w:val="center"/>
                </w:tcPr>
                <w:p w14:paraId="6474F1E2">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符合</w:t>
                  </w:r>
                </w:p>
              </w:tc>
            </w:tr>
            <w:tr w14:paraId="7793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44" w:type="dxa"/>
                  <w:tcBorders>
                    <w:tl2br w:val="nil"/>
                    <w:tr2bl w:val="nil"/>
                  </w:tcBorders>
                  <w:noWrap w:val="0"/>
                  <w:vAlign w:val="center"/>
                </w:tcPr>
                <w:p w14:paraId="63EC429D">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第六十一条</w:t>
                  </w:r>
                </w:p>
              </w:tc>
              <w:tc>
                <w:tcPr>
                  <w:tcW w:w="4738" w:type="dxa"/>
                  <w:tcBorders>
                    <w:tl2br w:val="nil"/>
                    <w:tr2bl w:val="nil"/>
                  </w:tcBorders>
                  <w:noWrap w:val="0"/>
                  <w:vAlign w:val="center"/>
                </w:tcPr>
                <w:p w14:paraId="33DE9695">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eastAsia="宋体" w:cs="Times New Roman"/>
                      <w:color w:val="auto"/>
                      <w:sz w:val="18"/>
                      <w:szCs w:val="18"/>
                      <w:lang w:eastAsia="zh-CN"/>
                    </w:rPr>
                    <w:t>；</w:t>
                  </w:r>
                  <w:r>
                    <w:rPr>
                      <w:rFonts w:hint="default" w:ascii="Times New Roman" w:hAnsi="Times New Roman" w:eastAsia="宋体" w:cs="Times New Roman"/>
                      <w:color w:val="auto"/>
                      <w:sz w:val="18"/>
                      <w:szCs w:val="18"/>
                    </w:rPr>
                    <w:t>划入自然保护地核心保护区的永久基本农田，依法有序退出并予以补划。</w:t>
                  </w:r>
                </w:p>
              </w:tc>
              <w:tc>
                <w:tcPr>
                  <w:tcW w:w="2274" w:type="dxa"/>
                  <w:tcBorders>
                    <w:tl2br w:val="nil"/>
                    <w:tr2bl w:val="nil"/>
                  </w:tcBorders>
                  <w:noWrap w:val="0"/>
                  <w:vAlign w:val="center"/>
                </w:tcPr>
                <w:p w14:paraId="76BE0E08">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本项目不在生态保护红线内。</w:t>
                  </w:r>
                </w:p>
              </w:tc>
              <w:tc>
                <w:tcPr>
                  <w:tcW w:w="848" w:type="dxa"/>
                  <w:tcBorders>
                    <w:tl2br w:val="nil"/>
                    <w:tr2bl w:val="nil"/>
                  </w:tcBorders>
                  <w:noWrap w:val="0"/>
                  <w:vAlign w:val="center"/>
                </w:tcPr>
                <w:p w14:paraId="508C16E5">
                  <w:pPr>
                    <w:spacing w:line="240" w:lineRule="auto"/>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符合</w:t>
                  </w:r>
                </w:p>
              </w:tc>
            </w:tr>
          </w:tbl>
          <w:p w14:paraId="5B759DAB">
            <w:pPr>
              <w:pStyle w:val="25"/>
              <w:numPr>
                <w:ilvl w:val="0"/>
                <w:numId w:val="0"/>
              </w:numPr>
              <w:rPr>
                <w:rFonts w:cs="Times New Roman"/>
                <w:b/>
                <w:bCs/>
                <w:color w:val="auto"/>
                <w:sz w:val="24"/>
                <w:szCs w:val="24"/>
              </w:rPr>
            </w:pPr>
            <w:r>
              <w:rPr>
                <w:rFonts w:hint="eastAsia" w:cs="Times New Roman"/>
                <w:b/>
                <w:bCs/>
                <w:color w:val="auto"/>
                <w:sz w:val="24"/>
                <w:szCs w:val="24"/>
                <w:lang w:val="en-US" w:eastAsia="zh-CN"/>
              </w:rPr>
              <w:t>9、</w:t>
            </w:r>
            <w:r>
              <w:rPr>
                <w:rFonts w:hint="eastAsia" w:cs="Times New Roman"/>
                <w:b/>
                <w:bCs/>
                <w:color w:val="auto"/>
                <w:sz w:val="24"/>
                <w:szCs w:val="24"/>
              </w:rPr>
              <w:t>与</w:t>
            </w:r>
            <w:bookmarkStart w:id="11" w:name="OLE_LINK20"/>
            <w:r>
              <w:rPr>
                <w:rFonts w:hint="eastAsia" w:cs="Times New Roman"/>
                <w:b/>
                <w:bCs/>
                <w:color w:val="auto"/>
                <w:sz w:val="24"/>
                <w:szCs w:val="24"/>
              </w:rPr>
              <w:t>《安徽省“十四五”大气污染防治规划》</w:t>
            </w:r>
            <w:bookmarkEnd w:id="11"/>
            <w:r>
              <w:rPr>
                <w:rFonts w:hint="eastAsia" w:cs="Times New Roman"/>
                <w:b/>
                <w:bCs/>
                <w:color w:val="auto"/>
                <w:sz w:val="24"/>
                <w:szCs w:val="24"/>
              </w:rPr>
              <w:t>符合性分析</w:t>
            </w:r>
          </w:p>
          <w:p w14:paraId="210C7551">
            <w:pPr>
              <w:jc w:val="center"/>
              <w:rPr>
                <w:rFonts w:hint="eastAsia" w:ascii="Times New Roman" w:hAnsi="Times New Roman" w:eastAsia="宋体" w:cs="Times New Roman"/>
                <w:color w:val="auto"/>
                <w:lang w:val="en-US" w:eastAsia="zh-CN"/>
              </w:rPr>
            </w:pPr>
            <w:r>
              <w:rPr>
                <w:rFonts w:hint="eastAsia" w:eastAsia="黑体"/>
                <w:bCs/>
                <w:color w:val="auto"/>
                <w:szCs w:val="24"/>
              </w:rPr>
              <w:t>表</w:t>
            </w:r>
            <w:r>
              <w:rPr>
                <w:rFonts w:eastAsia="黑体"/>
                <w:bCs/>
                <w:color w:val="auto"/>
                <w:szCs w:val="24"/>
              </w:rPr>
              <w:t>1-</w:t>
            </w:r>
            <w:r>
              <w:rPr>
                <w:rFonts w:hint="eastAsia" w:eastAsia="黑体"/>
                <w:bCs/>
                <w:color w:val="auto"/>
                <w:szCs w:val="24"/>
                <w:lang w:val="en-US" w:eastAsia="zh-CN"/>
              </w:rPr>
              <w:t>11</w:t>
            </w:r>
            <w:r>
              <w:rPr>
                <w:rFonts w:eastAsia="黑体"/>
                <w:bCs/>
                <w:color w:val="auto"/>
                <w:szCs w:val="24"/>
              </w:rPr>
              <w:t xml:space="preserve">  </w:t>
            </w:r>
            <w:r>
              <w:rPr>
                <w:rFonts w:hint="eastAsia" w:eastAsia="黑体"/>
                <w:bCs/>
                <w:color w:val="auto"/>
                <w:szCs w:val="24"/>
              </w:rPr>
              <w:t>与《安徽省“十四五”大气污染防治规划》的符合性分析</w:t>
            </w:r>
          </w:p>
          <w:tbl>
            <w:tblPr>
              <w:tblStyle w:val="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3295"/>
              <w:gridCol w:w="2341"/>
              <w:gridCol w:w="1352"/>
            </w:tblGrid>
            <w:tr w14:paraId="28DE7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pct"/>
                  <w:vAlign w:val="center"/>
                </w:tcPr>
                <w:p w14:paraId="1E522CC5">
                  <w:pPr>
                    <w:spacing w:line="240" w:lineRule="auto"/>
                    <w:jc w:val="center"/>
                    <w:rPr>
                      <w:color w:val="auto"/>
                      <w:sz w:val="18"/>
                      <w:szCs w:val="18"/>
                    </w:rPr>
                  </w:pPr>
                  <w:r>
                    <w:rPr>
                      <w:color w:val="auto"/>
                      <w:sz w:val="18"/>
                      <w:szCs w:val="18"/>
                    </w:rPr>
                    <w:t>政策名称</w:t>
                  </w:r>
                </w:p>
              </w:tc>
              <w:tc>
                <w:tcPr>
                  <w:tcW w:w="1973" w:type="pct"/>
                  <w:vAlign w:val="center"/>
                </w:tcPr>
                <w:p w14:paraId="5A57BA6D">
                  <w:pPr>
                    <w:spacing w:line="240" w:lineRule="auto"/>
                    <w:jc w:val="center"/>
                    <w:rPr>
                      <w:color w:val="auto"/>
                      <w:sz w:val="18"/>
                      <w:szCs w:val="18"/>
                    </w:rPr>
                  </w:pPr>
                  <w:r>
                    <w:rPr>
                      <w:color w:val="auto"/>
                      <w:sz w:val="18"/>
                      <w:szCs w:val="18"/>
                    </w:rPr>
                    <w:t>相关要求</w:t>
                  </w:r>
                </w:p>
              </w:tc>
              <w:tc>
                <w:tcPr>
                  <w:tcW w:w="1402" w:type="pct"/>
                  <w:vAlign w:val="center"/>
                </w:tcPr>
                <w:p w14:paraId="167D2022">
                  <w:pPr>
                    <w:spacing w:line="240" w:lineRule="auto"/>
                    <w:jc w:val="center"/>
                    <w:rPr>
                      <w:color w:val="auto"/>
                      <w:sz w:val="18"/>
                      <w:szCs w:val="18"/>
                    </w:rPr>
                  </w:pPr>
                  <w:r>
                    <w:rPr>
                      <w:color w:val="auto"/>
                      <w:sz w:val="18"/>
                      <w:szCs w:val="18"/>
                    </w:rPr>
                    <w:t>本项目建设情况</w:t>
                  </w:r>
                </w:p>
              </w:tc>
              <w:tc>
                <w:tcPr>
                  <w:tcW w:w="809" w:type="pct"/>
                  <w:vAlign w:val="center"/>
                </w:tcPr>
                <w:p w14:paraId="6CA418F6">
                  <w:pPr>
                    <w:spacing w:line="240" w:lineRule="auto"/>
                    <w:jc w:val="center"/>
                    <w:rPr>
                      <w:color w:val="auto"/>
                      <w:sz w:val="18"/>
                      <w:szCs w:val="18"/>
                    </w:rPr>
                  </w:pPr>
                  <w:r>
                    <w:rPr>
                      <w:color w:val="auto"/>
                      <w:sz w:val="18"/>
                      <w:szCs w:val="18"/>
                    </w:rPr>
                    <w:t>符合性</w:t>
                  </w:r>
                </w:p>
              </w:tc>
            </w:tr>
            <w:tr w14:paraId="732D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pct"/>
                  <w:vAlign w:val="center"/>
                </w:tcPr>
                <w:p w14:paraId="64D9736A">
                  <w:pPr>
                    <w:spacing w:line="240" w:lineRule="auto"/>
                    <w:jc w:val="center"/>
                    <w:rPr>
                      <w:color w:val="auto"/>
                      <w:sz w:val="18"/>
                      <w:szCs w:val="18"/>
                    </w:rPr>
                  </w:pPr>
                  <w:r>
                    <w:rPr>
                      <w:rFonts w:hint="eastAsia"/>
                      <w:color w:val="auto"/>
                      <w:sz w:val="18"/>
                      <w:szCs w:val="18"/>
                    </w:rPr>
                    <w:t>《安徽省“十四五”大气污染防治规划》</w:t>
                  </w:r>
                </w:p>
              </w:tc>
              <w:tc>
                <w:tcPr>
                  <w:tcW w:w="1973" w:type="pct"/>
                  <w:vAlign w:val="center"/>
                </w:tcPr>
                <w:p w14:paraId="22868850">
                  <w:pPr>
                    <w:spacing w:line="240" w:lineRule="auto"/>
                    <w:jc w:val="center"/>
                    <w:rPr>
                      <w:rFonts w:hint="eastAsia"/>
                      <w:color w:val="auto"/>
                      <w:sz w:val="18"/>
                      <w:szCs w:val="18"/>
                    </w:rPr>
                  </w:pPr>
                  <w:r>
                    <w:rPr>
                      <w:rFonts w:hint="eastAsia"/>
                      <w:color w:val="auto"/>
                      <w:sz w:val="18"/>
                      <w:szCs w:val="18"/>
                    </w:rPr>
                    <w:t>（1）严控“两高”行业盲目发展严格环境准入，坚决遏制高耗能、高排放即“两高”行业盲目发展。严格落实国家产业规划、产业政策、“三线一单”、规划环评，以及产能置换、煤炭消费减量</w:t>
                  </w:r>
                </w:p>
                <w:p w14:paraId="759A6815">
                  <w:pPr>
                    <w:spacing w:line="240" w:lineRule="auto"/>
                    <w:jc w:val="center"/>
                    <w:rPr>
                      <w:rFonts w:hint="eastAsia"/>
                      <w:color w:val="auto"/>
                      <w:sz w:val="18"/>
                      <w:szCs w:val="18"/>
                    </w:rPr>
                  </w:pPr>
                  <w:r>
                    <w:rPr>
                      <w:rFonts w:hint="eastAsia"/>
                      <w:color w:val="auto"/>
                      <w:sz w:val="18"/>
                      <w:szCs w:val="18"/>
                    </w:rPr>
                    <w:t>替代、区域污染物削减等要求，坚决叫停不符合要求的“两高”项目。严禁新增钢铁、焦化、电解铝、铸造、水泥和平板玻璃等产能，严格执行钢铁、水泥、平板玻璃等行业产能置换实施办法，严控污染物排放总量。严格控制涉工业炉窑建设项目，原则上禁止新建燃料类煤气发生炉（园区现有企业统一建设的清洁煤制气中心除外）。严格限制高 VOCs 排放化工类建设项目，禁止建设生产 VOCs 含量限值不符合国家标准的涂料、油墨、胶粘剂、清洗剂等项目。</w:t>
                  </w:r>
                </w:p>
                <w:p w14:paraId="15E8B1A4">
                  <w:pPr>
                    <w:spacing w:line="240" w:lineRule="auto"/>
                    <w:jc w:val="center"/>
                    <w:rPr>
                      <w:color w:val="auto"/>
                      <w:sz w:val="18"/>
                      <w:szCs w:val="18"/>
                    </w:rPr>
                  </w:pPr>
                  <w:r>
                    <w:rPr>
                      <w:rFonts w:hint="eastAsia"/>
                      <w:color w:val="auto"/>
                      <w:sz w:val="18"/>
                      <w:szCs w:val="18"/>
                    </w:rPr>
                    <w:t>（2）产业布局优化调整加强汽车及零部件、新能源汽车、基础装备及关键基础件、农业装备、物流设备及工程机械、节能环保装备、航空修理及配套设备、造船及船舶配套设备等产业集群建设，引导园区合理分工、突出优势、错位发展。</w:t>
                  </w:r>
                </w:p>
              </w:tc>
              <w:tc>
                <w:tcPr>
                  <w:tcW w:w="1402" w:type="pct"/>
                  <w:vAlign w:val="center"/>
                </w:tcPr>
                <w:p w14:paraId="1BA8C01B">
                  <w:pPr>
                    <w:spacing w:line="240" w:lineRule="auto"/>
                    <w:jc w:val="center"/>
                    <w:rPr>
                      <w:color w:val="auto"/>
                      <w:sz w:val="18"/>
                      <w:szCs w:val="18"/>
                    </w:rPr>
                  </w:pPr>
                  <w:r>
                    <w:rPr>
                      <w:color w:val="auto"/>
                      <w:sz w:val="18"/>
                      <w:szCs w:val="18"/>
                    </w:rPr>
                    <w:t>本项目</w:t>
                  </w:r>
                  <w:r>
                    <w:rPr>
                      <w:rFonts w:hint="eastAsia"/>
                      <w:color w:val="auto"/>
                      <w:sz w:val="18"/>
                      <w:szCs w:val="18"/>
                      <w:lang w:val="en-US" w:eastAsia="zh-CN"/>
                    </w:rPr>
                    <w:t>本项目属于C3392 有色金属铸造，不属于“两高”项目，产品为高端工业铝件，应用于汽车零部件，属于园区主导产业，满足园区产业定位、“三线一单”及规划环评要求，使用熔炼炉采用天然气加热，不属于燃煤发生炉</w:t>
                  </w:r>
                  <w:r>
                    <w:rPr>
                      <w:color w:val="auto"/>
                      <w:sz w:val="18"/>
                      <w:szCs w:val="18"/>
                    </w:rPr>
                    <w:t>。</w:t>
                  </w:r>
                </w:p>
              </w:tc>
              <w:tc>
                <w:tcPr>
                  <w:tcW w:w="809" w:type="pct"/>
                  <w:vAlign w:val="center"/>
                </w:tcPr>
                <w:p w14:paraId="1BFA1689">
                  <w:pPr>
                    <w:spacing w:line="240" w:lineRule="auto"/>
                    <w:jc w:val="center"/>
                    <w:rPr>
                      <w:color w:val="auto"/>
                      <w:sz w:val="18"/>
                      <w:szCs w:val="18"/>
                    </w:rPr>
                  </w:pPr>
                  <w:r>
                    <w:rPr>
                      <w:rFonts w:hint="eastAsia"/>
                      <w:color w:val="auto"/>
                      <w:sz w:val="18"/>
                      <w:szCs w:val="18"/>
                    </w:rPr>
                    <w:t>符合</w:t>
                  </w:r>
                </w:p>
              </w:tc>
            </w:tr>
          </w:tbl>
          <w:p w14:paraId="232B5DC6">
            <w:pPr>
              <w:pStyle w:val="25"/>
              <w:numPr>
                <w:ilvl w:val="0"/>
                <w:numId w:val="0"/>
              </w:numPr>
              <w:rPr>
                <w:rFonts w:cs="Times New Roman"/>
                <w:b/>
                <w:bCs/>
                <w:color w:val="auto"/>
                <w:sz w:val="24"/>
                <w:szCs w:val="24"/>
              </w:rPr>
            </w:pPr>
            <w:r>
              <w:rPr>
                <w:rFonts w:hint="eastAsia" w:cs="Times New Roman"/>
                <w:b/>
                <w:bCs/>
                <w:color w:val="auto"/>
                <w:sz w:val="24"/>
                <w:szCs w:val="24"/>
                <w:lang w:val="en-US" w:eastAsia="zh-CN"/>
              </w:rPr>
              <w:t>10、</w:t>
            </w:r>
            <w:r>
              <w:rPr>
                <w:rFonts w:cs="Times New Roman"/>
                <w:b/>
                <w:bCs/>
                <w:color w:val="auto"/>
                <w:sz w:val="24"/>
                <w:szCs w:val="24"/>
              </w:rPr>
              <w:t>与</w:t>
            </w:r>
            <w:r>
              <w:rPr>
                <w:rFonts w:hint="eastAsia" w:cs="Times New Roman"/>
                <w:b/>
                <w:bCs/>
                <w:color w:val="auto"/>
                <w:sz w:val="24"/>
                <w:szCs w:val="24"/>
              </w:rPr>
              <w:t>《工业炉窑大气污染综合治理方案》</w:t>
            </w:r>
            <w:r>
              <w:rPr>
                <w:rFonts w:cs="Times New Roman"/>
                <w:b/>
                <w:bCs/>
                <w:color w:val="auto"/>
                <w:sz w:val="24"/>
                <w:szCs w:val="24"/>
              </w:rPr>
              <w:t>的符合性</w:t>
            </w:r>
          </w:p>
          <w:p w14:paraId="188C9B4E">
            <w:pPr>
              <w:ind w:firstLine="480" w:firstLineChars="200"/>
              <w:rPr>
                <w:color w:val="auto"/>
              </w:rPr>
            </w:pPr>
            <w:r>
              <w:rPr>
                <w:color w:val="auto"/>
              </w:rPr>
              <w:t>本项目与</w:t>
            </w:r>
            <w:r>
              <w:rPr>
                <w:rFonts w:hint="eastAsia"/>
                <w:color w:val="auto"/>
              </w:rPr>
              <w:t>《工业炉窑大气污染综合治理方案》</w:t>
            </w:r>
            <w:r>
              <w:rPr>
                <w:color w:val="auto"/>
              </w:rPr>
              <w:t>符合性分析见下表：</w:t>
            </w:r>
          </w:p>
          <w:p w14:paraId="61BC8144">
            <w:pPr>
              <w:jc w:val="center"/>
              <w:rPr>
                <w:rFonts w:eastAsia="黑体"/>
                <w:bCs/>
                <w:color w:val="auto"/>
                <w:szCs w:val="24"/>
              </w:rPr>
            </w:pPr>
            <w:r>
              <w:rPr>
                <w:rFonts w:hint="eastAsia" w:eastAsia="黑体"/>
                <w:bCs/>
                <w:color w:val="auto"/>
                <w:szCs w:val="24"/>
              </w:rPr>
              <w:t>表</w:t>
            </w:r>
            <w:r>
              <w:rPr>
                <w:rFonts w:eastAsia="黑体"/>
                <w:bCs/>
                <w:color w:val="auto"/>
                <w:szCs w:val="24"/>
              </w:rPr>
              <w:t>1-</w:t>
            </w:r>
            <w:r>
              <w:rPr>
                <w:rFonts w:hint="eastAsia" w:eastAsia="黑体"/>
                <w:bCs/>
                <w:color w:val="auto"/>
                <w:szCs w:val="24"/>
                <w:lang w:val="en-US" w:eastAsia="zh-CN"/>
              </w:rPr>
              <w:t>12</w:t>
            </w:r>
            <w:r>
              <w:rPr>
                <w:rFonts w:eastAsia="黑体"/>
                <w:bCs/>
                <w:color w:val="auto"/>
                <w:szCs w:val="24"/>
              </w:rPr>
              <w:t xml:space="preserve">  </w:t>
            </w:r>
            <w:r>
              <w:rPr>
                <w:rFonts w:hint="eastAsia" w:eastAsia="黑体"/>
                <w:bCs/>
                <w:color w:val="auto"/>
                <w:szCs w:val="24"/>
              </w:rPr>
              <w:t>与《工业炉窑大气污染综合治理方案》的符合性分析</w:t>
            </w:r>
          </w:p>
          <w:tbl>
            <w:tblPr>
              <w:tblStyle w:val="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3726"/>
              <w:gridCol w:w="2515"/>
              <w:gridCol w:w="748"/>
            </w:tblGrid>
            <w:tr w14:paraId="3256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Align w:val="center"/>
                </w:tcPr>
                <w:p w14:paraId="2017E5E1">
                  <w:pPr>
                    <w:spacing w:line="240" w:lineRule="auto"/>
                    <w:jc w:val="center"/>
                    <w:rPr>
                      <w:color w:val="auto"/>
                      <w:sz w:val="18"/>
                      <w:szCs w:val="18"/>
                    </w:rPr>
                  </w:pPr>
                  <w:r>
                    <w:rPr>
                      <w:color w:val="auto"/>
                      <w:sz w:val="18"/>
                      <w:szCs w:val="18"/>
                    </w:rPr>
                    <w:t>政策名称</w:t>
                  </w:r>
                </w:p>
              </w:tc>
              <w:tc>
                <w:tcPr>
                  <w:tcW w:w="2231" w:type="pct"/>
                  <w:vAlign w:val="center"/>
                </w:tcPr>
                <w:p w14:paraId="53DB7904">
                  <w:pPr>
                    <w:spacing w:line="240" w:lineRule="auto"/>
                    <w:jc w:val="center"/>
                    <w:rPr>
                      <w:color w:val="auto"/>
                      <w:sz w:val="18"/>
                      <w:szCs w:val="18"/>
                    </w:rPr>
                  </w:pPr>
                  <w:r>
                    <w:rPr>
                      <w:color w:val="auto"/>
                      <w:sz w:val="18"/>
                      <w:szCs w:val="18"/>
                    </w:rPr>
                    <w:t>相关要求</w:t>
                  </w:r>
                </w:p>
              </w:tc>
              <w:tc>
                <w:tcPr>
                  <w:tcW w:w="1506" w:type="pct"/>
                  <w:vAlign w:val="center"/>
                </w:tcPr>
                <w:p w14:paraId="52BF6762">
                  <w:pPr>
                    <w:spacing w:line="240" w:lineRule="auto"/>
                    <w:jc w:val="center"/>
                    <w:rPr>
                      <w:color w:val="auto"/>
                      <w:sz w:val="18"/>
                      <w:szCs w:val="18"/>
                    </w:rPr>
                  </w:pPr>
                  <w:r>
                    <w:rPr>
                      <w:color w:val="auto"/>
                      <w:sz w:val="18"/>
                      <w:szCs w:val="18"/>
                    </w:rPr>
                    <w:t>本项目建设情况</w:t>
                  </w:r>
                </w:p>
              </w:tc>
              <w:tc>
                <w:tcPr>
                  <w:tcW w:w="448" w:type="pct"/>
                  <w:vAlign w:val="center"/>
                </w:tcPr>
                <w:p w14:paraId="3940E68E">
                  <w:pPr>
                    <w:spacing w:line="240" w:lineRule="auto"/>
                    <w:jc w:val="center"/>
                    <w:rPr>
                      <w:color w:val="auto"/>
                      <w:sz w:val="18"/>
                      <w:szCs w:val="18"/>
                    </w:rPr>
                  </w:pPr>
                  <w:r>
                    <w:rPr>
                      <w:color w:val="auto"/>
                      <w:sz w:val="18"/>
                      <w:szCs w:val="18"/>
                    </w:rPr>
                    <w:t>符合性</w:t>
                  </w:r>
                </w:p>
              </w:tc>
            </w:tr>
            <w:tr w14:paraId="23F11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Align w:val="center"/>
                </w:tcPr>
                <w:p w14:paraId="7155B8F7">
                  <w:pPr>
                    <w:rPr>
                      <w:color w:val="auto"/>
                      <w:sz w:val="18"/>
                      <w:szCs w:val="18"/>
                    </w:rPr>
                  </w:pPr>
                  <w:bookmarkStart w:id="12" w:name="OLE_LINK21"/>
                  <w:r>
                    <w:rPr>
                      <w:b w:val="0"/>
                      <w:bCs/>
                      <w:color w:val="auto"/>
                      <w:kern w:val="0"/>
                      <w:sz w:val="18"/>
                      <w:szCs w:val="18"/>
                    </w:rPr>
                    <w:t>《工业炉窑大气污染综合治理方案》</w:t>
                  </w:r>
                  <w:bookmarkEnd w:id="12"/>
                </w:p>
              </w:tc>
              <w:tc>
                <w:tcPr>
                  <w:tcW w:w="2231" w:type="pct"/>
                  <w:vAlign w:val="center"/>
                </w:tcPr>
                <w:p w14:paraId="44C6424A">
                  <w:pPr>
                    <w:adjustRightInd w:val="0"/>
                    <w:snapToGrid w:val="0"/>
                    <w:spacing w:line="320" w:lineRule="exact"/>
                    <w:rPr>
                      <w:b w:val="0"/>
                      <w:bCs/>
                      <w:color w:val="auto"/>
                      <w:sz w:val="18"/>
                      <w:szCs w:val="18"/>
                    </w:rPr>
                  </w:pPr>
                  <w:r>
                    <w:rPr>
                      <w:rFonts w:hint="eastAsia"/>
                      <w:b w:val="0"/>
                      <w:bCs/>
                      <w:color w:val="auto"/>
                      <w:sz w:val="18"/>
                      <w:szCs w:val="18"/>
                    </w:rPr>
                    <w:t>（1）加大产业结构调整力度。严格建设项目环境准入。新建涉工业炉窑的建设项目，原则上要入园区，配套建设高效环保治理设施。重点区域严格控制涉工业炉窑建设项目，严禁新增钢铁、焦化、电解铝、铸造、水泥和平板玻璃等产能；严格执行钢铁、水泥、平板玻璃等行业产能置换实施办法；原则上禁止新建燃料类煤气发生炉（园区现有企业统一建设的清洁煤制气中心除外）。</w:t>
                  </w:r>
                </w:p>
                <w:p w14:paraId="729CDFFC">
                  <w:pPr>
                    <w:adjustRightInd w:val="0"/>
                    <w:snapToGrid w:val="0"/>
                    <w:spacing w:line="320" w:lineRule="exact"/>
                    <w:rPr>
                      <w:b w:val="0"/>
                      <w:bCs/>
                      <w:color w:val="auto"/>
                      <w:sz w:val="18"/>
                      <w:szCs w:val="18"/>
                    </w:rPr>
                  </w:pPr>
                  <w:r>
                    <w:rPr>
                      <w:rFonts w:hint="eastAsia"/>
                      <w:b w:val="0"/>
                      <w:bCs/>
                      <w:color w:val="auto"/>
                      <w:sz w:val="18"/>
                      <w:szCs w:val="18"/>
                    </w:rPr>
                    <w:t>（2）加快淘汰燃煤工业炉窑。重点区域取缔燃煤热风炉，基本淘汰热电联产供热管网覆盖范围内的燃煤加热、烘干炉（窑）。加快推动铸造（10吨/小时及以下）、岩棉等行业冲天炉改为电炉。</w:t>
                  </w:r>
                </w:p>
                <w:p w14:paraId="3181ADD2">
                  <w:pPr>
                    <w:adjustRightInd w:val="0"/>
                    <w:snapToGrid w:val="0"/>
                    <w:spacing w:line="320" w:lineRule="exact"/>
                    <w:rPr>
                      <w:color w:val="auto"/>
                      <w:sz w:val="18"/>
                      <w:szCs w:val="18"/>
                    </w:rPr>
                  </w:pPr>
                  <w:r>
                    <w:rPr>
                      <w:rFonts w:hint="eastAsia"/>
                      <w:b w:val="0"/>
                      <w:bCs/>
                      <w:color w:val="auto"/>
                      <w:sz w:val="18"/>
                      <w:szCs w:val="18"/>
                    </w:rPr>
                    <w:t>（3）开展工业园区和产业集群综合整治。各地要加大涉工业炉窑类工业园区和产业集群的综合整治力度，结合“三线一单”、规划环评等要求，进一步梳理确定园区和产业发展定位、规模及结构等。制定综合整治方案，对标先进企业，从生产工艺、产能规模、燃料类型、污染治理等方面提出明确要求，提升产业发展质量和环保治理水平。</w:t>
                  </w:r>
                </w:p>
              </w:tc>
              <w:tc>
                <w:tcPr>
                  <w:tcW w:w="1506" w:type="pct"/>
                  <w:vAlign w:val="center"/>
                </w:tcPr>
                <w:p w14:paraId="107DB3FB">
                  <w:pPr>
                    <w:widowControl/>
                    <w:snapToGrid w:val="0"/>
                    <w:spacing w:line="320" w:lineRule="exact"/>
                    <w:rPr>
                      <w:b w:val="0"/>
                      <w:bCs/>
                      <w:color w:val="auto"/>
                      <w:sz w:val="18"/>
                      <w:szCs w:val="18"/>
                    </w:rPr>
                  </w:pPr>
                  <w:r>
                    <w:rPr>
                      <w:rFonts w:hint="eastAsia"/>
                      <w:b w:val="0"/>
                      <w:bCs/>
                      <w:color w:val="auto"/>
                      <w:kern w:val="0"/>
                      <w:sz w:val="18"/>
                      <w:szCs w:val="18"/>
                    </w:rPr>
                    <w:t>（1）</w:t>
                  </w:r>
                  <w:r>
                    <w:rPr>
                      <w:rFonts w:hint="eastAsia"/>
                      <w:b w:val="0"/>
                      <w:bCs/>
                      <w:color w:val="auto"/>
                      <w:sz w:val="18"/>
                      <w:szCs w:val="18"/>
                    </w:rPr>
                    <w:t>本项目使用的</w:t>
                  </w:r>
                  <w:r>
                    <w:rPr>
                      <w:rFonts w:hint="eastAsia"/>
                      <w:b w:val="0"/>
                      <w:bCs/>
                      <w:color w:val="auto"/>
                      <w:sz w:val="18"/>
                      <w:szCs w:val="18"/>
                      <w:lang w:val="en-US" w:eastAsia="zh-CN"/>
                    </w:rPr>
                    <w:t>集中熔铝炉</w:t>
                  </w:r>
                  <w:r>
                    <w:rPr>
                      <w:rFonts w:hint="eastAsia"/>
                      <w:b w:val="0"/>
                      <w:bCs/>
                      <w:color w:val="auto"/>
                      <w:sz w:val="18"/>
                      <w:szCs w:val="18"/>
                    </w:rPr>
                    <w:t>属于工业炉窑，项目位于</w:t>
                  </w:r>
                  <w:r>
                    <w:rPr>
                      <w:rFonts w:hint="eastAsia"/>
                      <w:b w:val="0"/>
                      <w:bCs/>
                      <w:color w:val="auto"/>
                      <w:kern w:val="0"/>
                      <w:sz w:val="18"/>
                      <w:szCs w:val="18"/>
                    </w:rPr>
                    <w:t>皖江江南新兴产业集中区</w:t>
                  </w:r>
                  <w:r>
                    <w:rPr>
                      <w:rFonts w:hint="eastAsia"/>
                      <w:b w:val="0"/>
                      <w:bCs/>
                      <w:color w:val="auto"/>
                      <w:sz w:val="18"/>
                      <w:szCs w:val="18"/>
                    </w:rPr>
                    <w:t>，</w:t>
                  </w:r>
                  <w:r>
                    <w:rPr>
                      <w:rFonts w:hint="eastAsia"/>
                      <w:b w:val="0"/>
                      <w:bCs/>
                      <w:color w:val="auto"/>
                      <w:sz w:val="18"/>
                      <w:szCs w:val="18"/>
                      <w:lang w:val="en-US" w:eastAsia="zh-CN"/>
                    </w:rPr>
                    <w:t>不属于重点区域</w:t>
                  </w:r>
                  <w:r>
                    <w:rPr>
                      <w:rFonts w:hint="eastAsia"/>
                      <w:b w:val="0"/>
                      <w:bCs/>
                      <w:color w:val="auto"/>
                      <w:sz w:val="18"/>
                      <w:szCs w:val="18"/>
                    </w:rPr>
                    <w:t>。项目不涉及新增钢铁、焦化、电解铝、铸造、水泥和平板玻璃等产能。项目不使用煤气发生炉。</w:t>
                  </w:r>
                </w:p>
                <w:p w14:paraId="118BA94D">
                  <w:pPr>
                    <w:widowControl/>
                    <w:snapToGrid w:val="0"/>
                    <w:spacing w:line="320" w:lineRule="exact"/>
                    <w:rPr>
                      <w:b w:val="0"/>
                      <w:bCs/>
                      <w:color w:val="auto"/>
                      <w:sz w:val="18"/>
                      <w:szCs w:val="18"/>
                    </w:rPr>
                  </w:pPr>
                  <w:r>
                    <w:rPr>
                      <w:rFonts w:hint="eastAsia"/>
                      <w:b w:val="0"/>
                      <w:bCs/>
                      <w:color w:val="auto"/>
                      <w:sz w:val="18"/>
                      <w:szCs w:val="18"/>
                    </w:rPr>
                    <w:t>（2）本项目</w:t>
                  </w:r>
                  <w:r>
                    <w:rPr>
                      <w:rFonts w:hint="eastAsia"/>
                      <w:b w:val="0"/>
                      <w:bCs/>
                      <w:color w:val="auto"/>
                      <w:sz w:val="18"/>
                      <w:szCs w:val="18"/>
                      <w:lang w:eastAsia="zh-CN"/>
                    </w:rPr>
                    <w:t>熔炼炉</w:t>
                  </w:r>
                  <w:r>
                    <w:rPr>
                      <w:rFonts w:hint="eastAsia"/>
                      <w:b w:val="0"/>
                      <w:bCs/>
                      <w:color w:val="auto"/>
                      <w:sz w:val="18"/>
                      <w:szCs w:val="18"/>
                    </w:rPr>
                    <w:t>使用燃料为天然气，属于清洁能源。</w:t>
                  </w:r>
                </w:p>
                <w:p w14:paraId="3636DCB5">
                  <w:pPr>
                    <w:widowControl/>
                    <w:snapToGrid w:val="0"/>
                    <w:spacing w:line="320" w:lineRule="exact"/>
                    <w:rPr>
                      <w:color w:val="auto"/>
                      <w:sz w:val="18"/>
                      <w:szCs w:val="18"/>
                    </w:rPr>
                  </w:pPr>
                  <w:r>
                    <w:rPr>
                      <w:rFonts w:hint="eastAsia"/>
                      <w:b w:val="0"/>
                      <w:bCs/>
                      <w:color w:val="auto"/>
                      <w:sz w:val="18"/>
                      <w:szCs w:val="18"/>
                    </w:rPr>
                    <w:t>（3）本项目位于</w:t>
                  </w:r>
                  <w:r>
                    <w:rPr>
                      <w:rFonts w:hint="eastAsia"/>
                      <w:b w:val="0"/>
                      <w:bCs/>
                      <w:color w:val="auto"/>
                      <w:kern w:val="0"/>
                      <w:sz w:val="18"/>
                      <w:szCs w:val="18"/>
                    </w:rPr>
                    <w:t>皖江江南新兴产业集中区，符合《皖江江南新兴产业集中区总体规划（201</w:t>
                  </w:r>
                  <w:r>
                    <w:rPr>
                      <w:rFonts w:hint="eastAsia"/>
                      <w:b w:val="0"/>
                      <w:bCs/>
                      <w:color w:val="auto"/>
                      <w:kern w:val="0"/>
                      <w:sz w:val="18"/>
                      <w:szCs w:val="18"/>
                      <w:lang w:val="en-US" w:eastAsia="zh-CN"/>
                    </w:rPr>
                    <w:t>9</w:t>
                  </w:r>
                  <w:r>
                    <w:rPr>
                      <w:rFonts w:hint="eastAsia"/>
                      <w:b w:val="0"/>
                      <w:bCs/>
                      <w:color w:val="auto"/>
                      <w:kern w:val="0"/>
                      <w:sz w:val="18"/>
                      <w:szCs w:val="18"/>
                    </w:rPr>
                    <w:t>-2030）和三线一单要求。项目铝料</w:t>
                  </w:r>
                  <w:r>
                    <w:rPr>
                      <w:rFonts w:hint="eastAsia"/>
                      <w:b w:val="0"/>
                      <w:bCs/>
                      <w:color w:val="auto"/>
                      <w:kern w:val="0"/>
                      <w:sz w:val="18"/>
                      <w:szCs w:val="18"/>
                      <w:lang w:eastAsia="zh-CN"/>
                    </w:rPr>
                    <w:t>熔化</w:t>
                  </w:r>
                  <w:r>
                    <w:rPr>
                      <w:rFonts w:hint="eastAsia"/>
                      <w:b w:val="0"/>
                      <w:bCs/>
                      <w:color w:val="auto"/>
                      <w:kern w:val="0"/>
                      <w:sz w:val="18"/>
                      <w:szCs w:val="18"/>
                    </w:rPr>
                    <w:t>、</w:t>
                  </w:r>
                  <w:r>
                    <w:rPr>
                      <w:rFonts w:hint="eastAsia"/>
                      <w:b w:val="0"/>
                      <w:bCs/>
                      <w:color w:val="auto"/>
                      <w:kern w:val="0"/>
                      <w:sz w:val="18"/>
                      <w:szCs w:val="18"/>
                      <w:lang w:val="en-US" w:eastAsia="zh-CN"/>
                    </w:rPr>
                    <w:t>除渣</w:t>
                  </w:r>
                  <w:r>
                    <w:rPr>
                      <w:rFonts w:hint="eastAsia"/>
                      <w:b w:val="0"/>
                      <w:bCs/>
                      <w:color w:val="auto"/>
                      <w:kern w:val="0"/>
                      <w:sz w:val="18"/>
                      <w:szCs w:val="18"/>
                    </w:rPr>
                    <w:t>过程为密闭设计，</w:t>
                  </w:r>
                  <w:r>
                    <w:rPr>
                      <w:rFonts w:hint="eastAsia"/>
                      <w:b w:val="0"/>
                      <w:bCs/>
                      <w:color w:val="auto"/>
                      <w:kern w:val="0"/>
                      <w:sz w:val="18"/>
                      <w:szCs w:val="18"/>
                      <w:lang w:eastAsia="zh-CN"/>
                    </w:rPr>
                    <w:t>熔化</w:t>
                  </w:r>
                  <w:r>
                    <w:rPr>
                      <w:rFonts w:hint="eastAsia"/>
                      <w:b w:val="0"/>
                      <w:bCs/>
                      <w:color w:val="auto"/>
                      <w:kern w:val="0"/>
                      <w:sz w:val="18"/>
                      <w:szCs w:val="18"/>
                    </w:rPr>
                    <w:t>、</w:t>
                  </w:r>
                  <w:r>
                    <w:rPr>
                      <w:rFonts w:hint="eastAsia"/>
                      <w:b w:val="0"/>
                      <w:bCs/>
                      <w:color w:val="auto"/>
                      <w:kern w:val="0"/>
                      <w:sz w:val="18"/>
                      <w:szCs w:val="18"/>
                      <w:lang w:val="en-US" w:eastAsia="zh-CN"/>
                    </w:rPr>
                    <w:t>除渣</w:t>
                  </w:r>
                  <w:r>
                    <w:rPr>
                      <w:rFonts w:hint="eastAsia"/>
                      <w:b w:val="0"/>
                      <w:bCs/>
                      <w:color w:val="auto"/>
                      <w:kern w:val="0"/>
                      <w:sz w:val="18"/>
                      <w:szCs w:val="18"/>
                    </w:rPr>
                    <w:t>废气经集气罩收集后</w:t>
                  </w:r>
                  <w:r>
                    <w:rPr>
                      <w:rFonts w:hint="eastAsia"/>
                      <w:b w:val="0"/>
                      <w:bCs/>
                      <w:color w:val="auto"/>
                      <w:kern w:val="0"/>
                      <w:sz w:val="18"/>
                      <w:szCs w:val="18"/>
                      <w:lang w:val="en-US" w:eastAsia="zh-CN"/>
                    </w:rPr>
                    <w:t>通过</w:t>
                  </w:r>
                  <w:r>
                    <w:rPr>
                      <w:rFonts w:hint="eastAsia"/>
                      <w:b w:val="0"/>
                      <w:bCs/>
                      <w:color w:val="auto"/>
                      <w:kern w:val="0"/>
                      <w:sz w:val="18"/>
                      <w:szCs w:val="18"/>
                    </w:rPr>
                    <w:t>袋式除尘器处理。</w:t>
                  </w:r>
                </w:p>
              </w:tc>
              <w:tc>
                <w:tcPr>
                  <w:tcW w:w="448" w:type="pct"/>
                  <w:vAlign w:val="center"/>
                </w:tcPr>
                <w:p w14:paraId="232520A3">
                  <w:pPr>
                    <w:spacing w:line="320" w:lineRule="exact"/>
                    <w:jc w:val="center"/>
                    <w:rPr>
                      <w:color w:val="auto"/>
                      <w:sz w:val="18"/>
                      <w:szCs w:val="18"/>
                    </w:rPr>
                  </w:pPr>
                  <w:r>
                    <w:rPr>
                      <w:rFonts w:hint="eastAsia"/>
                      <w:b w:val="0"/>
                      <w:bCs/>
                      <w:color w:val="auto"/>
                      <w:kern w:val="0"/>
                      <w:sz w:val="18"/>
                      <w:szCs w:val="18"/>
                    </w:rPr>
                    <w:t>符合</w:t>
                  </w:r>
                </w:p>
              </w:tc>
            </w:tr>
          </w:tbl>
          <w:p w14:paraId="3BDAD736">
            <w:pPr>
              <w:pStyle w:val="25"/>
              <w:numPr>
                <w:ilvl w:val="0"/>
                <w:numId w:val="0"/>
              </w:numPr>
              <w:rPr>
                <w:rFonts w:hint="default" w:cs="Times New Roman"/>
                <w:b/>
                <w:bCs/>
                <w:color w:val="auto"/>
                <w:sz w:val="24"/>
                <w:szCs w:val="24"/>
                <w:lang w:val="en-US" w:eastAsia="zh-CN"/>
              </w:rPr>
            </w:pPr>
            <w:r>
              <w:rPr>
                <w:rFonts w:hint="eastAsia" w:cs="Times New Roman"/>
                <w:b/>
                <w:bCs/>
                <w:color w:val="auto"/>
                <w:sz w:val="24"/>
                <w:szCs w:val="24"/>
                <w:lang w:val="en-US" w:eastAsia="zh-CN"/>
              </w:rPr>
              <w:t>11、与《安徽省人民政府关于印发安徽省空气质量持续改善行动方案的通知》（皖政[2024]36号）符合性分析</w:t>
            </w:r>
          </w:p>
          <w:p w14:paraId="76801044">
            <w:pPr>
              <w:ind w:firstLine="480" w:firstLineChars="200"/>
              <w:rPr>
                <w:rFonts w:hint="eastAsia" w:ascii="Times New Roman" w:hAnsi="Times New Roman" w:eastAsia="宋体" w:cs="Times New Roman"/>
                <w:color w:val="auto"/>
                <w:lang w:val="en-US" w:eastAsia="zh-CN"/>
              </w:rPr>
            </w:pPr>
            <w:r>
              <w:rPr>
                <w:rFonts w:ascii="Times New Roman" w:hAnsi="Times New Roman" w:eastAsia="宋体" w:cs="Times New Roman"/>
                <w:color w:val="auto"/>
              </w:rPr>
              <w:t>本项目与</w:t>
            </w:r>
            <w:r>
              <w:rPr>
                <w:rFonts w:hint="eastAsia" w:ascii="Times New Roman" w:hAnsi="Times New Roman" w:eastAsia="宋体" w:cs="Times New Roman"/>
                <w:color w:val="auto"/>
              </w:rPr>
              <w:t>《安徽省人民政府关于印发安徽省空气质量持续改善行动方案的通知》（皖政[2024]36号）符合性分析</w:t>
            </w:r>
            <w:r>
              <w:rPr>
                <w:rFonts w:hint="eastAsia" w:ascii="Times New Roman" w:hAnsi="Times New Roman" w:eastAsia="宋体" w:cs="Times New Roman"/>
                <w:color w:val="auto"/>
                <w:lang w:val="en-US" w:eastAsia="zh-CN"/>
              </w:rPr>
              <w:t>如下。</w:t>
            </w:r>
          </w:p>
          <w:p w14:paraId="088F873A">
            <w:pPr>
              <w:jc w:val="center"/>
              <w:rPr>
                <w:rFonts w:eastAsia="黑体"/>
                <w:bCs/>
                <w:color w:val="auto"/>
                <w:szCs w:val="24"/>
              </w:rPr>
            </w:pPr>
            <w:r>
              <w:rPr>
                <w:rFonts w:hint="eastAsia" w:eastAsia="黑体"/>
                <w:bCs/>
                <w:color w:val="auto"/>
                <w:szCs w:val="24"/>
              </w:rPr>
              <w:t>表</w:t>
            </w:r>
            <w:r>
              <w:rPr>
                <w:rFonts w:eastAsia="黑体"/>
                <w:bCs/>
                <w:color w:val="auto"/>
                <w:szCs w:val="24"/>
              </w:rPr>
              <w:t>1-</w:t>
            </w:r>
            <w:r>
              <w:rPr>
                <w:rFonts w:hint="eastAsia" w:eastAsia="黑体"/>
                <w:bCs/>
                <w:color w:val="auto"/>
                <w:szCs w:val="24"/>
                <w:lang w:val="en-US" w:eastAsia="zh-CN"/>
              </w:rPr>
              <w:t>13</w:t>
            </w:r>
            <w:r>
              <w:rPr>
                <w:rFonts w:eastAsia="黑体"/>
                <w:bCs/>
                <w:color w:val="auto"/>
                <w:szCs w:val="24"/>
              </w:rPr>
              <w:t xml:space="preserve">  </w:t>
            </w:r>
            <w:r>
              <w:rPr>
                <w:rFonts w:hint="eastAsia" w:eastAsia="黑体"/>
                <w:bCs/>
                <w:color w:val="auto"/>
                <w:szCs w:val="24"/>
              </w:rPr>
              <w:t>与《安徽省人民政府关于印发安徽省空气质量持续改善行动方案的通知》的符合性分析</w:t>
            </w:r>
          </w:p>
          <w:tbl>
            <w:tblPr>
              <w:tblStyle w:val="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3726"/>
              <w:gridCol w:w="2515"/>
              <w:gridCol w:w="748"/>
            </w:tblGrid>
            <w:tr w14:paraId="0B29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Align w:val="center"/>
                </w:tcPr>
                <w:p w14:paraId="152BC88D">
                  <w:pPr>
                    <w:spacing w:line="240" w:lineRule="auto"/>
                    <w:jc w:val="center"/>
                    <w:rPr>
                      <w:color w:val="auto"/>
                      <w:sz w:val="18"/>
                      <w:szCs w:val="18"/>
                    </w:rPr>
                  </w:pPr>
                  <w:r>
                    <w:rPr>
                      <w:color w:val="auto"/>
                      <w:sz w:val="18"/>
                      <w:szCs w:val="18"/>
                    </w:rPr>
                    <w:t>政策名称</w:t>
                  </w:r>
                </w:p>
              </w:tc>
              <w:tc>
                <w:tcPr>
                  <w:tcW w:w="2231" w:type="pct"/>
                  <w:vAlign w:val="center"/>
                </w:tcPr>
                <w:p w14:paraId="121F80F7">
                  <w:pPr>
                    <w:spacing w:line="240" w:lineRule="auto"/>
                    <w:jc w:val="center"/>
                    <w:rPr>
                      <w:color w:val="auto"/>
                      <w:sz w:val="18"/>
                      <w:szCs w:val="18"/>
                    </w:rPr>
                  </w:pPr>
                  <w:r>
                    <w:rPr>
                      <w:color w:val="auto"/>
                      <w:sz w:val="18"/>
                      <w:szCs w:val="18"/>
                    </w:rPr>
                    <w:t>相关要求</w:t>
                  </w:r>
                </w:p>
              </w:tc>
              <w:tc>
                <w:tcPr>
                  <w:tcW w:w="1506" w:type="pct"/>
                  <w:vAlign w:val="center"/>
                </w:tcPr>
                <w:p w14:paraId="523228A2">
                  <w:pPr>
                    <w:spacing w:line="240" w:lineRule="auto"/>
                    <w:jc w:val="center"/>
                    <w:rPr>
                      <w:color w:val="auto"/>
                      <w:sz w:val="18"/>
                      <w:szCs w:val="18"/>
                    </w:rPr>
                  </w:pPr>
                  <w:r>
                    <w:rPr>
                      <w:color w:val="auto"/>
                      <w:sz w:val="18"/>
                      <w:szCs w:val="18"/>
                    </w:rPr>
                    <w:t>本项目建设情况</w:t>
                  </w:r>
                </w:p>
              </w:tc>
              <w:tc>
                <w:tcPr>
                  <w:tcW w:w="448" w:type="pct"/>
                  <w:vAlign w:val="center"/>
                </w:tcPr>
                <w:p w14:paraId="10DC6C04">
                  <w:pPr>
                    <w:spacing w:line="240" w:lineRule="auto"/>
                    <w:jc w:val="center"/>
                    <w:rPr>
                      <w:color w:val="auto"/>
                      <w:sz w:val="18"/>
                      <w:szCs w:val="18"/>
                    </w:rPr>
                  </w:pPr>
                  <w:r>
                    <w:rPr>
                      <w:color w:val="auto"/>
                      <w:sz w:val="18"/>
                      <w:szCs w:val="18"/>
                    </w:rPr>
                    <w:t>符合性</w:t>
                  </w:r>
                </w:p>
              </w:tc>
            </w:tr>
            <w:tr w14:paraId="0C11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restart"/>
                  <w:vAlign w:val="center"/>
                </w:tcPr>
                <w:p w14:paraId="05F2409D">
                  <w:pPr>
                    <w:spacing w:line="240" w:lineRule="auto"/>
                    <w:jc w:val="center"/>
                    <w:rPr>
                      <w:color w:val="auto"/>
                      <w:sz w:val="18"/>
                      <w:szCs w:val="18"/>
                    </w:rPr>
                  </w:pPr>
                  <w:r>
                    <w:rPr>
                      <w:rFonts w:hint="eastAsia"/>
                      <w:color w:val="auto"/>
                      <w:sz w:val="18"/>
                      <w:szCs w:val="18"/>
                    </w:rPr>
                    <w:t>《安徽省人民政府关于印发安徽省空气质量持续改善行动方案的通知》（皖政[2024]36号）</w:t>
                  </w:r>
                </w:p>
              </w:tc>
              <w:tc>
                <w:tcPr>
                  <w:tcW w:w="2231" w:type="pct"/>
                  <w:vAlign w:val="center"/>
                </w:tcPr>
                <w:p w14:paraId="5780F3EE">
                  <w:pPr>
                    <w:spacing w:line="240" w:lineRule="auto"/>
                    <w:jc w:val="both"/>
                    <w:rPr>
                      <w:rFonts w:hint="eastAsia"/>
                      <w:color w:val="auto"/>
                      <w:sz w:val="18"/>
                      <w:szCs w:val="18"/>
                    </w:rPr>
                  </w:pPr>
                  <w:r>
                    <w:rPr>
                      <w:rFonts w:hint="eastAsia"/>
                      <w:color w:val="auto"/>
                      <w:sz w:val="18"/>
                      <w:szCs w:val="18"/>
                    </w:rPr>
                    <w:t>二、优化调整产业结构布局</w:t>
                  </w:r>
                </w:p>
                <w:p w14:paraId="05FAC99B">
                  <w:pPr>
                    <w:spacing w:line="240" w:lineRule="auto"/>
                    <w:jc w:val="center"/>
                    <w:rPr>
                      <w:rFonts w:hint="eastAsia"/>
                      <w:color w:val="auto"/>
                      <w:sz w:val="18"/>
                      <w:szCs w:val="18"/>
                    </w:rPr>
                  </w:pPr>
                  <w:r>
                    <w:rPr>
                      <w:rFonts w:hint="eastAsia"/>
                      <w:color w:val="auto"/>
                      <w:sz w:val="18"/>
                      <w:szCs w:val="18"/>
                    </w:rPr>
                    <w:t>（三）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实施“高污染、高耗能”项目部门联审，源头管控低水平项目上马。制定实施安徽省加强生态环境分区管控方案。严格落实产能置换要求，不以任何名义、任何方式核准、备案产能严重过剩行业新增产能项目，被置换产能及其配套设施关停后，新建项目方可投产。</w:t>
                  </w:r>
                </w:p>
                <w:p w14:paraId="43F359BF">
                  <w:pPr>
                    <w:spacing w:line="240" w:lineRule="auto"/>
                    <w:jc w:val="center"/>
                    <w:rPr>
                      <w:color w:val="auto"/>
                      <w:sz w:val="18"/>
                      <w:szCs w:val="18"/>
                    </w:rPr>
                  </w:pPr>
                  <w:r>
                    <w:rPr>
                      <w:rFonts w:hint="eastAsia"/>
                      <w:color w:val="auto"/>
                      <w:sz w:val="18"/>
                      <w:szCs w:val="18"/>
                    </w:rPr>
                    <w:t>（四）有序推动落后产能淘汰。严格执行《产业结构调整指导目录》。综合运用能耗、环保、质量、安全、技术等要求，依法依规推动落后产能退出，逐步退出限制类涉气行业工艺和装备。有序推动生产设施老旧、工艺水平落后、环境管理水平低下的独立焦化、烧结、球团、热轧企业和落后煤炭洗选企业退出市场。逐步淘汰步进式烧结机和球团竖炉以及半封闭式硅锰合金、镍铁、高碳铬铁、高碳锰铁电炉。严禁违规新增钢铁、水泥（熟料）、焦化、电解铝、平板玻璃（不含光伏压延玻璃）产能。鼓励钢铁行业龙头企业实施兼并重组，到2025 年，短流程炼钢产量占比达15%。</w:t>
                  </w:r>
                </w:p>
              </w:tc>
              <w:tc>
                <w:tcPr>
                  <w:tcW w:w="1506" w:type="pct"/>
                  <w:vAlign w:val="center"/>
                </w:tcPr>
                <w:p w14:paraId="7BEF6FA4">
                  <w:pPr>
                    <w:spacing w:line="240" w:lineRule="auto"/>
                    <w:jc w:val="center"/>
                    <w:rPr>
                      <w:color w:val="auto"/>
                      <w:sz w:val="18"/>
                      <w:szCs w:val="18"/>
                    </w:rPr>
                  </w:pPr>
                  <w:r>
                    <w:rPr>
                      <w:rFonts w:hint="eastAsia"/>
                      <w:color w:val="auto"/>
                      <w:sz w:val="18"/>
                      <w:szCs w:val="18"/>
                      <w:lang w:val="en-US" w:eastAsia="zh-CN"/>
                    </w:rPr>
                    <w:t>本项目属于C3392 有色金属铸造，不属于“两高”项目，产品为高端工业铝件，应用于汽车零部件</w:t>
                  </w:r>
                  <w:r>
                    <w:rPr>
                      <w:rFonts w:hint="eastAsia"/>
                      <w:color w:val="auto"/>
                      <w:sz w:val="18"/>
                      <w:szCs w:val="18"/>
                    </w:rPr>
                    <w:t>。本项目主要涉及生产设备为</w:t>
                  </w:r>
                  <w:r>
                    <w:rPr>
                      <w:rFonts w:hint="eastAsia"/>
                      <w:color w:val="auto"/>
                      <w:sz w:val="18"/>
                      <w:szCs w:val="18"/>
                      <w:lang w:val="en-US" w:eastAsia="zh-CN"/>
                    </w:rPr>
                    <w:t>集中熔铝炉</w:t>
                  </w:r>
                  <w:r>
                    <w:rPr>
                      <w:rFonts w:hint="eastAsia"/>
                      <w:color w:val="auto"/>
                      <w:sz w:val="18"/>
                      <w:szCs w:val="18"/>
                    </w:rPr>
                    <w:t>、</w:t>
                  </w:r>
                  <w:r>
                    <w:rPr>
                      <w:rFonts w:hint="eastAsia"/>
                      <w:color w:val="auto"/>
                      <w:sz w:val="18"/>
                      <w:szCs w:val="18"/>
                      <w:lang w:val="en-US" w:eastAsia="zh-CN"/>
                    </w:rPr>
                    <w:t>压铸</w:t>
                  </w:r>
                  <w:r>
                    <w:rPr>
                      <w:rFonts w:hint="eastAsia"/>
                      <w:color w:val="auto"/>
                      <w:sz w:val="18"/>
                      <w:szCs w:val="18"/>
                    </w:rPr>
                    <w:t>机，通过熔炼、压铸等生产工艺，参照《产业结构调整指导目录》（2024 年版），本项目使用的生产设备及工艺不属于落后或淘汰生产工艺及设备，满足政策要求。</w:t>
                  </w:r>
                </w:p>
              </w:tc>
              <w:tc>
                <w:tcPr>
                  <w:tcW w:w="448" w:type="pct"/>
                  <w:vAlign w:val="center"/>
                </w:tcPr>
                <w:p w14:paraId="082660FC">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符合</w:t>
                  </w:r>
                </w:p>
              </w:tc>
            </w:tr>
            <w:tr w14:paraId="7DBB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25D795F1">
                  <w:pPr>
                    <w:spacing w:line="240" w:lineRule="auto"/>
                    <w:jc w:val="center"/>
                    <w:rPr>
                      <w:rFonts w:hint="eastAsia"/>
                      <w:color w:val="auto"/>
                      <w:sz w:val="18"/>
                      <w:szCs w:val="18"/>
                    </w:rPr>
                  </w:pPr>
                </w:p>
              </w:tc>
              <w:tc>
                <w:tcPr>
                  <w:tcW w:w="2231" w:type="pct"/>
                  <w:vAlign w:val="center"/>
                </w:tcPr>
                <w:p w14:paraId="400C7D62">
                  <w:pPr>
                    <w:spacing w:line="240" w:lineRule="auto"/>
                    <w:jc w:val="both"/>
                    <w:rPr>
                      <w:rFonts w:hint="eastAsia"/>
                      <w:color w:val="auto"/>
                      <w:sz w:val="18"/>
                      <w:szCs w:val="18"/>
                    </w:rPr>
                  </w:pPr>
                  <w:r>
                    <w:rPr>
                      <w:rFonts w:hint="eastAsia"/>
                      <w:color w:val="auto"/>
                      <w:sz w:val="18"/>
                      <w:szCs w:val="18"/>
                    </w:rPr>
                    <w:t>三、加快能源结构绿色低碳转型</w:t>
                  </w:r>
                </w:p>
                <w:p w14:paraId="1F9C10E9">
                  <w:pPr>
                    <w:spacing w:line="240" w:lineRule="auto"/>
                    <w:jc w:val="center"/>
                    <w:rPr>
                      <w:rFonts w:hint="eastAsia"/>
                      <w:color w:val="auto"/>
                      <w:sz w:val="18"/>
                      <w:szCs w:val="18"/>
                    </w:rPr>
                  </w:pPr>
                  <w:r>
                    <w:rPr>
                      <w:rFonts w:hint="eastAsia"/>
                      <w:color w:val="auto"/>
                      <w:sz w:val="18"/>
                      <w:szCs w:val="18"/>
                    </w:rPr>
                    <w:t>（七）加快推广使用清洁能源。深入实施风电光伏发电装机倍增工程，提高电能占终端能源消费比重。到2025年，非化石能源消费比重达到15.5%以上，电能占终端能源消费比重达到30%左右。加快推进天然气入皖管道建设，提升城镇燃气管网覆盖率，增强天然气供应能力，新增天然气优先保障居民生活和清洁取暖需求。</w:t>
                  </w:r>
                </w:p>
              </w:tc>
              <w:tc>
                <w:tcPr>
                  <w:tcW w:w="1506" w:type="pct"/>
                  <w:vAlign w:val="center"/>
                </w:tcPr>
                <w:p w14:paraId="52EBDBA1">
                  <w:pPr>
                    <w:spacing w:line="240" w:lineRule="auto"/>
                    <w:jc w:val="center"/>
                    <w:rPr>
                      <w:rFonts w:hint="eastAsia"/>
                      <w:color w:val="auto"/>
                      <w:sz w:val="18"/>
                      <w:szCs w:val="18"/>
                      <w:lang w:val="en-US" w:eastAsia="zh-CN"/>
                    </w:rPr>
                  </w:pPr>
                  <w:r>
                    <w:rPr>
                      <w:rFonts w:hint="eastAsia"/>
                      <w:color w:val="auto"/>
                      <w:sz w:val="18"/>
                      <w:szCs w:val="18"/>
                      <w:lang w:val="en-US" w:eastAsia="zh-CN"/>
                    </w:rPr>
                    <w:t>本项目生产设备主要采用电能或天然气，且园区内天然气管道已经铺设至本项目所在地，使用能源均为清洁能源，满足政策要求。</w:t>
                  </w:r>
                </w:p>
              </w:tc>
              <w:tc>
                <w:tcPr>
                  <w:tcW w:w="448" w:type="pct"/>
                  <w:vAlign w:val="center"/>
                </w:tcPr>
                <w:p w14:paraId="31235E62">
                  <w:pPr>
                    <w:spacing w:line="240" w:lineRule="auto"/>
                    <w:jc w:val="center"/>
                    <w:rPr>
                      <w:rFonts w:hint="eastAsia"/>
                      <w:color w:val="auto"/>
                      <w:sz w:val="18"/>
                      <w:szCs w:val="18"/>
                      <w:lang w:val="en-US" w:eastAsia="zh-CN"/>
                    </w:rPr>
                  </w:pPr>
                  <w:r>
                    <w:rPr>
                      <w:rFonts w:hint="eastAsia"/>
                      <w:color w:val="auto"/>
                      <w:sz w:val="18"/>
                      <w:szCs w:val="18"/>
                      <w:lang w:val="en-US" w:eastAsia="zh-CN"/>
                    </w:rPr>
                    <w:t>符合</w:t>
                  </w:r>
                </w:p>
              </w:tc>
            </w:tr>
            <w:tr w14:paraId="07FD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0B558898">
                  <w:pPr>
                    <w:spacing w:line="240" w:lineRule="auto"/>
                    <w:jc w:val="center"/>
                    <w:rPr>
                      <w:rFonts w:hint="eastAsia"/>
                      <w:color w:val="auto"/>
                      <w:sz w:val="18"/>
                      <w:szCs w:val="18"/>
                    </w:rPr>
                  </w:pPr>
                </w:p>
              </w:tc>
              <w:tc>
                <w:tcPr>
                  <w:tcW w:w="2231" w:type="pct"/>
                  <w:vAlign w:val="center"/>
                </w:tcPr>
                <w:p w14:paraId="54B2E7CE">
                  <w:pPr>
                    <w:spacing w:line="240" w:lineRule="auto"/>
                    <w:jc w:val="both"/>
                    <w:rPr>
                      <w:rFonts w:hint="eastAsia"/>
                      <w:color w:val="auto"/>
                      <w:sz w:val="18"/>
                      <w:szCs w:val="18"/>
                    </w:rPr>
                  </w:pPr>
                  <w:r>
                    <w:rPr>
                      <w:rFonts w:hint="eastAsia"/>
                      <w:color w:val="auto"/>
                      <w:sz w:val="18"/>
                      <w:szCs w:val="18"/>
                    </w:rPr>
                    <w:t>六、推动重点行业领域污染物减排</w:t>
                  </w:r>
                </w:p>
                <w:p w14:paraId="3A64EB11">
                  <w:pPr>
                    <w:spacing w:line="240" w:lineRule="auto"/>
                    <w:jc w:val="center"/>
                    <w:rPr>
                      <w:rFonts w:hint="eastAsia"/>
                      <w:color w:val="auto"/>
                      <w:sz w:val="18"/>
                      <w:szCs w:val="18"/>
                    </w:rPr>
                  </w:pPr>
                  <w:r>
                    <w:rPr>
                      <w:rFonts w:hint="eastAsia"/>
                      <w:color w:val="auto"/>
                      <w:sz w:val="18"/>
                      <w:szCs w:val="18"/>
                    </w:rPr>
                    <w:t>（十九）加快低（无）VOCs原辅材料替代。严格控制生产和使用高VOCs含量涂料、油墨、胶粘剂、清洗剂等建设项目。推动现有高VOCs 含量产品生产企业加快产品升级转型，提高低（无）VOCs含量产品比重。加大工业涂装行业、包装印刷行业及电子行业低（无）VOCs含量原辅材料替代力度。室外构筑物防护和城市道路交通标志推广使用低（无）VOCs含量涂料。严格执行VOCs含量限值标准，确保生产、销售、进口、使用符合标准的产品。</w:t>
                  </w:r>
                </w:p>
              </w:tc>
              <w:tc>
                <w:tcPr>
                  <w:tcW w:w="1506" w:type="pct"/>
                  <w:vAlign w:val="center"/>
                </w:tcPr>
                <w:p w14:paraId="27B77693">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本项目属于C3392 有色金属铸造，不属于“两高”项目，产品为高端工业铝件，本项目生产过程中不涉及</w:t>
                  </w:r>
                  <w:r>
                    <w:rPr>
                      <w:rFonts w:hint="eastAsia"/>
                      <w:color w:val="auto"/>
                      <w:sz w:val="18"/>
                      <w:szCs w:val="18"/>
                    </w:rPr>
                    <w:t>涂料、油墨、胶粘剂、清洗剂</w:t>
                  </w:r>
                  <w:r>
                    <w:rPr>
                      <w:rFonts w:hint="eastAsia"/>
                      <w:color w:val="auto"/>
                      <w:sz w:val="18"/>
                      <w:szCs w:val="18"/>
                      <w:lang w:eastAsia="zh-CN"/>
                    </w:rPr>
                    <w:t>。</w:t>
                  </w:r>
                </w:p>
              </w:tc>
              <w:tc>
                <w:tcPr>
                  <w:tcW w:w="448" w:type="pct"/>
                  <w:vAlign w:val="center"/>
                </w:tcPr>
                <w:p w14:paraId="343A3922">
                  <w:pPr>
                    <w:spacing w:line="240" w:lineRule="auto"/>
                    <w:jc w:val="center"/>
                    <w:rPr>
                      <w:rFonts w:hint="eastAsia"/>
                      <w:color w:val="auto"/>
                      <w:sz w:val="18"/>
                      <w:szCs w:val="18"/>
                      <w:lang w:val="en-US" w:eastAsia="zh-CN"/>
                    </w:rPr>
                  </w:pPr>
                  <w:r>
                    <w:rPr>
                      <w:rFonts w:hint="eastAsia"/>
                      <w:color w:val="auto"/>
                      <w:sz w:val="18"/>
                      <w:szCs w:val="18"/>
                      <w:lang w:val="en-US" w:eastAsia="zh-CN"/>
                    </w:rPr>
                    <w:t>符合</w:t>
                  </w:r>
                </w:p>
              </w:tc>
            </w:tr>
          </w:tbl>
          <w:p w14:paraId="21607F89">
            <w:pPr>
              <w:pStyle w:val="25"/>
              <w:numPr>
                <w:ilvl w:val="0"/>
                <w:numId w:val="0"/>
              </w:numPr>
              <w:rPr>
                <w:rFonts w:hint="eastAsia" w:cs="Times New Roman"/>
                <w:b/>
                <w:bCs/>
                <w:color w:val="auto"/>
                <w:sz w:val="24"/>
                <w:szCs w:val="24"/>
                <w:lang w:val="en-US" w:eastAsia="zh-CN"/>
              </w:rPr>
            </w:pPr>
            <w:r>
              <w:rPr>
                <w:rFonts w:hint="eastAsia" w:cs="Times New Roman"/>
                <w:b/>
                <w:bCs/>
                <w:color w:val="auto"/>
                <w:sz w:val="24"/>
                <w:szCs w:val="24"/>
                <w:lang w:val="en-US" w:eastAsia="zh-CN"/>
              </w:rPr>
              <w:t>12、与《铸造企业规范条件》（</w:t>
            </w:r>
            <w:r>
              <w:rPr>
                <w:rFonts w:hint="default" w:cs="Times New Roman"/>
                <w:b/>
                <w:bCs/>
                <w:color w:val="auto"/>
                <w:sz w:val="24"/>
                <w:szCs w:val="24"/>
                <w:lang w:val="en-US" w:eastAsia="zh-CN"/>
              </w:rPr>
              <w:t>T/CFA 0310021-2019</w:t>
            </w:r>
            <w:r>
              <w:rPr>
                <w:rFonts w:hint="eastAsia" w:cs="Times New Roman"/>
                <w:b/>
                <w:bCs/>
                <w:color w:val="auto"/>
                <w:sz w:val="24"/>
                <w:szCs w:val="24"/>
                <w:lang w:val="en-US" w:eastAsia="zh-CN"/>
              </w:rPr>
              <w:t>）符合性分析</w:t>
            </w:r>
          </w:p>
          <w:p w14:paraId="230ACB50">
            <w:pPr>
              <w:jc w:val="center"/>
              <w:rPr>
                <w:rFonts w:eastAsia="黑体"/>
                <w:bCs/>
                <w:color w:val="auto"/>
                <w:szCs w:val="24"/>
              </w:rPr>
            </w:pPr>
            <w:r>
              <w:rPr>
                <w:rFonts w:hint="eastAsia" w:eastAsia="黑体"/>
                <w:bCs/>
                <w:color w:val="auto"/>
                <w:szCs w:val="24"/>
              </w:rPr>
              <w:t>表</w:t>
            </w:r>
            <w:r>
              <w:rPr>
                <w:rFonts w:eastAsia="黑体"/>
                <w:bCs/>
                <w:color w:val="auto"/>
                <w:szCs w:val="24"/>
              </w:rPr>
              <w:t>1-</w:t>
            </w:r>
            <w:r>
              <w:rPr>
                <w:rFonts w:hint="eastAsia" w:eastAsia="黑体"/>
                <w:bCs/>
                <w:color w:val="auto"/>
                <w:szCs w:val="24"/>
                <w:lang w:val="en-US" w:eastAsia="zh-CN"/>
              </w:rPr>
              <w:t>14</w:t>
            </w:r>
            <w:r>
              <w:rPr>
                <w:rFonts w:eastAsia="黑体"/>
                <w:bCs/>
                <w:color w:val="auto"/>
                <w:szCs w:val="24"/>
              </w:rPr>
              <w:t xml:space="preserve">  </w:t>
            </w:r>
            <w:r>
              <w:rPr>
                <w:rFonts w:hint="eastAsia" w:eastAsia="黑体"/>
                <w:bCs/>
                <w:color w:val="auto"/>
                <w:szCs w:val="24"/>
              </w:rPr>
              <w:t>与《铸造企业规范条件》（T/CFA 0310021-2019）的符合性分析</w:t>
            </w:r>
          </w:p>
          <w:tbl>
            <w:tblPr>
              <w:tblStyle w:val="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4296"/>
              <w:gridCol w:w="2515"/>
              <w:gridCol w:w="748"/>
            </w:tblGrid>
            <w:tr w14:paraId="3901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45" w:type="pct"/>
                  <w:gridSpan w:val="2"/>
                  <w:vAlign w:val="center"/>
                </w:tcPr>
                <w:p w14:paraId="274E324C">
                  <w:pPr>
                    <w:spacing w:line="240" w:lineRule="auto"/>
                    <w:jc w:val="center"/>
                    <w:rPr>
                      <w:color w:val="auto"/>
                      <w:sz w:val="18"/>
                      <w:szCs w:val="18"/>
                    </w:rPr>
                  </w:pPr>
                  <w:r>
                    <w:rPr>
                      <w:rFonts w:hint="eastAsia"/>
                      <w:color w:val="auto"/>
                      <w:sz w:val="18"/>
                      <w:szCs w:val="18"/>
                    </w:rPr>
                    <w:t>铸造准入条件</w:t>
                  </w:r>
                </w:p>
              </w:tc>
              <w:tc>
                <w:tcPr>
                  <w:tcW w:w="1506" w:type="pct"/>
                  <w:vAlign w:val="center"/>
                </w:tcPr>
                <w:p w14:paraId="3A87931A">
                  <w:pPr>
                    <w:spacing w:line="240" w:lineRule="auto"/>
                    <w:jc w:val="center"/>
                    <w:rPr>
                      <w:color w:val="auto"/>
                      <w:sz w:val="18"/>
                      <w:szCs w:val="18"/>
                    </w:rPr>
                  </w:pPr>
                  <w:r>
                    <w:rPr>
                      <w:color w:val="auto"/>
                      <w:sz w:val="18"/>
                      <w:szCs w:val="18"/>
                    </w:rPr>
                    <w:t>本项目建设情况</w:t>
                  </w:r>
                </w:p>
              </w:tc>
              <w:tc>
                <w:tcPr>
                  <w:tcW w:w="448" w:type="pct"/>
                  <w:vAlign w:val="center"/>
                </w:tcPr>
                <w:p w14:paraId="33AE9CF9">
                  <w:pPr>
                    <w:spacing w:line="240" w:lineRule="auto"/>
                    <w:jc w:val="center"/>
                    <w:rPr>
                      <w:color w:val="auto"/>
                      <w:sz w:val="18"/>
                      <w:szCs w:val="18"/>
                    </w:rPr>
                  </w:pPr>
                  <w:r>
                    <w:rPr>
                      <w:color w:val="auto"/>
                      <w:sz w:val="18"/>
                      <w:szCs w:val="18"/>
                    </w:rPr>
                    <w:t>符合性</w:t>
                  </w:r>
                </w:p>
              </w:tc>
            </w:tr>
            <w:tr w14:paraId="7881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3A2484F0">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建设条件与布局</w:t>
                  </w:r>
                </w:p>
              </w:tc>
              <w:tc>
                <w:tcPr>
                  <w:tcW w:w="2572" w:type="pct"/>
                  <w:vAlign w:val="center"/>
                </w:tcPr>
                <w:p w14:paraId="3D8AE086">
                  <w:pPr>
                    <w:spacing w:line="240" w:lineRule="auto"/>
                    <w:jc w:val="center"/>
                    <w:rPr>
                      <w:rFonts w:hint="eastAsia"/>
                      <w:color w:val="auto"/>
                      <w:sz w:val="18"/>
                      <w:szCs w:val="18"/>
                    </w:rPr>
                  </w:pPr>
                  <w:r>
                    <w:rPr>
                      <w:rFonts w:hint="eastAsia"/>
                      <w:color w:val="auto"/>
                      <w:sz w:val="18"/>
                      <w:szCs w:val="18"/>
                    </w:rPr>
                    <w:t>1、企业的布局及厂址的确定应符合国家相关法律法</w:t>
                  </w:r>
                </w:p>
                <w:p w14:paraId="63680084">
                  <w:pPr>
                    <w:spacing w:line="240" w:lineRule="auto"/>
                    <w:jc w:val="center"/>
                    <w:rPr>
                      <w:rFonts w:hint="eastAsia"/>
                      <w:color w:val="auto"/>
                      <w:sz w:val="18"/>
                      <w:szCs w:val="18"/>
                    </w:rPr>
                  </w:pPr>
                  <w:r>
                    <w:rPr>
                      <w:rFonts w:hint="eastAsia"/>
                      <w:color w:val="auto"/>
                      <w:sz w:val="18"/>
                      <w:szCs w:val="18"/>
                    </w:rPr>
                    <w:t>规、产业政策以及各地方政府装备制造业和铸造行业的总体规划要求。</w:t>
                  </w:r>
                </w:p>
                <w:p w14:paraId="6A039574">
                  <w:pPr>
                    <w:spacing w:line="240" w:lineRule="auto"/>
                    <w:jc w:val="center"/>
                    <w:rPr>
                      <w:rFonts w:hint="eastAsia"/>
                      <w:color w:val="auto"/>
                      <w:sz w:val="18"/>
                      <w:szCs w:val="18"/>
                    </w:rPr>
                  </w:pPr>
                  <w:r>
                    <w:rPr>
                      <w:rFonts w:hint="eastAsia"/>
                      <w:color w:val="auto"/>
                      <w:sz w:val="18"/>
                      <w:szCs w:val="18"/>
                    </w:rPr>
                    <w:t>2、企业生产场所应依法取得土地使用权并符合土地</w:t>
                  </w:r>
                </w:p>
                <w:p w14:paraId="0B636F4E">
                  <w:pPr>
                    <w:spacing w:line="240" w:lineRule="auto"/>
                    <w:jc w:val="center"/>
                    <w:rPr>
                      <w:rFonts w:hint="eastAsia"/>
                      <w:color w:val="auto"/>
                      <w:sz w:val="18"/>
                      <w:szCs w:val="18"/>
                    </w:rPr>
                  </w:pPr>
                  <w:r>
                    <w:rPr>
                      <w:rFonts w:hint="eastAsia"/>
                      <w:color w:val="auto"/>
                      <w:sz w:val="18"/>
                      <w:szCs w:val="18"/>
                    </w:rPr>
                    <w:t>使用性质。</w:t>
                  </w:r>
                </w:p>
              </w:tc>
              <w:tc>
                <w:tcPr>
                  <w:tcW w:w="1506" w:type="pct"/>
                  <w:vAlign w:val="center"/>
                </w:tcPr>
                <w:p w14:paraId="223B5B6F">
                  <w:pPr>
                    <w:spacing w:line="240" w:lineRule="auto"/>
                    <w:jc w:val="center"/>
                    <w:rPr>
                      <w:rFonts w:hint="eastAsia"/>
                      <w:color w:val="auto"/>
                      <w:sz w:val="18"/>
                      <w:szCs w:val="18"/>
                      <w:lang w:eastAsia="zh-CN"/>
                    </w:rPr>
                  </w:pPr>
                  <w:r>
                    <w:rPr>
                      <w:rFonts w:hint="eastAsia"/>
                      <w:color w:val="auto"/>
                      <w:sz w:val="18"/>
                      <w:szCs w:val="18"/>
                      <w:lang w:val="en-US" w:eastAsia="zh-CN"/>
                    </w:rPr>
                    <w:t>1、</w:t>
                  </w:r>
                  <w:r>
                    <w:rPr>
                      <w:rFonts w:hint="eastAsia"/>
                      <w:color w:val="auto"/>
                      <w:sz w:val="18"/>
                      <w:szCs w:val="18"/>
                    </w:rPr>
                    <w:t>本项目位于皖江江南新兴产业集中区安安产业园7#厂房，项目用地属于工业用地，符合开发区土地利用</w:t>
                  </w:r>
                  <w:r>
                    <w:rPr>
                      <w:rFonts w:hint="eastAsia"/>
                      <w:color w:val="auto"/>
                      <w:sz w:val="18"/>
                      <w:szCs w:val="18"/>
                      <w:lang w:eastAsia="zh-CN"/>
                    </w:rPr>
                    <w:t>。</w:t>
                  </w:r>
                </w:p>
                <w:p w14:paraId="600BBFC2">
                  <w:pPr>
                    <w:spacing w:line="240" w:lineRule="auto"/>
                    <w:jc w:val="center"/>
                    <w:rPr>
                      <w:rFonts w:hint="default"/>
                      <w:color w:val="auto"/>
                      <w:lang w:val="en-US" w:eastAsia="zh-CN"/>
                    </w:rPr>
                  </w:pPr>
                  <w:r>
                    <w:rPr>
                      <w:rFonts w:hint="eastAsia"/>
                      <w:color w:val="auto"/>
                      <w:sz w:val="18"/>
                      <w:szCs w:val="18"/>
                      <w:lang w:val="en-US" w:eastAsia="zh-CN"/>
                    </w:rPr>
                    <w:t>2、本项目依托现有厂房，已取得土地证，详见附件7。</w:t>
                  </w:r>
                </w:p>
              </w:tc>
              <w:tc>
                <w:tcPr>
                  <w:tcW w:w="448" w:type="pct"/>
                  <w:vAlign w:val="center"/>
                </w:tcPr>
                <w:p w14:paraId="1E3EB3A5">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符合</w:t>
                  </w:r>
                </w:p>
              </w:tc>
            </w:tr>
            <w:tr w14:paraId="5D9E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208E3B3A">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企业规模</w:t>
                  </w:r>
                </w:p>
              </w:tc>
              <w:tc>
                <w:tcPr>
                  <w:tcW w:w="2572" w:type="pct"/>
                  <w:vAlign w:val="center"/>
                </w:tcPr>
                <w:p w14:paraId="18961EE1">
                  <w:pPr>
                    <w:spacing w:line="240" w:lineRule="auto"/>
                    <w:jc w:val="center"/>
                    <w:rPr>
                      <w:rFonts w:hint="eastAsia"/>
                      <w:color w:val="auto"/>
                      <w:sz w:val="18"/>
                      <w:szCs w:val="18"/>
                    </w:rPr>
                  </w:pPr>
                  <w:r>
                    <w:rPr>
                      <w:color w:val="auto"/>
                    </w:rPr>
                    <w:drawing>
                      <wp:inline distT="0" distB="0" distL="114300" distR="114300">
                        <wp:extent cx="2190115" cy="1872615"/>
                        <wp:effectExtent l="0" t="0" r="635" b="13335"/>
                        <wp:docPr id="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
                                <pic:cNvPicPr>
                                  <a:picLocks noChangeAspect="1"/>
                                </pic:cNvPicPr>
                              </pic:nvPicPr>
                              <pic:blipFill>
                                <a:blip r:embed="rId15"/>
                                <a:stretch>
                                  <a:fillRect/>
                                </a:stretch>
                              </pic:blipFill>
                              <pic:spPr>
                                <a:xfrm>
                                  <a:off x="0" y="0"/>
                                  <a:ext cx="2190115" cy="1872615"/>
                                </a:xfrm>
                                <a:prstGeom prst="rect">
                                  <a:avLst/>
                                </a:prstGeom>
                                <a:noFill/>
                                <a:ln>
                                  <a:noFill/>
                                </a:ln>
                              </pic:spPr>
                            </pic:pic>
                          </a:graphicData>
                        </a:graphic>
                      </wp:inline>
                    </w:drawing>
                  </w:r>
                </w:p>
              </w:tc>
              <w:tc>
                <w:tcPr>
                  <w:tcW w:w="1506" w:type="pct"/>
                  <w:vAlign w:val="center"/>
                </w:tcPr>
                <w:p w14:paraId="63CBD8C1">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本项目为技改，生产产品为高端工业铝浇铸件，建成后产能达8000t/a，销售收入约为15000万元，建成后满足政策中现有企业建设规模。</w:t>
                  </w:r>
                </w:p>
              </w:tc>
              <w:tc>
                <w:tcPr>
                  <w:tcW w:w="448" w:type="pct"/>
                  <w:vAlign w:val="center"/>
                </w:tcPr>
                <w:p w14:paraId="3751ABFA">
                  <w:pPr>
                    <w:spacing w:line="240" w:lineRule="auto"/>
                    <w:jc w:val="center"/>
                    <w:rPr>
                      <w:color w:val="auto"/>
                      <w:sz w:val="18"/>
                      <w:szCs w:val="18"/>
                    </w:rPr>
                  </w:pPr>
                  <w:r>
                    <w:rPr>
                      <w:rFonts w:hint="eastAsia"/>
                      <w:color w:val="auto"/>
                      <w:sz w:val="18"/>
                      <w:szCs w:val="18"/>
                      <w:lang w:val="en-US" w:eastAsia="zh-CN"/>
                    </w:rPr>
                    <w:t>符合</w:t>
                  </w:r>
                </w:p>
              </w:tc>
            </w:tr>
            <w:tr w14:paraId="51A6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5F4F242F">
                  <w:pPr>
                    <w:spacing w:line="240" w:lineRule="auto"/>
                    <w:jc w:val="center"/>
                    <w:rPr>
                      <w:rFonts w:hint="default"/>
                      <w:color w:val="auto"/>
                      <w:sz w:val="18"/>
                      <w:szCs w:val="18"/>
                      <w:lang w:val="en-US" w:eastAsia="zh-CN"/>
                    </w:rPr>
                  </w:pPr>
                  <w:r>
                    <w:rPr>
                      <w:rFonts w:hint="eastAsia"/>
                      <w:color w:val="auto"/>
                      <w:sz w:val="18"/>
                      <w:szCs w:val="18"/>
                      <w:lang w:val="en-US" w:eastAsia="zh-CN"/>
                    </w:rPr>
                    <w:t>生产工艺</w:t>
                  </w:r>
                </w:p>
              </w:tc>
              <w:tc>
                <w:tcPr>
                  <w:tcW w:w="2572" w:type="pct"/>
                  <w:vAlign w:val="center"/>
                </w:tcPr>
                <w:p w14:paraId="2BF68021">
                  <w:pPr>
                    <w:numPr>
                      <w:ilvl w:val="0"/>
                      <w:numId w:val="16"/>
                    </w:numPr>
                    <w:spacing w:line="240" w:lineRule="auto"/>
                    <w:jc w:val="center"/>
                    <w:rPr>
                      <w:rFonts w:hint="eastAsia"/>
                      <w:color w:val="auto"/>
                      <w:sz w:val="18"/>
                      <w:szCs w:val="18"/>
                    </w:rPr>
                  </w:pPr>
                  <w:r>
                    <w:rPr>
                      <w:rFonts w:hint="eastAsia"/>
                      <w:color w:val="auto"/>
                      <w:sz w:val="18"/>
                      <w:szCs w:val="18"/>
                    </w:rPr>
                    <w:t>企业应根据生产铸件的材质、品种、批量，合理选择低污染、低排放、低能耗、经济高效的铸造工艺。2、企业不应使用国家明令淘汰的生产工艺。不应采用粘土砂干型/芯、油砂制芯、七〇砂制型/芯等落后铸造工艺；粘土砂批量铸件生产企业不应采用手工造型；水玻璃熔模精密铸造企业模壳硬化不应采用氯化铵硬化工艺；铝合金、锌合金等有色金属熔炼不应采用六氯乙烷等有毒有害的精炼剂。</w:t>
                  </w:r>
                </w:p>
                <w:p w14:paraId="59ECF520">
                  <w:pPr>
                    <w:numPr>
                      <w:ilvl w:val="0"/>
                      <w:numId w:val="0"/>
                    </w:numPr>
                    <w:spacing w:line="240" w:lineRule="auto"/>
                    <w:jc w:val="center"/>
                    <w:rPr>
                      <w:rFonts w:hint="eastAsia"/>
                      <w:color w:val="auto"/>
                      <w:sz w:val="18"/>
                      <w:szCs w:val="18"/>
                    </w:rPr>
                  </w:pPr>
                  <w:r>
                    <w:rPr>
                      <w:rFonts w:hint="eastAsia"/>
                      <w:color w:val="auto"/>
                      <w:sz w:val="18"/>
                      <w:szCs w:val="18"/>
                    </w:rPr>
                    <w:t>3、采用粘土砂工艺批量生产铸件的现有企业不应采用手工造型。</w:t>
                  </w:r>
                </w:p>
                <w:p w14:paraId="18B5D8C1">
                  <w:pPr>
                    <w:spacing w:line="240" w:lineRule="auto"/>
                    <w:jc w:val="center"/>
                    <w:rPr>
                      <w:rFonts w:hint="eastAsia"/>
                      <w:color w:val="auto"/>
                      <w:sz w:val="18"/>
                      <w:szCs w:val="18"/>
                    </w:rPr>
                  </w:pPr>
                  <w:r>
                    <w:rPr>
                      <w:rFonts w:hint="eastAsia"/>
                      <w:color w:val="auto"/>
                      <w:sz w:val="18"/>
                      <w:szCs w:val="18"/>
                    </w:rPr>
                    <w:t>4、新建粘土砂型铸造项目应采用自动化造型；新建熔模精密铸造项目不应采用水玻璃熔模精密铸造工艺。</w:t>
                  </w:r>
                </w:p>
              </w:tc>
              <w:tc>
                <w:tcPr>
                  <w:tcW w:w="1506" w:type="pct"/>
                  <w:vAlign w:val="center"/>
                </w:tcPr>
                <w:p w14:paraId="337D162F">
                  <w:pPr>
                    <w:spacing w:line="240" w:lineRule="auto"/>
                    <w:jc w:val="center"/>
                    <w:rPr>
                      <w:color w:val="auto"/>
                      <w:sz w:val="18"/>
                      <w:szCs w:val="18"/>
                    </w:rPr>
                  </w:pPr>
                  <w:r>
                    <w:rPr>
                      <w:rFonts w:hint="eastAsia"/>
                      <w:color w:val="auto"/>
                      <w:sz w:val="18"/>
                      <w:szCs w:val="18"/>
                    </w:rPr>
                    <w:t>本项目生产产品为压铸</w:t>
                  </w:r>
                  <w:r>
                    <w:rPr>
                      <w:rFonts w:hint="eastAsia"/>
                      <w:color w:val="auto"/>
                      <w:sz w:val="18"/>
                      <w:szCs w:val="18"/>
                      <w:lang w:val="en-US" w:eastAsia="zh-CN"/>
                    </w:rPr>
                    <w:t>及浇铸</w:t>
                  </w:r>
                  <w:r>
                    <w:rPr>
                      <w:rFonts w:hint="eastAsia"/>
                      <w:color w:val="auto"/>
                      <w:sz w:val="18"/>
                      <w:szCs w:val="18"/>
                    </w:rPr>
                    <w:t>铝件，采用能源主要为天然气和电能。属于清洁能源。使用生产工艺主要为熔炼</w:t>
                  </w:r>
                  <w:r>
                    <w:rPr>
                      <w:rFonts w:hint="eastAsia"/>
                      <w:color w:val="auto"/>
                      <w:sz w:val="18"/>
                      <w:szCs w:val="18"/>
                      <w:lang w:eastAsia="zh-CN"/>
                    </w:rPr>
                    <w:t>、</w:t>
                  </w:r>
                  <w:r>
                    <w:rPr>
                      <w:rFonts w:hint="eastAsia"/>
                      <w:color w:val="auto"/>
                      <w:sz w:val="18"/>
                      <w:szCs w:val="18"/>
                    </w:rPr>
                    <w:t>压铸等，采用</w:t>
                  </w:r>
                  <w:r>
                    <w:rPr>
                      <w:rFonts w:hint="eastAsia"/>
                      <w:color w:val="auto"/>
                      <w:sz w:val="18"/>
                      <w:szCs w:val="18"/>
                      <w:lang w:val="en-US" w:eastAsia="zh-CN"/>
                    </w:rPr>
                    <w:t>集中熔铝炉</w:t>
                  </w:r>
                  <w:r>
                    <w:rPr>
                      <w:rFonts w:hint="eastAsia"/>
                      <w:color w:val="auto"/>
                      <w:sz w:val="18"/>
                      <w:szCs w:val="18"/>
                    </w:rPr>
                    <w:t>及压铸机、</w:t>
                  </w:r>
                  <w:r>
                    <w:rPr>
                      <w:rFonts w:hint="eastAsia"/>
                      <w:color w:val="auto"/>
                      <w:sz w:val="18"/>
                      <w:szCs w:val="18"/>
                      <w:lang w:val="en-US" w:eastAsia="zh-CN"/>
                    </w:rPr>
                    <w:t>倾倒熔炉</w:t>
                  </w:r>
                  <w:r>
                    <w:rPr>
                      <w:rFonts w:hint="eastAsia"/>
                      <w:color w:val="auto"/>
                      <w:sz w:val="18"/>
                      <w:szCs w:val="18"/>
                    </w:rPr>
                    <w:t>，均不属于国家明令禁止的生产工艺及设备，满足政策中生产工艺和生产装备的要求。</w:t>
                  </w:r>
                </w:p>
              </w:tc>
              <w:tc>
                <w:tcPr>
                  <w:tcW w:w="448" w:type="pct"/>
                  <w:vAlign w:val="center"/>
                </w:tcPr>
                <w:p w14:paraId="7B416171">
                  <w:pPr>
                    <w:spacing w:line="240" w:lineRule="auto"/>
                    <w:jc w:val="center"/>
                    <w:rPr>
                      <w:color w:val="auto"/>
                      <w:sz w:val="18"/>
                      <w:szCs w:val="18"/>
                    </w:rPr>
                  </w:pPr>
                  <w:r>
                    <w:rPr>
                      <w:rFonts w:hint="eastAsia"/>
                      <w:color w:val="auto"/>
                      <w:sz w:val="18"/>
                      <w:szCs w:val="18"/>
                      <w:lang w:val="en-US" w:eastAsia="zh-CN"/>
                    </w:rPr>
                    <w:t>符合</w:t>
                  </w:r>
                </w:p>
              </w:tc>
            </w:tr>
            <w:tr w14:paraId="4617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68397D87">
                  <w:pPr>
                    <w:spacing w:line="240" w:lineRule="auto"/>
                    <w:jc w:val="center"/>
                    <w:rPr>
                      <w:rFonts w:hint="default"/>
                      <w:color w:val="auto"/>
                      <w:sz w:val="18"/>
                      <w:szCs w:val="18"/>
                      <w:lang w:val="en-US" w:eastAsia="zh-CN"/>
                    </w:rPr>
                  </w:pPr>
                  <w:r>
                    <w:rPr>
                      <w:rFonts w:hint="eastAsia"/>
                      <w:color w:val="auto"/>
                      <w:sz w:val="18"/>
                      <w:szCs w:val="18"/>
                      <w:lang w:val="en-US" w:eastAsia="zh-CN"/>
                    </w:rPr>
                    <w:t>生产装备</w:t>
                  </w:r>
                </w:p>
              </w:tc>
              <w:tc>
                <w:tcPr>
                  <w:tcW w:w="2572" w:type="pct"/>
                  <w:vAlign w:val="center"/>
                </w:tcPr>
                <w:p w14:paraId="6FE9116C">
                  <w:pPr>
                    <w:spacing w:line="240" w:lineRule="auto"/>
                    <w:jc w:val="center"/>
                    <w:rPr>
                      <w:rFonts w:hint="eastAsia"/>
                      <w:color w:val="auto"/>
                      <w:sz w:val="18"/>
                      <w:szCs w:val="18"/>
                    </w:rPr>
                  </w:pPr>
                  <w:r>
                    <w:rPr>
                      <w:rFonts w:hint="eastAsia"/>
                      <w:color w:val="auto"/>
                      <w:sz w:val="18"/>
                      <w:szCs w:val="18"/>
                    </w:rPr>
                    <w:t>1、企业不应使用国家明令淘汰的生产装备，如：无</w:t>
                  </w:r>
                </w:p>
                <w:p w14:paraId="0F6018A0">
                  <w:pPr>
                    <w:spacing w:line="240" w:lineRule="auto"/>
                    <w:jc w:val="center"/>
                    <w:rPr>
                      <w:rFonts w:hint="eastAsia"/>
                      <w:color w:val="auto"/>
                      <w:sz w:val="18"/>
                      <w:szCs w:val="18"/>
                    </w:rPr>
                  </w:pPr>
                  <w:r>
                    <w:rPr>
                      <w:rFonts w:hint="eastAsia"/>
                      <w:color w:val="auto"/>
                      <w:sz w:val="18"/>
                      <w:szCs w:val="18"/>
                    </w:rPr>
                    <w:t>芯工频感应电炉、0.25 吨及以上无磁轭的铝壳中频感应电炉等。</w:t>
                  </w:r>
                </w:p>
                <w:p w14:paraId="4B6E2D2B">
                  <w:pPr>
                    <w:spacing w:line="240" w:lineRule="auto"/>
                    <w:jc w:val="center"/>
                    <w:rPr>
                      <w:rFonts w:hint="eastAsia"/>
                      <w:color w:val="auto"/>
                      <w:sz w:val="18"/>
                      <w:szCs w:val="18"/>
                    </w:rPr>
                  </w:pPr>
                  <w:r>
                    <w:rPr>
                      <w:rFonts w:hint="eastAsia"/>
                      <w:color w:val="auto"/>
                      <w:sz w:val="18"/>
                      <w:szCs w:val="18"/>
                    </w:rPr>
                    <w:t>2、现有企业的冲天炉熔化率不应小于 5 吨/小时（环保重点区域铸造企业冲天炉熔化率应大于 5 吨/小时）。</w:t>
                  </w:r>
                </w:p>
                <w:p w14:paraId="7135A8B5">
                  <w:pPr>
                    <w:spacing w:line="240" w:lineRule="auto"/>
                    <w:jc w:val="center"/>
                    <w:rPr>
                      <w:rFonts w:hint="eastAsia"/>
                      <w:color w:val="auto"/>
                      <w:sz w:val="18"/>
                      <w:szCs w:val="18"/>
                    </w:rPr>
                  </w:pPr>
                  <w:r>
                    <w:rPr>
                      <w:rFonts w:hint="eastAsia"/>
                      <w:color w:val="auto"/>
                      <w:sz w:val="18"/>
                      <w:szCs w:val="18"/>
                    </w:rPr>
                    <w:t>3、新建企业不应采用燃油加热熔化炉；非环保重点区域新建铸造企业的冲天炉熔化率应不小于 7 吨/小时。</w:t>
                  </w:r>
                </w:p>
                <w:p w14:paraId="39AC7878">
                  <w:pPr>
                    <w:spacing w:line="240" w:lineRule="auto"/>
                    <w:jc w:val="center"/>
                    <w:rPr>
                      <w:rFonts w:hint="eastAsia"/>
                      <w:color w:val="auto"/>
                      <w:sz w:val="18"/>
                      <w:szCs w:val="18"/>
                    </w:rPr>
                  </w:pPr>
                  <w:r>
                    <w:rPr>
                      <w:rFonts w:hint="eastAsia"/>
                      <w:color w:val="auto"/>
                      <w:sz w:val="18"/>
                      <w:szCs w:val="18"/>
                    </w:rPr>
                    <w:t>4、企业应配备与生产能力相匹配的熔炼、保温和精</w:t>
                  </w:r>
                </w:p>
                <w:p w14:paraId="5D9F9BAF">
                  <w:pPr>
                    <w:spacing w:line="240" w:lineRule="auto"/>
                    <w:jc w:val="center"/>
                    <w:rPr>
                      <w:rFonts w:hint="eastAsia"/>
                      <w:color w:val="auto"/>
                      <w:sz w:val="18"/>
                      <w:szCs w:val="18"/>
                    </w:rPr>
                  </w:pPr>
                  <w:r>
                    <w:rPr>
                      <w:rFonts w:hint="eastAsia"/>
                      <w:color w:val="auto"/>
                      <w:sz w:val="18"/>
                      <w:szCs w:val="18"/>
                    </w:rPr>
                    <w:t>炼设备，如冲天炉、中频感应电炉、电弧炉、精炼炉（AOD、VOD、LF 炉等）、电阻炉、燃气炉、保温炉等。</w:t>
                  </w:r>
                </w:p>
                <w:p w14:paraId="7FEDF54C">
                  <w:pPr>
                    <w:spacing w:line="240" w:lineRule="auto"/>
                    <w:jc w:val="center"/>
                    <w:rPr>
                      <w:rFonts w:hint="eastAsia"/>
                      <w:color w:val="auto"/>
                      <w:sz w:val="18"/>
                      <w:szCs w:val="18"/>
                    </w:rPr>
                  </w:pPr>
                  <w:r>
                    <w:rPr>
                      <w:rFonts w:hint="eastAsia"/>
                      <w:color w:val="auto"/>
                      <w:sz w:val="18"/>
                      <w:szCs w:val="18"/>
                    </w:rPr>
                    <w:t>5、熔炼、保温和精炼设备炉前应配置必要的化学成分分析、金属液温度测量等检测仪器。</w:t>
                  </w:r>
                </w:p>
                <w:p w14:paraId="6B11EE5E">
                  <w:pPr>
                    <w:spacing w:line="240" w:lineRule="auto"/>
                    <w:jc w:val="center"/>
                    <w:rPr>
                      <w:rFonts w:hint="eastAsia"/>
                      <w:color w:val="auto"/>
                      <w:sz w:val="18"/>
                      <w:szCs w:val="18"/>
                    </w:rPr>
                  </w:pPr>
                  <w:r>
                    <w:rPr>
                      <w:rFonts w:hint="eastAsia"/>
                      <w:color w:val="auto"/>
                      <w:sz w:val="18"/>
                      <w:szCs w:val="18"/>
                    </w:rPr>
                    <w:t>6、大批量连续生产铸铁件的企业宜采用外热送风水冷长炉龄大吨位（10 吨/小时以上）冲天炉。</w:t>
                  </w:r>
                </w:p>
                <w:p w14:paraId="1033A89B">
                  <w:pPr>
                    <w:spacing w:line="240" w:lineRule="auto"/>
                    <w:jc w:val="center"/>
                    <w:rPr>
                      <w:rFonts w:hint="eastAsia"/>
                      <w:color w:val="auto"/>
                      <w:sz w:val="18"/>
                      <w:szCs w:val="18"/>
                    </w:rPr>
                  </w:pPr>
                  <w:r>
                    <w:rPr>
                      <w:rFonts w:hint="eastAsia"/>
                      <w:color w:val="auto"/>
                      <w:sz w:val="18"/>
                      <w:szCs w:val="18"/>
                    </w:rPr>
                    <w:t>7、企业应配备与产品及生产能力相匹配的造型、制</w:t>
                  </w:r>
                </w:p>
                <w:p w14:paraId="1664BB70">
                  <w:pPr>
                    <w:spacing w:line="240" w:lineRule="auto"/>
                    <w:jc w:val="center"/>
                    <w:rPr>
                      <w:rFonts w:hint="eastAsia"/>
                      <w:color w:val="auto"/>
                      <w:sz w:val="18"/>
                      <w:szCs w:val="18"/>
                    </w:rPr>
                  </w:pPr>
                  <w:r>
                    <w:rPr>
                      <w:rFonts w:hint="eastAsia"/>
                      <w:color w:val="auto"/>
                      <w:sz w:val="18"/>
                      <w:szCs w:val="18"/>
                    </w:rPr>
                    <w:t>芯及成型设备（线），如粘土砂造型机（线）、树脂砂混砂机、壳型（芯）机、铁模覆砂生产线、水玻璃砂生产线、消失模/V 法/实型铸造设备、离心铸造设备、冷/热室压铸机、低压铸造机、重力铸造设备、挤压铸造设备、差压铸造设备、熔模铸造设备（线）、冷/热芯盒制芯机（中心）、制芯中心、快速成型设备等。</w:t>
                  </w:r>
                </w:p>
              </w:tc>
              <w:tc>
                <w:tcPr>
                  <w:tcW w:w="1506" w:type="pct"/>
                  <w:vAlign w:val="center"/>
                </w:tcPr>
                <w:p w14:paraId="7774893C">
                  <w:pPr>
                    <w:numPr>
                      <w:ilvl w:val="0"/>
                      <w:numId w:val="17"/>
                    </w:numPr>
                    <w:spacing w:line="240" w:lineRule="auto"/>
                    <w:jc w:val="center"/>
                    <w:rPr>
                      <w:rFonts w:hint="eastAsia"/>
                      <w:color w:val="auto"/>
                      <w:sz w:val="18"/>
                      <w:szCs w:val="18"/>
                      <w:lang w:eastAsia="zh-CN"/>
                    </w:rPr>
                  </w:pPr>
                  <w:r>
                    <w:rPr>
                      <w:rFonts w:hint="eastAsia"/>
                      <w:color w:val="auto"/>
                      <w:sz w:val="18"/>
                      <w:szCs w:val="18"/>
                      <w:lang w:val="en-US" w:eastAsia="zh-CN"/>
                    </w:rPr>
                    <w:t>根据第二章节设备清单，</w:t>
                  </w:r>
                  <w:r>
                    <w:rPr>
                      <w:rFonts w:hint="eastAsia"/>
                      <w:color w:val="auto"/>
                      <w:sz w:val="18"/>
                      <w:szCs w:val="18"/>
                    </w:rPr>
                    <w:t>本项目</w:t>
                  </w:r>
                  <w:r>
                    <w:rPr>
                      <w:rFonts w:hint="eastAsia"/>
                      <w:color w:val="auto"/>
                      <w:sz w:val="18"/>
                      <w:szCs w:val="18"/>
                      <w:lang w:val="en-US" w:eastAsia="zh-CN"/>
                    </w:rPr>
                    <w:t>无</w:t>
                  </w:r>
                  <w:r>
                    <w:rPr>
                      <w:rFonts w:hint="eastAsia"/>
                      <w:color w:val="auto"/>
                      <w:sz w:val="18"/>
                      <w:szCs w:val="18"/>
                    </w:rPr>
                    <w:t>国家明令淘汰的生产装备</w:t>
                  </w:r>
                  <w:r>
                    <w:rPr>
                      <w:rFonts w:hint="eastAsia"/>
                      <w:color w:val="auto"/>
                      <w:sz w:val="18"/>
                      <w:szCs w:val="18"/>
                      <w:lang w:eastAsia="zh-CN"/>
                    </w:rPr>
                    <w:t>。</w:t>
                  </w:r>
                </w:p>
                <w:p w14:paraId="52462E1E">
                  <w:pPr>
                    <w:numPr>
                      <w:ilvl w:val="0"/>
                      <w:numId w:val="17"/>
                    </w:numPr>
                    <w:spacing w:line="240" w:lineRule="auto"/>
                    <w:ind w:left="0" w:leftChars="0" w:firstLine="0" w:firstLineChars="0"/>
                    <w:jc w:val="center"/>
                    <w:rPr>
                      <w:rFonts w:hint="eastAsia"/>
                      <w:color w:val="auto"/>
                      <w:sz w:val="18"/>
                      <w:szCs w:val="18"/>
                      <w:lang w:val="en-US" w:eastAsia="zh-CN"/>
                    </w:rPr>
                  </w:pPr>
                  <w:r>
                    <w:rPr>
                      <w:rFonts w:hint="eastAsia"/>
                      <w:color w:val="auto"/>
                      <w:sz w:val="18"/>
                      <w:szCs w:val="18"/>
                      <w:lang w:val="en-US" w:eastAsia="zh-CN"/>
                    </w:rPr>
                    <w:t>本项目已配备</w:t>
                  </w:r>
                  <w:r>
                    <w:rPr>
                      <w:rFonts w:hint="eastAsia"/>
                      <w:color w:val="auto"/>
                      <w:sz w:val="18"/>
                      <w:szCs w:val="18"/>
                    </w:rPr>
                    <w:t>与生产能力相匹配的熔炼</w:t>
                  </w:r>
                  <w:r>
                    <w:rPr>
                      <w:rFonts w:hint="eastAsia"/>
                      <w:color w:val="auto"/>
                      <w:sz w:val="18"/>
                      <w:szCs w:val="18"/>
                      <w:lang w:val="en-US" w:eastAsia="zh-CN"/>
                    </w:rPr>
                    <w:t>炉。</w:t>
                  </w:r>
                </w:p>
                <w:p w14:paraId="5D77F2A4">
                  <w:pPr>
                    <w:numPr>
                      <w:ilvl w:val="0"/>
                      <w:numId w:val="17"/>
                    </w:numPr>
                    <w:spacing w:line="240" w:lineRule="auto"/>
                    <w:ind w:left="0" w:leftChars="0" w:firstLine="0" w:firstLineChars="0"/>
                    <w:jc w:val="center"/>
                    <w:rPr>
                      <w:rFonts w:hint="default" w:eastAsia="宋体"/>
                      <w:color w:val="auto"/>
                      <w:sz w:val="18"/>
                      <w:szCs w:val="18"/>
                      <w:lang w:val="en-US" w:eastAsia="zh-CN"/>
                    </w:rPr>
                  </w:pPr>
                  <w:r>
                    <w:rPr>
                      <w:rFonts w:hint="eastAsia"/>
                      <w:color w:val="auto"/>
                      <w:sz w:val="18"/>
                      <w:szCs w:val="18"/>
                      <w:lang w:val="en-US" w:eastAsia="zh-CN"/>
                    </w:rPr>
                    <w:t>本项目利用现有</w:t>
                  </w:r>
                  <w:r>
                    <w:rPr>
                      <w:rFonts w:hint="eastAsia"/>
                      <w:color w:val="auto"/>
                      <w:sz w:val="18"/>
                      <w:szCs w:val="18"/>
                    </w:rPr>
                    <w:t>的化学成分分析、金属液温度测量等检测仪器。</w:t>
                  </w:r>
                </w:p>
                <w:p w14:paraId="346926F7">
                  <w:pPr>
                    <w:numPr>
                      <w:ilvl w:val="0"/>
                      <w:numId w:val="17"/>
                    </w:numPr>
                    <w:spacing w:line="240" w:lineRule="auto"/>
                    <w:ind w:left="0" w:leftChars="0" w:firstLine="0" w:firstLineChars="0"/>
                    <w:jc w:val="center"/>
                    <w:rPr>
                      <w:rFonts w:hint="default" w:eastAsia="宋体"/>
                      <w:color w:val="auto"/>
                      <w:sz w:val="18"/>
                      <w:szCs w:val="18"/>
                      <w:lang w:val="en-US" w:eastAsia="zh-CN"/>
                    </w:rPr>
                  </w:pPr>
                  <w:r>
                    <w:rPr>
                      <w:rFonts w:hint="eastAsia"/>
                      <w:color w:val="auto"/>
                      <w:sz w:val="18"/>
                      <w:szCs w:val="18"/>
                      <w:lang w:val="en-US" w:eastAsia="zh-CN"/>
                    </w:rPr>
                    <w:t>本项目已配备</w:t>
                  </w:r>
                  <w:r>
                    <w:rPr>
                      <w:rFonts w:hint="eastAsia"/>
                      <w:color w:val="auto"/>
                      <w:sz w:val="18"/>
                      <w:szCs w:val="18"/>
                    </w:rPr>
                    <w:t>与生产能力相匹配的低压铸造机</w:t>
                  </w:r>
                  <w:r>
                    <w:rPr>
                      <w:rFonts w:hint="eastAsia"/>
                      <w:color w:val="auto"/>
                      <w:sz w:val="18"/>
                      <w:szCs w:val="18"/>
                      <w:lang w:eastAsia="zh-CN"/>
                    </w:rPr>
                    <w:t>、</w:t>
                  </w:r>
                  <w:r>
                    <w:rPr>
                      <w:rFonts w:hint="eastAsia"/>
                      <w:color w:val="auto"/>
                      <w:sz w:val="18"/>
                      <w:szCs w:val="18"/>
                    </w:rPr>
                    <w:t>离心铸造设备</w:t>
                  </w:r>
                  <w:r>
                    <w:rPr>
                      <w:rFonts w:hint="eastAsia"/>
                      <w:color w:val="auto"/>
                      <w:sz w:val="18"/>
                      <w:szCs w:val="18"/>
                      <w:lang w:val="en-US" w:eastAsia="zh-CN"/>
                    </w:rPr>
                    <w:t>。</w:t>
                  </w:r>
                </w:p>
              </w:tc>
              <w:tc>
                <w:tcPr>
                  <w:tcW w:w="448" w:type="pct"/>
                  <w:vAlign w:val="center"/>
                </w:tcPr>
                <w:p w14:paraId="5B874F24">
                  <w:pPr>
                    <w:spacing w:line="240" w:lineRule="auto"/>
                    <w:jc w:val="center"/>
                    <w:rPr>
                      <w:color w:val="auto"/>
                      <w:sz w:val="18"/>
                      <w:szCs w:val="18"/>
                    </w:rPr>
                  </w:pPr>
                  <w:r>
                    <w:rPr>
                      <w:rFonts w:hint="eastAsia"/>
                      <w:color w:val="auto"/>
                      <w:sz w:val="18"/>
                      <w:szCs w:val="18"/>
                      <w:lang w:val="en-US" w:eastAsia="zh-CN"/>
                    </w:rPr>
                    <w:t>符合</w:t>
                  </w:r>
                </w:p>
              </w:tc>
            </w:tr>
            <w:tr w14:paraId="4B53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45CC6761">
                  <w:pPr>
                    <w:spacing w:line="240" w:lineRule="auto"/>
                    <w:jc w:val="center"/>
                    <w:rPr>
                      <w:rFonts w:hint="default"/>
                      <w:color w:val="auto"/>
                      <w:sz w:val="18"/>
                      <w:szCs w:val="18"/>
                      <w:lang w:val="en-US" w:eastAsia="zh-CN"/>
                    </w:rPr>
                  </w:pPr>
                  <w:r>
                    <w:rPr>
                      <w:rFonts w:hint="eastAsia"/>
                      <w:color w:val="auto"/>
                      <w:sz w:val="18"/>
                      <w:szCs w:val="18"/>
                      <w:lang w:val="en-US" w:eastAsia="zh-CN"/>
                    </w:rPr>
                    <w:t>质量控制</w:t>
                  </w:r>
                </w:p>
              </w:tc>
              <w:tc>
                <w:tcPr>
                  <w:tcW w:w="2572" w:type="pct"/>
                  <w:vAlign w:val="center"/>
                </w:tcPr>
                <w:p w14:paraId="53F520A0">
                  <w:pPr>
                    <w:spacing w:line="240" w:lineRule="auto"/>
                    <w:jc w:val="center"/>
                    <w:rPr>
                      <w:rFonts w:hint="eastAsia"/>
                      <w:color w:val="auto"/>
                      <w:sz w:val="18"/>
                      <w:szCs w:val="18"/>
                    </w:rPr>
                  </w:pPr>
                  <w:r>
                    <w:rPr>
                      <w:rFonts w:hint="eastAsia"/>
                      <w:color w:val="auto"/>
                      <w:sz w:val="18"/>
                      <w:szCs w:val="18"/>
                    </w:rPr>
                    <w:t>1、企业应按照 GB/T19001（或 IATF16949、GJB9001B）等标准要求建立质量管理体系、通过认证并持续有效运行，有条件的企业可按照 T/CFA0303.1 的标准要求开展铸造行业的质量管理体系升级版认证。</w:t>
                  </w:r>
                </w:p>
                <w:p w14:paraId="3D5FD160">
                  <w:pPr>
                    <w:spacing w:line="240" w:lineRule="auto"/>
                    <w:jc w:val="center"/>
                    <w:rPr>
                      <w:rFonts w:hint="eastAsia"/>
                      <w:color w:val="auto"/>
                      <w:sz w:val="18"/>
                      <w:szCs w:val="18"/>
                    </w:rPr>
                  </w:pPr>
                  <w:r>
                    <w:rPr>
                      <w:rFonts w:hint="eastAsia"/>
                      <w:color w:val="auto"/>
                      <w:sz w:val="18"/>
                      <w:szCs w:val="18"/>
                    </w:rPr>
                    <w:t>2、企业应设有质量管理部门，配有专职质量监测人员，建立健全的质量管理制度并有效运行。</w:t>
                  </w:r>
                </w:p>
                <w:p w14:paraId="68774F36">
                  <w:pPr>
                    <w:spacing w:line="240" w:lineRule="auto"/>
                    <w:jc w:val="center"/>
                    <w:rPr>
                      <w:rFonts w:hint="eastAsia"/>
                      <w:color w:val="auto"/>
                      <w:sz w:val="18"/>
                      <w:szCs w:val="18"/>
                    </w:rPr>
                  </w:pPr>
                  <w:r>
                    <w:rPr>
                      <w:rFonts w:hint="eastAsia"/>
                      <w:color w:val="auto"/>
                      <w:sz w:val="18"/>
                      <w:szCs w:val="18"/>
                    </w:rPr>
                    <w:t>3、铸件的外观质量（尺寸精度、表面粗糙度等）、内在质量（化学成分、金相组织等）及力学性能等应符合规定的技术要求。</w:t>
                  </w:r>
                </w:p>
              </w:tc>
              <w:tc>
                <w:tcPr>
                  <w:tcW w:w="1506" w:type="pct"/>
                  <w:vAlign w:val="center"/>
                </w:tcPr>
                <w:p w14:paraId="21873C1B">
                  <w:pPr>
                    <w:spacing w:line="240" w:lineRule="auto"/>
                    <w:jc w:val="center"/>
                    <w:rPr>
                      <w:rFonts w:hint="eastAsia"/>
                      <w:color w:val="auto"/>
                      <w:sz w:val="18"/>
                      <w:szCs w:val="18"/>
                    </w:rPr>
                  </w:pPr>
                  <w:r>
                    <w:rPr>
                      <w:rFonts w:hint="eastAsia"/>
                      <w:color w:val="auto"/>
                      <w:sz w:val="18"/>
                      <w:szCs w:val="18"/>
                    </w:rPr>
                    <w:t>1、企业将建立质量管理</w:t>
                  </w:r>
                </w:p>
                <w:p w14:paraId="7A67CB18">
                  <w:pPr>
                    <w:spacing w:line="240" w:lineRule="auto"/>
                    <w:jc w:val="center"/>
                    <w:rPr>
                      <w:rFonts w:hint="eastAsia"/>
                      <w:color w:val="auto"/>
                      <w:sz w:val="18"/>
                      <w:szCs w:val="18"/>
                    </w:rPr>
                  </w:pPr>
                  <w:r>
                    <w:rPr>
                      <w:rFonts w:hint="eastAsia"/>
                      <w:color w:val="auto"/>
                      <w:sz w:val="18"/>
                      <w:szCs w:val="18"/>
                    </w:rPr>
                    <w:t>体系。</w:t>
                  </w:r>
                </w:p>
                <w:p w14:paraId="15530BC5">
                  <w:pPr>
                    <w:spacing w:line="240" w:lineRule="auto"/>
                    <w:jc w:val="center"/>
                    <w:rPr>
                      <w:rFonts w:hint="eastAsia"/>
                      <w:color w:val="auto"/>
                      <w:sz w:val="18"/>
                      <w:szCs w:val="18"/>
                    </w:rPr>
                  </w:pPr>
                  <w:r>
                    <w:rPr>
                      <w:rFonts w:hint="eastAsia"/>
                      <w:color w:val="auto"/>
                      <w:sz w:val="18"/>
                      <w:szCs w:val="18"/>
                    </w:rPr>
                    <w:t>2、企业设有质量管理部分，并设有质量管理制度。</w:t>
                  </w:r>
                </w:p>
                <w:p w14:paraId="0628D32F">
                  <w:pPr>
                    <w:spacing w:line="240" w:lineRule="auto"/>
                    <w:jc w:val="center"/>
                    <w:rPr>
                      <w:color w:val="auto"/>
                      <w:sz w:val="18"/>
                      <w:szCs w:val="18"/>
                    </w:rPr>
                  </w:pPr>
                  <w:r>
                    <w:rPr>
                      <w:rFonts w:hint="eastAsia"/>
                      <w:color w:val="auto"/>
                      <w:sz w:val="18"/>
                      <w:szCs w:val="18"/>
                    </w:rPr>
                    <w:t>3、企业产品可满足相应规定的技术要求。</w:t>
                  </w:r>
                </w:p>
              </w:tc>
              <w:tc>
                <w:tcPr>
                  <w:tcW w:w="448" w:type="pct"/>
                  <w:vAlign w:val="center"/>
                </w:tcPr>
                <w:p w14:paraId="36EE21EB">
                  <w:pPr>
                    <w:spacing w:line="240" w:lineRule="auto"/>
                    <w:jc w:val="center"/>
                    <w:rPr>
                      <w:color w:val="auto"/>
                      <w:sz w:val="18"/>
                      <w:szCs w:val="18"/>
                    </w:rPr>
                  </w:pPr>
                  <w:r>
                    <w:rPr>
                      <w:rFonts w:hint="eastAsia"/>
                      <w:color w:val="auto"/>
                      <w:sz w:val="18"/>
                      <w:szCs w:val="18"/>
                      <w:lang w:val="en-US" w:eastAsia="zh-CN"/>
                    </w:rPr>
                    <w:t>符合</w:t>
                  </w:r>
                </w:p>
              </w:tc>
            </w:tr>
            <w:tr w14:paraId="4EFD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68E1D82C">
                  <w:pPr>
                    <w:spacing w:line="240" w:lineRule="auto"/>
                    <w:jc w:val="center"/>
                    <w:rPr>
                      <w:rFonts w:hint="default"/>
                      <w:color w:val="auto"/>
                      <w:sz w:val="18"/>
                      <w:szCs w:val="18"/>
                      <w:lang w:val="en-US" w:eastAsia="zh-CN"/>
                    </w:rPr>
                  </w:pPr>
                  <w:r>
                    <w:rPr>
                      <w:rFonts w:hint="eastAsia"/>
                      <w:color w:val="auto"/>
                      <w:sz w:val="18"/>
                      <w:szCs w:val="18"/>
                      <w:lang w:val="en-US" w:eastAsia="zh-CN"/>
                    </w:rPr>
                    <w:t>能源消耗</w:t>
                  </w:r>
                </w:p>
              </w:tc>
              <w:tc>
                <w:tcPr>
                  <w:tcW w:w="2572" w:type="pct"/>
                  <w:vAlign w:val="center"/>
                </w:tcPr>
                <w:p w14:paraId="7337127B">
                  <w:pPr>
                    <w:spacing w:line="240" w:lineRule="auto"/>
                    <w:jc w:val="center"/>
                    <w:rPr>
                      <w:rFonts w:hint="eastAsia"/>
                      <w:color w:val="auto"/>
                      <w:sz w:val="18"/>
                      <w:szCs w:val="18"/>
                    </w:rPr>
                  </w:pPr>
                  <w:r>
                    <w:rPr>
                      <w:rFonts w:hint="eastAsia"/>
                      <w:color w:val="auto"/>
                      <w:sz w:val="18"/>
                      <w:szCs w:val="18"/>
                    </w:rPr>
                    <w:t>1、企业应建立能源管理制度，可按照 GB/T23331 标</w:t>
                  </w:r>
                </w:p>
                <w:p w14:paraId="774A4B1C">
                  <w:pPr>
                    <w:spacing w:line="240" w:lineRule="auto"/>
                    <w:jc w:val="center"/>
                    <w:rPr>
                      <w:rFonts w:hint="eastAsia"/>
                      <w:color w:val="auto"/>
                      <w:sz w:val="18"/>
                      <w:szCs w:val="18"/>
                    </w:rPr>
                  </w:pPr>
                  <w:r>
                    <w:rPr>
                      <w:rFonts w:hint="eastAsia"/>
                      <w:color w:val="auto"/>
                      <w:sz w:val="18"/>
                      <w:szCs w:val="18"/>
                    </w:rPr>
                    <w:t>准要求建立能源管理体系、通过认证并持续有效运行。</w:t>
                  </w:r>
                </w:p>
                <w:p w14:paraId="7424DFF4">
                  <w:pPr>
                    <w:spacing w:line="240" w:lineRule="auto"/>
                    <w:jc w:val="center"/>
                    <w:rPr>
                      <w:rFonts w:hint="eastAsia"/>
                      <w:color w:val="auto"/>
                      <w:sz w:val="18"/>
                      <w:szCs w:val="18"/>
                    </w:rPr>
                  </w:pPr>
                  <w:r>
                    <w:rPr>
                      <w:rFonts w:hint="eastAsia"/>
                      <w:color w:val="auto"/>
                      <w:sz w:val="18"/>
                      <w:szCs w:val="18"/>
                    </w:rPr>
                    <w:t>2、新（改、扩）建铸造项目应开展节能评估和审查。</w:t>
                  </w:r>
                </w:p>
                <w:p w14:paraId="0E447D3F">
                  <w:pPr>
                    <w:spacing w:line="240" w:lineRule="auto"/>
                    <w:jc w:val="center"/>
                    <w:rPr>
                      <w:rFonts w:hint="eastAsia"/>
                      <w:color w:val="auto"/>
                      <w:sz w:val="18"/>
                      <w:szCs w:val="18"/>
                    </w:rPr>
                  </w:pPr>
                  <w:r>
                    <w:rPr>
                      <w:rFonts w:hint="eastAsia"/>
                      <w:color w:val="auto"/>
                      <w:sz w:val="18"/>
                      <w:szCs w:val="18"/>
                    </w:rPr>
                    <w:t>3、企业的主要熔炼设备按其熔炼不同金属应满足表</w:t>
                  </w:r>
                </w:p>
                <w:p w14:paraId="34456338">
                  <w:pPr>
                    <w:spacing w:line="240" w:lineRule="auto"/>
                    <w:jc w:val="center"/>
                    <w:rPr>
                      <w:rFonts w:hint="eastAsia"/>
                      <w:color w:val="auto"/>
                      <w:sz w:val="18"/>
                      <w:szCs w:val="18"/>
                    </w:rPr>
                  </w:pPr>
                  <w:r>
                    <w:rPr>
                      <w:rFonts w:hint="eastAsia"/>
                      <w:color w:val="auto"/>
                      <w:sz w:val="18"/>
                      <w:szCs w:val="18"/>
                    </w:rPr>
                    <w:t>4 的规定</w:t>
                  </w:r>
                </w:p>
                <w:p w14:paraId="2CD2AEA6">
                  <w:pPr>
                    <w:spacing w:line="240" w:lineRule="auto"/>
                    <w:jc w:val="center"/>
                    <w:rPr>
                      <w:rFonts w:hint="eastAsia"/>
                      <w:color w:val="auto"/>
                      <w:sz w:val="18"/>
                      <w:szCs w:val="18"/>
                    </w:rPr>
                  </w:pPr>
                  <w:r>
                    <w:rPr>
                      <w:rFonts w:hint="eastAsia"/>
                      <w:color w:val="auto"/>
                      <w:sz w:val="18"/>
                      <w:szCs w:val="18"/>
                    </w:rPr>
                    <w:t xml:space="preserve">表 </w:t>
                  </w:r>
                  <w:r>
                    <w:rPr>
                      <w:rFonts w:hint="eastAsia"/>
                      <w:color w:val="auto"/>
                      <w:sz w:val="18"/>
                      <w:szCs w:val="18"/>
                      <w:lang w:val="en-US" w:eastAsia="zh-CN"/>
                    </w:rPr>
                    <w:t>4</w:t>
                  </w:r>
                  <w:r>
                    <w:rPr>
                      <w:rFonts w:hint="eastAsia"/>
                      <w:color w:val="auto"/>
                      <w:sz w:val="18"/>
                      <w:szCs w:val="18"/>
                    </w:rPr>
                    <w:t xml:space="preserve"> 燃气炉熔化铝合金能耗指标（720℃）</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9"/>
                    <w:gridCol w:w="2040"/>
                  </w:tblGrid>
                  <w:tr w14:paraId="1AB3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39" w:type="dxa"/>
                      </w:tcPr>
                      <w:p w14:paraId="4A0AF20B">
                        <w:pPr>
                          <w:spacing w:line="240" w:lineRule="auto"/>
                          <w:jc w:val="center"/>
                          <w:rPr>
                            <w:rFonts w:hint="default" w:eastAsia="宋体"/>
                            <w:color w:val="auto"/>
                            <w:sz w:val="18"/>
                            <w:szCs w:val="18"/>
                            <w:vertAlign w:val="baseline"/>
                            <w:lang w:val="en-US" w:eastAsia="zh-CN"/>
                          </w:rPr>
                        </w:pPr>
                        <w:r>
                          <w:rPr>
                            <w:rFonts w:hint="eastAsia"/>
                            <w:color w:val="auto"/>
                            <w:sz w:val="18"/>
                            <w:szCs w:val="18"/>
                            <w:vertAlign w:val="baseline"/>
                            <w:lang w:val="en-US" w:eastAsia="zh-CN"/>
                          </w:rPr>
                          <w:t>设备名称</w:t>
                        </w:r>
                      </w:p>
                    </w:tc>
                    <w:tc>
                      <w:tcPr>
                        <w:tcW w:w="2040" w:type="dxa"/>
                      </w:tcPr>
                      <w:p w14:paraId="6F8C8D05">
                        <w:pPr>
                          <w:spacing w:line="240" w:lineRule="auto"/>
                          <w:jc w:val="center"/>
                          <w:rPr>
                            <w:rFonts w:hint="eastAsia" w:eastAsia="宋体"/>
                            <w:color w:val="auto"/>
                            <w:sz w:val="18"/>
                            <w:szCs w:val="18"/>
                            <w:vertAlign w:val="baseline"/>
                            <w:lang w:val="en-US" w:eastAsia="zh-CN"/>
                          </w:rPr>
                        </w:pPr>
                        <w:r>
                          <w:rPr>
                            <w:rFonts w:hint="eastAsia" w:eastAsia="宋体"/>
                            <w:color w:val="auto"/>
                            <w:sz w:val="18"/>
                            <w:szCs w:val="18"/>
                            <w:vertAlign w:val="baseline"/>
                            <w:lang w:val="en-US" w:eastAsia="zh-CN"/>
                          </w:rPr>
                          <w:t>最高能耗限值（kgce//t）</w:t>
                        </w:r>
                      </w:p>
                    </w:tc>
                  </w:tr>
                  <w:tr w14:paraId="3CC7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9" w:type="dxa"/>
                      </w:tcPr>
                      <w:p w14:paraId="79DE2435">
                        <w:pPr>
                          <w:spacing w:line="240" w:lineRule="auto"/>
                          <w:jc w:val="center"/>
                          <w:rPr>
                            <w:rFonts w:hint="default" w:eastAsia="宋体"/>
                            <w:color w:val="auto"/>
                            <w:sz w:val="18"/>
                            <w:szCs w:val="18"/>
                            <w:vertAlign w:val="baseline"/>
                            <w:lang w:val="en-US" w:eastAsia="zh-CN"/>
                          </w:rPr>
                        </w:pPr>
                        <w:r>
                          <w:rPr>
                            <w:rFonts w:hint="eastAsia"/>
                            <w:color w:val="auto"/>
                            <w:sz w:val="18"/>
                            <w:szCs w:val="18"/>
                            <w:vertAlign w:val="baseline"/>
                            <w:lang w:val="en-US" w:eastAsia="zh-CN"/>
                          </w:rPr>
                          <w:t>燃气炉</w:t>
                        </w:r>
                      </w:p>
                    </w:tc>
                    <w:tc>
                      <w:tcPr>
                        <w:tcW w:w="2040" w:type="dxa"/>
                      </w:tcPr>
                      <w:p w14:paraId="74277D22">
                        <w:pPr>
                          <w:spacing w:line="240" w:lineRule="auto"/>
                          <w:jc w:val="center"/>
                          <w:rPr>
                            <w:rFonts w:hint="default" w:eastAsia="宋体"/>
                            <w:color w:val="auto"/>
                            <w:sz w:val="18"/>
                            <w:szCs w:val="18"/>
                            <w:vertAlign w:val="baseline"/>
                            <w:lang w:val="en-US" w:eastAsia="zh-CN"/>
                          </w:rPr>
                        </w:pPr>
                        <w:r>
                          <w:rPr>
                            <w:rFonts w:hint="eastAsia"/>
                            <w:color w:val="auto"/>
                            <w:sz w:val="18"/>
                            <w:szCs w:val="18"/>
                            <w:vertAlign w:val="baseline"/>
                            <w:lang w:val="en-US" w:eastAsia="zh-CN"/>
                          </w:rPr>
                          <w:t>110</w:t>
                        </w:r>
                      </w:p>
                    </w:tc>
                  </w:tr>
                </w:tbl>
                <w:p w14:paraId="135E8682">
                  <w:pPr>
                    <w:spacing w:line="240" w:lineRule="auto"/>
                    <w:jc w:val="center"/>
                    <w:rPr>
                      <w:rFonts w:hint="eastAsia" w:eastAsia="宋体"/>
                      <w:color w:val="auto"/>
                      <w:sz w:val="18"/>
                      <w:szCs w:val="18"/>
                      <w:lang w:val="en-US" w:eastAsia="zh-CN"/>
                    </w:rPr>
                  </w:pPr>
                </w:p>
              </w:tc>
              <w:tc>
                <w:tcPr>
                  <w:tcW w:w="1506" w:type="pct"/>
                  <w:vAlign w:val="center"/>
                </w:tcPr>
                <w:p w14:paraId="633BE33C">
                  <w:pPr>
                    <w:spacing w:line="240" w:lineRule="auto"/>
                    <w:jc w:val="center"/>
                    <w:rPr>
                      <w:rFonts w:hint="eastAsia"/>
                      <w:color w:val="auto"/>
                      <w:sz w:val="18"/>
                      <w:szCs w:val="18"/>
                    </w:rPr>
                  </w:pPr>
                  <w:r>
                    <w:rPr>
                      <w:rFonts w:hint="eastAsia"/>
                      <w:color w:val="auto"/>
                      <w:sz w:val="18"/>
                      <w:szCs w:val="18"/>
                    </w:rPr>
                    <w:t>1、企业将建立能源管理制度。</w:t>
                  </w:r>
                </w:p>
                <w:p w14:paraId="165C3D8A">
                  <w:pPr>
                    <w:spacing w:line="240" w:lineRule="auto"/>
                    <w:jc w:val="center"/>
                    <w:rPr>
                      <w:rFonts w:hint="eastAsia"/>
                      <w:color w:val="auto"/>
                      <w:sz w:val="18"/>
                      <w:szCs w:val="18"/>
                    </w:rPr>
                  </w:pPr>
                  <w:r>
                    <w:rPr>
                      <w:rFonts w:hint="eastAsia"/>
                      <w:color w:val="auto"/>
                      <w:sz w:val="18"/>
                      <w:szCs w:val="18"/>
                    </w:rPr>
                    <w:t>2、企业将开展节能评估。</w:t>
                  </w:r>
                </w:p>
                <w:p w14:paraId="2B9310AD">
                  <w:pPr>
                    <w:spacing w:line="240" w:lineRule="auto"/>
                    <w:jc w:val="center"/>
                    <w:rPr>
                      <w:color w:val="auto"/>
                      <w:sz w:val="18"/>
                      <w:szCs w:val="18"/>
                    </w:rPr>
                  </w:pPr>
                  <w:r>
                    <w:rPr>
                      <w:rFonts w:hint="eastAsia"/>
                      <w:color w:val="auto"/>
                      <w:sz w:val="18"/>
                      <w:szCs w:val="18"/>
                    </w:rPr>
                    <w:t>3、根据铸造产能公示文件能源消耗表4可知，根据第二章工程分析，本项目燃气</w:t>
                  </w:r>
                  <w:r>
                    <w:rPr>
                      <w:rFonts w:hint="eastAsia"/>
                      <w:color w:val="auto"/>
                      <w:sz w:val="18"/>
                      <w:szCs w:val="18"/>
                      <w:lang w:val="en-US" w:eastAsia="zh-CN"/>
                    </w:rPr>
                    <w:t>集中熔铝炉</w:t>
                  </w:r>
                  <w:r>
                    <w:rPr>
                      <w:rFonts w:hint="eastAsia"/>
                      <w:color w:val="auto"/>
                      <w:sz w:val="18"/>
                      <w:szCs w:val="18"/>
                    </w:rPr>
                    <w:t>铝合金能耗指标为9</w:t>
                  </w:r>
                  <w:r>
                    <w:rPr>
                      <w:rFonts w:hint="eastAsia"/>
                      <w:color w:val="auto"/>
                      <w:sz w:val="18"/>
                      <w:szCs w:val="18"/>
                      <w:lang w:val="en-US" w:eastAsia="zh-CN"/>
                    </w:rPr>
                    <w:t>0</w:t>
                  </w:r>
                  <w:r>
                    <w:rPr>
                      <w:rFonts w:hint="eastAsia"/>
                      <w:color w:val="auto"/>
                      <w:sz w:val="18"/>
                      <w:szCs w:val="18"/>
                    </w:rPr>
                    <w:t>.75kgce/t。满足能源消耗指标。</w:t>
                  </w:r>
                </w:p>
              </w:tc>
              <w:tc>
                <w:tcPr>
                  <w:tcW w:w="448" w:type="pct"/>
                  <w:vAlign w:val="center"/>
                </w:tcPr>
                <w:p w14:paraId="5CA4F3F8">
                  <w:pPr>
                    <w:spacing w:line="240" w:lineRule="auto"/>
                    <w:jc w:val="center"/>
                    <w:rPr>
                      <w:color w:val="auto"/>
                      <w:sz w:val="18"/>
                      <w:szCs w:val="18"/>
                    </w:rPr>
                  </w:pPr>
                  <w:r>
                    <w:rPr>
                      <w:rFonts w:hint="eastAsia"/>
                      <w:color w:val="auto"/>
                      <w:sz w:val="18"/>
                      <w:szCs w:val="18"/>
                      <w:lang w:val="en-US" w:eastAsia="zh-CN"/>
                    </w:rPr>
                    <w:t>符合</w:t>
                  </w:r>
                </w:p>
              </w:tc>
            </w:tr>
            <w:tr w14:paraId="5CDA0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2" w:type="pct"/>
                  <w:vAlign w:val="center"/>
                </w:tcPr>
                <w:p w14:paraId="55890D1A">
                  <w:pPr>
                    <w:spacing w:line="240" w:lineRule="auto"/>
                    <w:jc w:val="center"/>
                    <w:rPr>
                      <w:rFonts w:hint="default"/>
                      <w:color w:val="auto"/>
                      <w:sz w:val="18"/>
                      <w:szCs w:val="18"/>
                      <w:lang w:val="en-US" w:eastAsia="zh-CN"/>
                    </w:rPr>
                  </w:pPr>
                  <w:r>
                    <w:rPr>
                      <w:rFonts w:hint="eastAsia"/>
                      <w:color w:val="auto"/>
                      <w:sz w:val="18"/>
                      <w:szCs w:val="18"/>
                      <w:lang w:val="en-US" w:eastAsia="zh-CN"/>
                    </w:rPr>
                    <w:t>质量保护</w:t>
                  </w:r>
                </w:p>
              </w:tc>
              <w:tc>
                <w:tcPr>
                  <w:tcW w:w="2572" w:type="pct"/>
                  <w:vAlign w:val="center"/>
                </w:tcPr>
                <w:p w14:paraId="42BD1FC6">
                  <w:pPr>
                    <w:spacing w:line="240" w:lineRule="auto"/>
                    <w:jc w:val="center"/>
                    <w:rPr>
                      <w:rFonts w:hint="eastAsia"/>
                      <w:color w:val="auto"/>
                      <w:sz w:val="18"/>
                      <w:szCs w:val="18"/>
                    </w:rPr>
                  </w:pPr>
                  <w:r>
                    <w:rPr>
                      <w:rFonts w:hint="eastAsia"/>
                      <w:color w:val="auto"/>
                      <w:sz w:val="18"/>
                      <w:szCs w:val="18"/>
                    </w:rPr>
                    <w:t>1、企业应遵守国家环保相关法律法规和标准要求，并按要求取得排污许可证。</w:t>
                  </w:r>
                </w:p>
                <w:p w14:paraId="19CF73C7">
                  <w:pPr>
                    <w:spacing w:line="240" w:lineRule="auto"/>
                    <w:jc w:val="center"/>
                    <w:rPr>
                      <w:rFonts w:hint="eastAsia"/>
                      <w:color w:val="auto"/>
                      <w:sz w:val="18"/>
                      <w:szCs w:val="18"/>
                    </w:rPr>
                  </w:pPr>
                  <w:r>
                    <w:rPr>
                      <w:rFonts w:hint="eastAsia"/>
                      <w:color w:val="auto"/>
                      <w:sz w:val="18"/>
                      <w:szCs w:val="18"/>
                    </w:rPr>
                    <w:t>2、企业应配置完善的环保处理装置，废气、废水、噪声、固体废弃物、危险废弃物等排放与处置措施应符合国家及地方环保法规和标准的规定。</w:t>
                  </w:r>
                </w:p>
                <w:p w14:paraId="070B3035">
                  <w:pPr>
                    <w:spacing w:line="240" w:lineRule="auto"/>
                    <w:jc w:val="center"/>
                    <w:rPr>
                      <w:rFonts w:hint="eastAsia"/>
                      <w:color w:val="auto"/>
                      <w:sz w:val="18"/>
                      <w:szCs w:val="18"/>
                    </w:rPr>
                  </w:pPr>
                  <w:r>
                    <w:rPr>
                      <w:rFonts w:hint="eastAsia"/>
                      <w:color w:val="auto"/>
                      <w:sz w:val="18"/>
                      <w:szCs w:val="18"/>
                    </w:rPr>
                    <w:t>3、企业可按照 GB/T24001 标准要求建立环境管理</w:t>
                  </w:r>
                </w:p>
                <w:p w14:paraId="557621F0">
                  <w:pPr>
                    <w:spacing w:line="240" w:lineRule="auto"/>
                    <w:jc w:val="center"/>
                    <w:rPr>
                      <w:rFonts w:hint="eastAsia"/>
                      <w:color w:val="auto"/>
                      <w:sz w:val="18"/>
                      <w:szCs w:val="18"/>
                    </w:rPr>
                  </w:pPr>
                  <w:r>
                    <w:rPr>
                      <w:rFonts w:hint="eastAsia"/>
                      <w:color w:val="auto"/>
                      <w:sz w:val="18"/>
                      <w:szCs w:val="18"/>
                    </w:rPr>
                    <w:t>体系、通过认证并持续有效运行。</w:t>
                  </w:r>
                </w:p>
              </w:tc>
              <w:tc>
                <w:tcPr>
                  <w:tcW w:w="1506" w:type="pct"/>
                  <w:vAlign w:val="center"/>
                </w:tcPr>
                <w:p w14:paraId="7D5AE207">
                  <w:pPr>
                    <w:spacing w:line="240" w:lineRule="auto"/>
                    <w:jc w:val="center"/>
                    <w:rPr>
                      <w:rFonts w:hint="eastAsia"/>
                      <w:color w:val="auto"/>
                      <w:sz w:val="18"/>
                      <w:szCs w:val="18"/>
                    </w:rPr>
                  </w:pPr>
                  <w:r>
                    <w:rPr>
                      <w:rFonts w:hint="eastAsia"/>
                      <w:color w:val="auto"/>
                      <w:sz w:val="18"/>
                      <w:szCs w:val="18"/>
                    </w:rPr>
                    <w:t>1、项目投产前，按照《固定污染源排污许可分类名录》要求，申请核发排污许可证。</w:t>
                  </w:r>
                </w:p>
                <w:p w14:paraId="7B218623">
                  <w:pPr>
                    <w:spacing w:line="240" w:lineRule="auto"/>
                    <w:jc w:val="center"/>
                    <w:rPr>
                      <w:color w:val="auto"/>
                      <w:sz w:val="18"/>
                      <w:szCs w:val="18"/>
                    </w:rPr>
                  </w:pPr>
                  <w:r>
                    <w:rPr>
                      <w:rFonts w:hint="eastAsia"/>
                      <w:color w:val="auto"/>
                      <w:sz w:val="18"/>
                      <w:szCs w:val="18"/>
                    </w:rPr>
                    <w:t>2、项目废气、废水、噪声等治理措施均满足《铸造工业大气污染防治可行技术指南》（HJ1292-2023）中可行技术，处理后均能满足相关排放标准。且固废处理处置均满足固废处理处置相关规定。满足环境保护政策要求。</w:t>
                  </w:r>
                </w:p>
              </w:tc>
              <w:tc>
                <w:tcPr>
                  <w:tcW w:w="448" w:type="pct"/>
                  <w:vAlign w:val="center"/>
                </w:tcPr>
                <w:p w14:paraId="2C0CA2D3">
                  <w:pPr>
                    <w:spacing w:line="240" w:lineRule="auto"/>
                    <w:jc w:val="center"/>
                    <w:rPr>
                      <w:color w:val="auto"/>
                      <w:sz w:val="18"/>
                      <w:szCs w:val="18"/>
                    </w:rPr>
                  </w:pPr>
                  <w:r>
                    <w:rPr>
                      <w:rFonts w:hint="eastAsia"/>
                      <w:color w:val="auto"/>
                      <w:sz w:val="18"/>
                      <w:szCs w:val="18"/>
                      <w:lang w:val="en-US" w:eastAsia="zh-CN"/>
                    </w:rPr>
                    <w:t>符合</w:t>
                  </w:r>
                </w:p>
              </w:tc>
            </w:tr>
          </w:tbl>
          <w:p w14:paraId="4F9CFF32">
            <w:pPr>
              <w:pStyle w:val="25"/>
              <w:numPr>
                <w:ilvl w:val="0"/>
                <w:numId w:val="18"/>
              </w:numPr>
              <w:rPr>
                <w:rFonts w:hint="eastAsia" w:cs="Times New Roman"/>
                <w:b/>
                <w:bCs/>
                <w:color w:val="auto"/>
                <w:sz w:val="24"/>
                <w:szCs w:val="24"/>
                <w:lang w:val="en-US" w:eastAsia="zh-CN"/>
              </w:rPr>
            </w:pPr>
            <w:r>
              <w:rPr>
                <w:rFonts w:hint="eastAsia" w:cs="Times New Roman"/>
                <w:b/>
                <w:bCs/>
                <w:color w:val="auto"/>
                <w:sz w:val="24"/>
                <w:szCs w:val="24"/>
                <w:lang w:val="en-US" w:eastAsia="zh-CN"/>
              </w:rPr>
              <w:t>与《铸造工业大气污染防治可行技术指南（HJ 1292-2023）》符合性分析</w:t>
            </w:r>
          </w:p>
          <w:p w14:paraId="36EE20A8">
            <w:pPr>
              <w:jc w:val="center"/>
              <w:rPr>
                <w:rFonts w:eastAsia="黑体"/>
                <w:bCs/>
                <w:color w:val="auto"/>
                <w:szCs w:val="24"/>
              </w:rPr>
            </w:pPr>
            <w:r>
              <w:rPr>
                <w:rFonts w:hint="eastAsia" w:eastAsia="黑体"/>
                <w:bCs/>
                <w:color w:val="auto"/>
                <w:szCs w:val="24"/>
              </w:rPr>
              <w:t>表</w:t>
            </w:r>
            <w:r>
              <w:rPr>
                <w:rFonts w:eastAsia="黑体"/>
                <w:bCs/>
                <w:color w:val="auto"/>
                <w:szCs w:val="24"/>
              </w:rPr>
              <w:t>1-</w:t>
            </w:r>
            <w:r>
              <w:rPr>
                <w:rFonts w:hint="eastAsia" w:eastAsia="黑体"/>
                <w:bCs/>
                <w:color w:val="auto"/>
                <w:szCs w:val="24"/>
                <w:lang w:val="en-US" w:eastAsia="zh-CN"/>
              </w:rPr>
              <w:t>15</w:t>
            </w:r>
            <w:r>
              <w:rPr>
                <w:rFonts w:eastAsia="黑体"/>
                <w:bCs/>
                <w:color w:val="auto"/>
                <w:szCs w:val="24"/>
              </w:rPr>
              <w:t xml:space="preserve">  </w:t>
            </w:r>
            <w:r>
              <w:rPr>
                <w:rFonts w:hint="eastAsia" w:eastAsia="黑体"/>
                <w:bCs/>
                <w:color w:val="auto"/>
                <w:szCs w:val="24"/>
              </w:rPr>
              <w:t>与</w:t>
            </w:r>
            <w:r>
              <w:rPr>
                <w:rFonts w:hint="eastAsia" w:cs="Times New Roman"/>
                <w:b/>
                <w:bCs/>
                <w:color w:val="auto"/>
                <w:sz w:val="24"/>
                <w:szCs w:val="24"/>
                <w:lang w:val="en-US" w:eastAsia="zh-CN"/>
              </w:rPr>
              <w:t>（HJ 1292-2023）</w:t>
            </w:r>
            <w:r>
              <w:rPr>
                <w:rFonts w:hint="eastAsia" w:eastAsia="黑体"/>
                <w:bCs/>
                <w:color w:val="auto"/>
                <w:szCs w:val="24"/>
              </w:rPr>
              <w:t>的符合性分析</w:t>
            </w:r>
          </w:p>
          <w:tbl>
            <w:tblPr>
              <w:tblStyle w:val="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3726"/>
              <w:gridCol w:w="2515"/>
              <w:gridCol w:w="748"/>
            </w:tblGrid>
            <w:tr w14:paraId="5BE5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Align w:val="center"/>
                </w:tcPr>
                <w:p w14:paraId="7EC8B2F0">
                  <w:pPr>
                    <w:spacing w:line="240" w:lineRule="auto"/>
                    <w:jc w:val="center"/>
                    <w:rPr>
                      <w:color w:val="auto"/>
                      <w:sz w:val="18"/>
                      <w:szCs w:val="18"/>
                    </w:rPr>
                  </w:pPr>
                  <w:r>
                    <w:rPr>
                      <w:color w:val="auto"/>
                      <w:sz w:val="18"/>
                      <w:szCs w:val="18"/>
                    </w:rPr>
                    <w:t>政策名称</w:t>
                  </w:r>
                </w:p>
              </w:tc>
              <w:tc>
                <w:tcPr>
                  <w:tcW w:w="2231" w:type="pct"/>
                  <w:vAlign w:val="center"/>
                </w:tcPr>
                <w:p w14:paraId="4D4D50C8">
                  <w:pPr>
                    <w:spacing w:line="240" w:lineRule="auto"/>
                    <w:jc w:val="center"/>
                    <w:rPr>
                      <w:color w:val="auto"/>
                      <w:sz w:val="18"/>
                      <w:szCs w:val="18"/>
                    </w:rPr>
                  </w:pPr>
                  <w:r>
                    <w:rPr>
                      <w:color w:val="auto"/>
                      <w:sz w:val="18"/>
                      <w:szCs w:val="18"/>
                    </w:rPr>
                    <w:t>相关要求</w:t>
                  </w:r>
                </w:p>
              </w:tc>
              <w:tc>
                <w:tcPr>
                  <w:tcW w:w="1506" w:type="pct"/>
                  <w:vAlign w:val="center"/>
                </w:tcPr>
                <w:p w14:paraId="380B9FE9">
                  <w:pPr>
                    <w:spacing w:line="240" w:lineRule="auto"/>
                    <w:jc w:val="center"/>
                    <w:rPr>
                      <w:color w:val="auto"/>
                      <w:sz w:val="18"/>
                      <w:szCs w:val="18"/>
                    </w:rPr>
                  </w:pPr>
                  <w:r>
                    <w:rPr>
                      <w:color w:val="auto"/>
                      <w:sz w:val="18"/>
                      <w:szCs w:val="18"/>
                    </w:rPr>
                    <w:t>本项目建设情况</w:t>
                  </w:r>
                </w:p>
              </w:tc>
              <w:tc>
                <w:tcPr>
                  <w:tcW w:w="448" w:type="pct"/>
                  <w:vAlign w:val="center"/>
                </w:tcPr>
                <w:p w14:paraId="111E5DB7">
                  <w:pPr>
                    <w:spacing w:line="240" w:lineRule="auto"/>
                    <w:jc w:val="center"/>
                    <w:rPr>
                      <w:color w:val="auto"/>
                      <w:sz w:val="18"/>
                      <w:szCs w:val="18"/>
                    </w:rPr>
                  </w:pPr>
                  <w:r>
                    <w:rPr>
                      <w:color w:val="auto"/>
                      <w:sz w:val="18"/>
                      <w:szCs w:val="18"/>
                    </w:rPr>
                    <w:t>符合性</w:t>
                  </w:r>
                </w:p>
              </w:tc>
            </w:tr>
            <w:tr w14:paraId="17C23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restart"/>
                  <w:vAlign w:val="center"/>
                </w:tcPr>
                <w:p w14:paraId="03DDF7D6">
                  <w:pPr>
                    <w:spacing w:line="240" w:lineRule="auto"/>
                    <w:jc w:val="center"/>
                    <w:rPr>
                      <w:color w:val="auto"/>
                      <w:sz w:val="18"/>
                      <w:szCs w:val="18"/>
                    </w:rPr>
                  </w:pPr>
                  <w:r>
                    <w:rPr>
                      <w:rFonts w:hint="eastAsia"/>
                      <w:color w:val="auto"/>
                      <w:sz w:val="18"/>
                      <w:szCs w:val="18"/>
                    </w:rPr>
                    <w:t>《铸造工业大气污染防治可行技术指南（HJ1292-2023）》</w:t>
                  </w:r>
                </w:p>
              </w:tc>
              <w:tc>
                <w:tcPr>
                  <w:tcW w:w="2231" w:type="pct"/>
                  <w:vAlign w:val="center"/>
                </w:tcPr>
                <w:p w14:paraId="60A63B41">
                  <w:pPr>
                    <w:spacing w:line="240" w:lineRule="auto"/>
                    <w:jc w:val="center"/>
                    <w:rPr>
                      <w:rFonts w:hint="eastAsia"/>
                      <w:color w:val="auto"/>
                      <w:sz w:val="18"/>
                      <w:szCs w:val="18"/>
                      <w:lang w:eastAsia="zh-CN"/>
                    </w:rPr>
                  </w:pPr>
                  <w:r>
                    <w:rPr>
                      <w:rFonts w:hint="eastAsia"/>
                      <w:color w:val="auto"/>
                      <w:sz w:val="18"/>
                      <w:szCs w:val="18"/>
                    </w:rPr>
                    <w:t>物料运输和转移过程控制措施</w:t>
                  </w:r>
                  <w:r>
                    <w:rPr>
                      <w:rFonts w:hint="eastAsia"/>
                      <w:color w:val="auto"/>
                      <w:sz w:val="18"/>
                      <w:szCs w:val="18"/>
                      <w:lang w:eastAsia="zh-CN"/>
                    </w:rPr>
                    <w:t>：</w:t>
                  </w:r>
                </w:p>
                <w:p w14:paraId="53379232">
                  <w:pPr>
                    <w:spacing w:line="240" w:lineRule="auto"/>
                    <w:jc w:val="center"/>
                    <w:rPr>
                      <w:rFonts w:hint="eastAsia"/>
                      <w:color w:val="auto"/>
                      <w:sz w:val="18"/>
                      <w:szCs w:val="18"/>
                      <w:lang w:eastAsia="zh-CN"/>
                    </w:rPr>
                  </w:pPr>
                  <w:r>
                    <w:rPr>
                      <w:rFonts w:hint="eastAsia"/>
                      <w:color w:val="auto"/>
                      <w:sz w:val="18"/>
                      <w:szCs w:val="18"/>
                      <w:lang w:val="en-US" w:eastAsia="zh-CN"/>
                    </w:rPr>
                    <w:t>1、</w:t>
                  </w:r>
                  <w:r>
                    <w:rPr>
                      <w:rFonts w:hint="eastAsia"/>
                      <w:color w:val="auto"/>
                      <w:sz w:val="18"/>
                      <w:szCs w:val="18"/>
                      <w:lang w:eastAsia="zh-CN"/>
                    </w:rPr>
                    <w:t>粉状物料的运输车辆采用密闭罐车；粒状、块状散装物料的运输车辆采用封闭车厢或苫盖严密。</w:t>
                  </w:r>
                </w:p>
                <w:p w14:paraId="28F46867">
                  <w:pPr>
                    <w:spacing w:line="240" w:lineRule="auto"/>
                    <w:jc w:val="center"/>
                    <w:rPr>
                      <w:rFonts w:hint="eastAsia"/>
                      <w:color w:val="auto"/>
                      <w:sz w:val="18"/>
                      <w:szCs w:val="18"/>
                      <w:lang w:eastAsia="zh-CN"/>
                    </w:rPr>
                  </w:pPr>
                  <w:r>
                    <w:rPr>
                      <w:rFonts w:hint="eastAsia"/>
                      <w:color w:val="auto"/>
                      <w:sz w:val="18"/>
                      <w:szCs w:val="18"/>
                      <w:lang w:val="en-US" w:eastAsia="zh-CN"/>
                    </w:rPr>
                    <w:t>2、</w:t>
                  </w:r>
                  <w:r>
                    <w:rPr>
                      <w:rFonts w:hint="eastAsia"/>
                      <w:color w:val="auto"/>
                      <w:sz w:val="18"/>
                      <w:szCs w:val="18"/>
                      <w:lang w:eastAsia="zh-CN"/>
                    </w:rPr>
                    <w:t>除尘器卸灰口应采取密闭措施，铝熔炼烟尘采取袋装、罐装等密闭方式收集、存放和运输，不得直接卸落到地面。</w:t>
                  </w:r>
                </w:p>
                <w:p w14:paraId="4075B607">
                  <w:pPr>
                    <w:spacing w:line="240" w:lineRule="auto"/>
                    <w:jc w:val="center"/>
                    <w:rPr>
                      <w:rFonts w:hint="eastAsia"/>
                      <w:color w:val="auto"/>
                      <w:sz w:val="18"/>
                      <w:szCs w:val="18"/>
                      <w:lang w:eastAsia="zh-CN"/>
                    </w:rPr>
                  </w:pPr>
                  <w:r>
                    <w:rPr>
                      <w:rFonts w:hint="eastAsia"/>
                      <w:color w:val="auto"/>
                      <w:sz w:val="18"/>
                      <w:szCs w:val="18"/>
                      <w:lang w:val="en-US" w:eastAsia="zh-CN"/>
                    </w:rPr>
                    <w:t>3、</w:t>
                  </w:r>
                  <w:r>
                    <w:rPr>
                      <w:rFonts w:hint="eastAsia"/>
                      <w:color w:val="auto"/>
                      <w:sz w:val="18"/>
                      <w:szCs w:val="18"/>
                      <w:lang w:eastAsia="zh-CN"/>
                    </w:rPr>
                    <w:t>转移、输送过程中产尘点应采取集气除尘措施，或喷淋(雾)等抑尘措施。固定作业的产尘点宜优先采用收尘技术，在不影响生产和安全的前提下，尽量提高收尘罩的密闭性；间歇式、非固定的产尘点，宜采用喷淋(雾)等抑尘技术。</w:t>
                  </w:r>
                </w:p>
                <w:p w14:paraId="355748D1">
                  <w:pPr>
                    <w:spacing w:line="240" w:lineRule="auto"/>
                    <w:jc w:val="center"/>
                    <w:rPr>
                      <w:rFonts w:hint="eastAsia"/>
                      <w:color w:val="auto"/>
                      <w:sz w:val="18"/>
                      <w:szCs w:val="18"/>
                      <w:lang w:eastAsia="zh-CN"/>
                    </w:rPr>
                  </w:pPr>
                  <w:r>
                    <w:rPr>
                      <w:rFonts w:hint="eastAsia"/>
                      <w:color w:val="auto"/>
                      <w:sz w:val="18"/>
                      <w:szCs w:val="18"/>
                      <w:lang w:val="en-US" w:eastAsia="zh-CN"/>
                    </w:rPr>
                    <w:t>4、</w:t>
                  </w:r>
                  <w:r>
                    <w:rPr>
                      <w:rFonts w:hint="eastAsia"/>
                      <w:color w:val="auto"/>
                      <w:sz w:val="18"/>
                      <w:szCs w:val="18"/>
                      <w:lang w:eastAsia="zh-CN"/>
                    </w:rPr>
                    <w:t>转移VOCs物料时，应采用密闭容器或密闭管道输送。</w:t>
                  </w:r>
                </w:p>
                <w:p w14:paraId="53FF408C">
                  <w:pPr>
                    <w:spacing w:line="240" w:lineRule="auto"/>
                    <w:jc w:val="center"/>
                    <w:rPr>
                      <w:rFonts w:hint="eastAsia" w:eastAsia="宋体"/>
                      <w:color w:val="auto"/>
                      <w:sz w:val="18"/>
                      <w:szCs w:val="18"/>
                      <w:lang w:eastAsia="zh-CN"/>
                    </w:rPr>
                  </w:pPr>
                  <w:r>
                    <w:rPr>
                      <w:rFonts w:hint="eastAsia"/>
                      <w:color w:val="auto"/>
                      <w:sz w:val="18"/>
                      <w:szCs w:val="18"/>
                      <w:lang w:val="en-US" w:eastAsia="zh-CN"/>
                    </w:rPr>
                    <w:t>5、</w:t>
                  </w:r>
                  <w:r>
                    <w:rPr>
                      <w:rFonts w:hint="eastAsia"/>
                      <w:color w:val="auto"/>
                      <w:sz w:val="18"/>
                      <w:szCs w:val="18"/>
                      <w:lang w:eastAsia="zh-CN"/>
                    </w:rPr>
                    <w:t>厂区道路宜硬化，并采取清扫、酒水等措施，保持清洁。</w:t>
                  </w:r>
                </w:p>
              </w:tc>
              <w:tc>
                <w:tcPr>
                  <w:tcW w:w="1506" w:type="pct"/>
                  <w:vAlign w:val="center"/>
                </w:tcPr>
                <w:p w14:paraId="762E7101">
                  <w:pPr>
                    <w:spacing w:line="240" w:lineRule="auto"/>
                    <w:jc w:val="center"/>
                    <w:rPr>
                      <w:rFonts w:hint="eastAsia"/>
                      <w:color w:val="auto"/>
                      <w:sz w:val="18"/>
                      <w:szCs w:val="18"/>
                    </w:rPr>
                  </w:pPr>
                  <w:r>
                    <w:rPr>
                      <w:rFonts w:hint="eastAsia"/>
                      <w:color w:val="auto"/>
                      <w:sz w:val="18"/>
                      <w:szCs w:val="18"/>
                      <w:lang w:val="en-US" w:eastAsia="zh-CN"/>
                    </w:rPr>
                    <w:t>1、</w:t>
                  </w:r>
                  <w:r>
                    <w:rPr>
                      <w:rFonts w:hint="eastAsia"/>
                      <w:color w:val="auto"/>
                      <w:sz w:val="18"/>
                      <w:szCs w:val="18"/>
                    </w:rPr>
                    <w:t>本项目</w:t>
                  </w:r>
                  <w:r>
                    <w:rPr>
                      <w:rFonts w:hint="eastAsia"/>
                      <w:color w:val="auto"/>
                      <w:sz w:val="18"/>
                      <w:szCs w:val="18"/>
                      <w:lang w:val="en-US" w:eastAsia="zh-CN"/>
                    </w:rPr>
                    <w:t>使用精炼剂为粉块物料，运输过程中</w:t>
                  </w:r>
                  <w:r>
                    <w:rPr>
                      <w:rFonts w:hint="eastAsia"/>
                      <w:color w:val="auto"/>
                      <w:sz w:val="18"/>
                      <w:szCs w:val="18"/>
                      <w:lang w:eastAsia="zh-CN"/>
                    </w:rPr>
                    <w:t>苫盖严密</w:t>
                  </w:r>
                  <w:r>
                    <w:rPr>
                      <w:rFonts w:hint="eastAsia"/>
                      <w:color w:val="auto"/>
                      <w:sz w:val="18"/>
                      <w:szCs w:val="18"/>
                    </w:rPr>
                    <w:t>。</w:t>
                  </w:r>
                </w:p>
                <w:p w14:paraId="7231C23C">
                  <w:pPr>
                    <w:spacing w:line="240" w:lineRule="auto"/>
                    <w:jc w:val="center"/>
                    <w:rPr>
                      <w:rFonts w:hint="eastAsia"/>
                      <w:color w:val="auto"/>
                      <w:sz w:val="18"/>
                      <w:szCs w:val="18"/>
                      <w:lang w:eastAsia="zh-CN"/>
                    </w:rPr>
                  </w:pPr>
                  <w:r>
                    <w:rPr>
                      <w:rFonts w:hint="eastAsia"/>
                      <w:color w:val="auto"/>
                      <w:sz w:val="18"/>
                      <w:szCs w:val="18"/>
                      <w:lang w:val="en-US" w:eastAsia="zh-CN"/>
                    </w:rPr>
                    <w:t>2、本项目建成后</w:t>
                  </w:r>
                  <w:r>
                    <w:rPr>
                      <w:rFonts w:hint="eastAsia"/>
                      <w:color w:val="auto"/>
                      <w:sz w:val="18"/>
                      <w:szCs w:val="18"/>
                      <w:lang w:eastAsia="zh-CN"/>
                    </w:rPr>
                    <w:t>除尘器卸灰口采取密闭措施，铝熔炼烟尘采取袋装密闭方式收集、存放和运输。</w:t>
                  </w:r>
                </w:p>
                <w:p w14:paraId="434A2A94">
                  <w:pPr>
                    <w:spacing w:line="240" w:lineRule="auto"/>
                    <w:jc w:val="center"/>
                    <w:rPr>
                      <w:rFonts w:hint="default"/>
                      <w:color w:val="auto"/>
                      <w:sz w:val="18"/>
                      <w:szCs w:val="18"/>
                      <w:lang w:val="en-US" w:eastAsia="zh-CN"/>
                    </w:rPr>
                  </w:pPr>
                  <w:r>
                    <w:rPr>
                      <w:rFonts w:hint="eastAsia"/>
                      <w:color w:val="auto"/>
                      <w:sz w:val="18"/>
                      <w:szCs w:val="18"/>
                      <w:lang w:val="en-US" w:eastAsia="zh-CN"/>
                    </w:rPr>
                    <w:t>3、本项目熔化、扒渣、浇注除气除渣工段均采用集气装置收集后经布袋除尘装置处理。</w:t>
                  </w:r>
                </w:p>
                <w:p w14:paraId="6B56BDE7">
                  <w:pPr>
                    <w:spacing w:line="240" w:lineRule="auto"/>
                    <w:jc w:val="center"/>
                    <w:rPr>
                      <w:rFonts w:hint="default"/>
                      <w:color w:val="auto"/>
                      <w:sz w:val="18"/>
                      <w:szCs w:val="18"/>
                      <w:lang w:val="en-US" w:eastAsia="zh-CN"/>
                    </w:rPr>
                  </w:pPr>
                  <w:r>
                    <w:rPr>
                      <w:rFonts w:hint="eastAsia"/>
                      <w:color w:val="auto"/>
                      <w:sz w:val="18"/>
                      <w:szCs w:val="18"/>
                      <w:lang w:val="en-US" w:eastAsia="zh-CN"/>
                    </w:rPr>
                    <w:t>4、本项目不涉及VOC物料。</w:t>
                  </w:r>
                </w:p>
                <w:p w14:paraId="21A42608">
                  <w:pPr>
                    <w:spacing w:line="240" w:lineRule="auto"/>
                    <w:jc w:val="center"/>
                    <w:rPr>
                      <w:rFonts w:hint="default"/>
                      <w:color w:val="auto"/>
                      <w:lang w:val="en-US" w:eastAsia="zh-CN"/>
                    </w:rPr>
                  </w:pPr>
                  <w:r>
                    <w:rPr>
                      <w:rFonts w:hint="eastAsia"/>
                      <w:color w:val="auto"/>
                      <w:sz w:val="18"/>
                      <w:szCs w:val="18"/>
                      <w:lang w:val="en-US" w:eastAsia="zh-CN"/>
                    </w:rPr>
                    <w:t>5、厂区已道路硬化，定期</w:t>
                  </w:r>
                  <w:r>
                    <w:rPr>
                      <w:rFonts w:hint="eastAsia"/>
                      <w:color w:val="auto"/>
                      <w:sz w:val="18"/>
                      <w:szCs w:val="18"/>
                      <w:lang w:eastAsia="zh-CN"/>
                    </w:rPr>
                    <w:t>清扫、酒水等措施，保持清洁。</w:t>
                  </w:r>
                </w:p>
              </w:tc>
              <w:tc>
                <w:tcPr>
                  <w:tcW w:w="448" w:type="pct"/>
                  <w:vAlign w:val="center"/>
                </w:tcPr>
                <w:p w14:paraId="0BD8C5C2">
                  <w:pPr>
                    <w:spacing w:line="240" w:lineRule="auto"/>
                    <w:jc w:val="center"/>
                    <w:rPr>
                      <w:color w:val="auto"/>
                      <w:sz w:val="18"/>
                      <w:szCs w:val="18"/>
                    </w:rPr>
                  </w:pPr>
                  <w:r>
                    <w:rPr>
                      <w:color w:val="auto"/>
                      <w:sz w:val="18"/>
                      <w:szCs w:val="18"/>
                    </w:rPr>
                    <w:t>符合</w:t>
                  </w:r>
                </w:p>
              </w:tc>
            </w:tr>
            <w:tr w14:paraId="68AD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173FA8B9">
                  <w:pPr>
                    <w:spacing w:line="240" w:lineRule="auto"/>
                    <w:jc w:val="center"/>
                    <w:rPr>
                      <w:rFonts w:hint="eastAsia"/>
                      <w:color w:val="auto"/>
                      <w:sz w:val="18"/>
                      <w:szCs w:val="18"/>
                    </w:rPr>
                  </w:pPr>
                </w:p>
              </w:tc>
              <w:tc>
                <w:tcPr>
                  <w:tcW w:w="2231" w:type="pct"/>
                  <w:vAlign w:val="center"/>
                </w:tcPr>
                <w:p w14:paraId="155ADF39">
                  <w:pPr>
                    <w:spacing w:line="240" w:lineRule="auto"/>
                    <w:jc w:val="center"/>
                    <w:rPr>
                      <w:rFonts w:hint="eastAsia"/>
                      <w:color w:val="auto"/>
                      <w:sz w:val="18"/>
                      <w:szCs w:val="18"/>
                      <w:lang w:eastAsia="zh-CN"/>
                    </w:rPr>
                  </w:pPr>
                  <w:r>
                    <w:rPr>
                      <w:rFonts w:hint="eastAsia"/>
                      <w:color w:val="auto"/>
                      <w:sz w:val="18"/>
                      <w:szCs w:val="18"/>
                    </w:rPr>
                    <w:t>工艺生产过程控制措施</w:t>
                  </w:r>
                  <w:r>
                    <w:rPr>
                      <w:rFonts w:hint="eastAsia"/>
                      <w:color w:val="auto"/>
                      <w:sz w:val="18"/>
                      <w:szCs w:val="18"/>
                      <w:lang w:eastAsia="zh-CN"/>
                    </w:rPr>
                    <w:t>：</w:t>
                  </w:r>
                </w:p>
                <w:p w14:paraId="223055D7">
                  <w:pPr>
                    <w:spacing w:line="240" w:lineRule="auto"/>
                    <w:jc w:val="center"/>
                    <w:rPr>
                      <w:rFonts w:hint="eastAsia"/>
                      <w:color w:val="auto"/>
                      <w:sz w:val="18"/>
                      <w:szCs w:val="18"/>
                      <w:lang w:val="en-US" w:eastAsia="zh-CN"/>
                    </w:rPr>
                  </w:pPr>
                  <w:r>
                    <w:rPr>
                      <w:rFonts w:hint="eastAsia"/>
                      <w:color w:val="auto"/>
                      <w:sz w:val="18"/>
                      <w:szCs w:val="18"/>
                      <w:lang w:val="en-US" w:eastAsia="zh-CN"/>
                    </w:rPr>
                    <w:t>1、球化、孕育、调质、炉外精炼、除气等金属液处理宜定点处理，并安装集气罩和配备除尘设施。</w:t>
                  </w:r>
                </w:p>
                <w:p w14:paraId="5A4ABF23">
                  <w:pPr>
                    <w:spacing w:line="240" w:lineRule="auto"/>
                    <w:jc w:val="center"/>
                    <w:rPr>
                      <w:rFonts w:hint="eastAsia"/>
                      <w:color w:val="auto"/>
                      <w:sz w:val="18"/>
                      <w:szCs w:val="18"/>
                      <w:lang w:val="en-US" w:eastAsia="zh-CN"/>
                    </w:rPr>
                  </w:pPr>
                  <w:r>
                    <w:rPr>
                      <w:rFonts w:hint="eastAsia"/>
                      <w:color w:val="auto"/>
                      <w:sz w:val="18"/>
                      <w:szCs w:val="18"/>
                      <w:lang w:val="en-US" w:eastAsia="zh-CN"/>
                    </w:rPr>
                    <w:t>2、造型、制芯、浇注工序宜在密闭(封闭)空间内操作，或安装集气罩，废气应排至除尘设施、VOCs废气收集处理系统：涉恶臭气体排放的，应设有恶臭气体收集处理系统，恶臭排放应符合 GB 14554的规定</w:t>
                  </w:r>
                </w:p>
                <w:p w14:paraId="2D50ACB3">
                  <w:pPr>
                    <w:spacing w:line="240" w:lineRule="auto"/>
                    <w:jc w:val="center"/>
                    <w:rPr>
                      <w:rFonts w:hint="eastAsia"/>
                      <w:color w:val="auto"/>
                      <w:lang w:eastAsia="zh-CN"/>
                    </w:rPr>
                  </w:pPr>
                  <w:r>
                    <w:rPr>
                      <w:rFonts w:hint="eastAsia"/>
                      <w:color w:val="auto"/>
                      <w:sz w:val="18"/>
                      <w:szCs w:val="18"/>
                      <w:lang w:val="en-US" w:eastAsia="zh-CN"/>
                    </w:rPr>
                    <w:t>3、金属液转运应采用转运通廊，废气收集至除尘设施，或采用移动集气和除尘设施；无法采用上述措施的，应采用浇包包盖、覆盖、集渣覆盖层等措施减少无组织排放。</w:t>
                  </w:r>
                </w:p>
              </w:tc>
              <w:tc>
                <w:tcPr>
                  <w:tcW w:w="1506" w:type="pct"/>
                  <w:vAlign w:val="center"/>
                </w:tcPr>
                <w:p w14:paraId="079727F0">
                  <w:pPr>
                    <w:spacing w:line="240" w:lineRule="auto"/>
                    <w:jc w:val="center"/>
                    <w:rPr>
                      <w:rFonts w:hint="eastAsia"/>
                      <w:color w:val="auto"/>
                      <w:sz w:val="18"/>
                      <w:szCs w:val="18"/>
                      <w:lang w:val="en-US" w:eastAsia="zh-CN"/>
                    </w:rPr>
                  </w:pPr>
                  <w:r>
                    <w:rPr>
                      <w:rFonts w:hint="eastAsia"/>
                      <w:color w:val="auto"/>
                      <w:sz w:val="18"/>
                      <w:szCs w:val="18"/>
                      <w:lang w:val="en-US" w:eastAsia="zh-CN"/>
                    </w:rPr>
                    <w:t>1、本项目熔化、除气除渣等金属液处理位于固定熔炼区，并安装集气罩和配备除尘设施。</w:t>
                  </w:r>
                </w:p>
                <w:p w14:paraId="29A6B536">
                  <w:pPr>
                    <w:spacing w:line="240" w:lineRule="auto"/>
                    <w:jc w:val="center"/>
                    <w:rPr>
                      <w:rFonts w:hint="default"/>
                      <w:color w:val="auto"/>
                      <w:sz w:val="18"/>
                      <w:szCs w:val="18"/>
                      <w:lang w:val="en-US" w:eastAsia="zh-CN"/>
                    </w:rPr>
                  </w:pPr>
                  <w:r>
                    <w:rPr>
                      <w:rFonts w:hint="eastAsia"/>
                      <w:color w:val="auto"/>
                      <w:sz w:val="18"/>
                      <w:szCs w:val="18"/>
                      <w:lang w:val="en-US" w:eastAsia="zh-CN"/>
                    </w:rPr>
                    <w:t>2、本项目浇注工序上方安装集气罩，废气排至布袋除尘设施，本项目不使用脱模剂，不产生VOC气体</w:t>
                  </w:r>
                </w:p>
                <w:p w14:paraId="02585E5B">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3、本项目金属液转运采用转运通廊，采用转运包包盖、覆盖等措施减少无组织排放。</w:t>
                  </w:r>
                </w:p>
              </w:tc>
              <w:tc>
                <w:tcPr>
                  <w:tcW w:w="448" w:type="pct"/>
                  <w:vAlign w:val="center"/>
                </w:tcPr>
                <w:p w14:paraId="50D620EE">
                  <w:pPr>
                    <w:spacing w:line="240" w:lineRule="auto"/>
                    <w:jc w:val="center"/>
                    <w:rPr>
                      <w:color w:val="auto"/>
                      <w:sz w:val="18"/>
                      <w:szCs w:val="18"/>
                    </w:rPr>
                  </w:pPr>
                  <w:r>
                    <w:rPr>
                      <w:color w:val="auto"/>
                      <w:sz w:val="18"/>
                      <w:szCs w:val="18"/>
                    </w:rPr>
                    <w:t>符合</w:t>
                  </w:r>
                </w:p>
              </w:tc>
            </w:tr>
            <w:tr w14:paraId="62F3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46CC6BB5">
                  <w:pPr>
                    <w:spacing w:line="240" w:lineRule="auto"/>
                    <w:jc w:val="center"/>
                    <w:rPr>
                      <w:rFonts w:hint="eastAsia"/>
                      <w:color w:val="auto"/>
                      <w:sz w:val="18"/>
                      <w:szCs w:val="18"/>
                    </w:rPr>
                  </w:pPr>
                </w:p>
              </w:tc>
              <w:tc>
                <w:tcPr>
                  <w:tcW w:w="2231" w:type="pct"/>
                  <w:vAlign w:val="center"/>
                </w:tcPr>
                <w:p w14:paraId="0ECA9CC0">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废气收集系统的控制要求：</w:t>
                  </w:r>
                </w:p>
                <w:p w14:paraId="18E1DC91">
                  <w:pPr>
                    <w:spacing w:line="240" w:lineRule="auto"/>
                    <w:jc w:val="center"/>
                    <w:rPr>
                      <w:rFonts w:hint="eastAsia" w:eastAsia="宋体"/>
                      <w:color w:val="auto"/>
                      <w:sz w:val="18"/>
                      <w:szCs w:val="18"/>
                      <w:lang w:eastAsia="zh-CN"/>
                    </w:rPr>
                  </w:pPr>
                  <w:r>
                    <w:rPr>
                      <w:rFonts w:hint="eastAsia"/>
                      <w:color w:val="auto"/>
                      <w:sz w:val="18"/>
                      <w:szCs w:val="18"/>
                    </w:rPr>
                    <w:t>废气收集系统排风罩(集气罩)的设置应满足GB/T 16758的要求，并按照GB/T 16758和WS/T757-2016 规定的方法测量控制风速，测量点应选取在距排风罩开口面最远处无组织排放位置，VOCs的排风罩控制风速不应低于0.3m/，颗粒物的排风罩控制风速不应低于WS/T 757-2016规定的限值</w:t>
                  </w:r>
                  <w:r>
                    <w:rPr>
                      <w:rFonts w:hint="eastAsia"/>
                      <w:color w:val="auto"/>
                      <w:sz w:val="18"/>
                      <w:szCs w:val="18"/>
                      <w:lang w:eastAsia="zh-CN"/>
                    </w:rPr>
                    <w:t>。</w:t>
                  </w:r>
                </w:p>
              </w:tc>
              <w:tc>
                <w:tcPr>
                  <w:tcW w:w="1506" w:type="pct"/>
                  <w:vAlign w:val="center"/>
                </w:tcPr>
                <w:p w14:paraId="521FEA8E">
                  <w:pPr>
                    <w:spacing w:line="240" w:lineRule="auto"/>
                    <w:jc w:val="center"/>
                    <w:rPr>
                      <w:color w:val="auto"/>
                      <w:sz w:val="18"/>
                      <w:szCs w:val="18"/>
                    </w:rPr>
                  </w:pPr>
                  <w:r>
                    <w:rPr>
                      <w:rFonts w:hint="eastAsia"/>
                      <w:color w:val="auto"/>
                      <w:sz w:val="18"/>
                      <w:szCs w:val="18"/>
                    </w:rPr>
                    <w:t>本项目废气收集系统排风罩(集气罩)的设置应满足GB/T 16758的要求，并按照GB/T 16758和WS/T757-2016 规定的方法测量控制风速，测量点应选取在距排风罩开口面最远处无组织排放位置。</w:t>
                  </w:r>
                </w:p>
              </w:tc>
              <w:tc>
                <w:tcPr>
                  <w:tcW w:w="448" w:type="pct"/>
                  <w:vAlign w:val="center"/>
                </w:tcPr>
                <w:p w14:paraId="67BB1A73">
                  <w:pPr>
                    <w:spacing w:line="240" w:lineRule="auto"/>
                    <w:jc w:val="center"/>
                    <w:rPr>
                      <w:color w:val="auto"/>
                      <w:sz w:val="18"/>
                      <w:szCs w:val="18"/>
                    </w:rPr>
                  </w:pPr>
                  <w:r>
                    <w:rPr>
                      <w:color w:val="auto"/>
                      <w:sz w:val="18"/>
                      <w:szCs w:val="18"/>
                    </w:rPr>
                    <w:t>符合</w:t>
                  </w:r>
                </w:p>
              </w:tc>
            </w:tr>
            <w:tr w14:paraId="186D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1FE5300C">
                  <w:pPr>
                    <w:spacing w:line="240" w:lineRule="auto"/>
                    <w:jc w:val="center"/>
                    <w:rPr>
                      <w:rFonts w:hint="eastAsia"/>
                      <w:color w:val="auto"/>
                      <w:sz w:val="18"/>
                      <w:szCs w:val="18"/>
                    </w:rPr>
                  </w:pPr>
                </w:p>
              </w:tc>
              <w:tc>
                <w:tcPr>
                  <w:tcW w:w="2231" w:type="pct"/>
                  <w:vAlign w:val="center"/>
                </w:tcPr>
                <w:p w14:paraId="6920038F">
                  <w:pPr>
                    <w:spacing w:line="240" w:lineRule="auto"/>
                    <w:jc w:val="center"/>
                    <w:rPr>
                      <w:rFonts w:hint="eastAsia" w:eastAsia="宋体"/>
                      <w:color w:val="auto"/>
                      <w:sz w:val="18"/>
                      <w:szCs w:val="18"/>
                      <w:lang w:val="en-US" w:eastAsia="zh-CN"/>
                    </w:rPr>
                  </w:pPr>
                  <w:r>
                    <w:rPr>
                      <w:rFonts w:hint="eastAsia"/>
                      <w:color w:val="auto"/>
                      <w:sz w:val="18"/>
                      <w:szCs w:val="18"/>
                    </w:rPr>
                    <w:t>浇注工序大气污染防治可行技术</w:t>
                  </w:r>
                  <w:r>
                    <w:rPr>
                      <w:rFonts w:hint="eastAsia"/>
                      <w:color w:val="auto"/>
                      <w:sz w:val="18"/>
                      <w:szCs w:val="18"/>
                      <w:lang w:eastAsia="zh-CN"/>
                    </w:rPr>
                    <w:t>：</w:t>
                  </w:r>
                </w:p>
                <w:p w14:paraId="06A7B6C5">
                  <w:pPr>
                    <w:numPr>
                      <w:ilvl w:val="0"/>
                      <w:numId w:val="19"/>
                    </w:numPr>
                    <w:spacing w:line="240" w:lineRule="auto"/>
                    <w:jc w:val="center"/>
                    <w:rPr>
                      <w:rFonts w:hint="eastAsia" w:eastAsia="宋体"/>
                      <w:color w:val="auto"/>
                      <w:sz w:val="18"/>
                      <w:szCs w:val="18"/>
                      <w:lang w:val="en-US" w:eastAsia="zh-CN"/>
                    </w:rPr>
                  </w:pPr>
                  <w:r>
                    <w:rPr>
                      <w:rFonts w:hint="eastAsia"/>
                      <w:color w:val="auto"/>
                      <w:sz w:val="18"/>
                      <w:szCs w:val="18"/>
                    </w:rPr>
                    <w:t>适用于水玻璃砂、熔模、无有机质粘土砂、使用无机粘结剂的铸造工艺及石墨型、金属型、离心等不使用粘结剂铸造工艺的浇注工序</w:t>
                  </w:r>
                  <w:r>
                    <w:rPr>
                      <w:rFonts w:hint="eastAsia"/>
                      <w:color w:val="auto"/>
                      <w:sz w:val="18"/>
                      <w:szCs w:val="18"/>
                      <w:lang w:eastAsia="zh-CN"/>
                    </w:rPr>
                    <w:t>：①旋风除尘技术(可选)+②袋式除尘技术/滤简除尘技术</w:t>
                  </w:r>
                  <w:r>
                    <w:rPr>
                      <w:rFonts w:hint="eastAsia"/>
                      <w:color w:val="auto"/>
                      <w:sz w:val="18"/>
                      <w:szCs w:val="18"/>
                    </w:rPr>
                    <w:t>。</w:t>
                  </w:r>
                </w:p>
              </w:tc>
              <w:tc>
                <w:tcPr>
                  <w:tcW w:w="1506" w:type="pct"/>
                  <w:vAlign w:val="center"/>
                </w:tcPr>
                <w:p w14:paraId="4634A97C">
                  <w:pPr>
                    <w:spacing w:line="240" w:lineRule="auto"/>
                    <w:jc w:val="center"/>
                    <w:rPr>
                      <w:rFonts w:hint="eastAsia" w:eastAsia="宋体"/>
                      <w:color w:val="auto"/>
                      <w:sz w:val="18"/>
                      <w:szCs w:val="18"/>
                      <w:lang w:eastAsia="zh-CN"/>
                    </w:rPr>
                  </w:pPr>
                  <w:r>
                    <w:rPr>
                      <w:rFonts w:hint="eastAsia"/>
                      <w:color w:val="auto"/>
                      <w:sz w:val="18"/>
                      <w:szCs w:val="18"/>
                      <w:lang w:val="en-US" w:eastAsia="zh-CN"/>
                    </w:rPr>
                    <w:t>本项目为金属型、离心浇注，不使用粘结剂，本项目采取</w:t>
                  </w:r>
                  <w:r>
                    <w:rPr>
                      <w:rFonts w:hint="eastAsia"/>
                      <w:color w:val="auto"/>
                      <w:sz w:val="18"/>
                      <w:szCs w:val="18"/>
                      <w:lang w:eastAsia="zh-CN"/>
                    </w:rPr>
                    <w:t>袋式除尘技术，</w:t>
                  </w:r>
                  <w:r>
                    <w:rPr>
                      <w:rFonts w:hint="eastAsia"/>
                      <w:color w:val="auto"/>
                      <w:sz w:val="18"/>
                      <w:szCs w:val="18"/>
                      <w:lang w:val="en-US" w:eastAsia="zh-CN"/>
                    </w:rPr>
                    <w:t>为可行技术</w:t>
                  </w:r>
                  <w:r>
                    <w:rPr>
                      <w:rFonts w:hint="eastAsia"/>
                      <w:color w:val="auto"/>
                      <w:sz w:val="18"/>
                      <w:szCs w:val="18"/>
                      <w:lang w:eastAsia="zh-CN"/>
                    </w:rPr>
                    <w:t>。</w:t>
                  </w:r>
                </w:p>
              </w:tc>
              <w:tc>
                <w:tcPr>
                  <w:tcW w:w="448" w:type="pct"/>
                  <w:vAlign w:val="center"/>
                </w:tcPr>
                <w:p w14:paraId="5743412C">
                  <w:pPr>
                    <w:spacing w:line="240" w:lineRule="auto"/>
                    <w:jc w:val="center"/>
                    <w:rPr>
                      <w:color w:val="auto"/>
                      <w:sz w:val="18"/>
                      <w:szCs w:val="18"/>
                    </w:rPr>
                  </w:pPr>
                  <w:r>
                    <w:rPr>
                      <w:color w:val="auto"/>
                      <w:sz w:val="18"/>
                      <w:szCs w:val="18"/>
                    </w:rPr>
                    <w:t>符合</w:t>
                  </w:r>
                </w:p>
              </w:tc>
            </w:tr>
          </w:tbl>
          <w:p w14:paraId="36183BF7">
            <w:pPr>
              <w:pStyle w:val="25"/>
              <w:numPr>
                <w:ilvl w:val="0"/>
                <w:numId w:val="0"/>
              </w:numPr>
              <w:rPr>
                <w:rFonts w:hint="default" w:cs="Times New Roman"/>
                <w:b/>
                <w:bCs/>
                <w:color w:val="auto"/>
                <w:sz w:val="24"/>
                <w:szCs w:val="24"/>
                <w:lang w:val="en-US" w:eastAsia="zh-CN"/>
              </w:rPr>
            </w:pPr>
          </w:p>
          <w:p w14:paraId="2E9E4A7D">
            <w:pPr>
              <w:pStyle w:val="25"/>
              <w:numPr>
                <w:ilvl w:val="0"/>
                <w:numId w:val="0"/>
              </w:numPr>
              <w:rPr>
                <w:rFonts w:hint="eastAsia" w:cs="Times New Roman"/>
                <w:b/>
                <w:bCs/>
                <w:color w:val="auto"/>
                <w:sz w:val="24"/>
                <w:szCs w:val="24"/>
                <w:lang w:val="en-US" w:eastAsia="zh-CN"/>
              </w:rPr>
            </w:pPr>
            <w:r>
              <w:rPr>
                <w:rFonts w:hint="eastAsia" w:cs="Times New Roman"/>
                <w:b/>
                <w:bCs/>
                <w:color w:val="auto"/>
                <w:sz w:val="24"/>
                <w:szCs w:val="24"/>
                <w:lang w:val="en-US" w:eastAsia="zh-CN"/>
              </w:rPr>
              <w:t>14、与《关于推动铸造和锻压行业高质量发展的指导意见》（工信部 联通装〔</w:t>
            </w:r>
            <w:r>
              <w:rPr>
                <w:rFonts w:hint="default" w:cs="Times New Roman"/>
                <w:b/>
                <w:bCs/>
                <w:color w:val="auto"/>
                <w:sz w:val="24"/>
                <w:szCs w:val="24"/>
                <w:lang w:val="en-US" w:eastAsia="zh-CN"/>
              </w:rPr>
              <w:t>2023</w:t>
            </w:r>
            <w:r>
              <w:rPr>
                <w:rFonts w:hint="eastAsia" w:cs="Times New Roman"/>
                <w:b/>
                <w:bCs/>
                <w:color w:val="auto"/>
                <w:sz w:val="24"/>
                <w:szCs w:val="24"/>
                <w:lang w:val="en-US" w:eastAsia="zh-CN"/>
              </w:rPr>
              <w:t>〕</w:t>
            </w:r>
            <w:r>
              <w:rPr>
                <w:rFonts w:hint="default" w:cs="Times New Roman"/>
                <w:b/>
                <w:bCs/>
                <w:color w:val="auto"/>
                <w:sz w:val="24"/>
                <w:szCs w:val="24"/>
                <w:lang w:val="en-US" w:eastAsia="zh-CN"/>
              </w:rPr>
              <w:t xml:space="preserve">40 </w:t>
            </w:r>
            <w:r>
              <w:rPr>
                <w:rFonts w:hint="eastAsia" w:cs="Times New Roman"/>
                <w:b/>
                <w:bCs/>
                <w:color w:val="auto"/>
                <w:sz w:val="24"/>
                <w:szCs w:val="24"/>
                <w:lang w:val="en-US" w:eastAsia="zh-CN"/>
              </w:rPr>
              <w:t>号）符合性分析</w:t>
            </w:r>
          </w:p>
          <w:p w14:paraId="1F4F3C33">
            <w:pPr>
              <w:jc w:val="center"/>
              <w:rPr>
                <w:rFonts w:eastAsia="黑体"/>
                <w:bCs/>
                <w:color w:val="auto"/>
                <w:szCs w:val="24"/>
              </w:rPr>
            </w:pPr>
            <w:r>
              <w:rPr>
                <w:rFonts w:hint="eastAsia" w:eastAsia="黑体"/>
                <w:bCs/>
                <w:color w:val="auto"/>
                <w:szCs w:val="24"/>
              </w:rPr>
              <w:t>表</w:t>
            </w:r>
            <w:r>
              <w:rPr>
                <w:rFonts w:eastAsia="黑体"/>
                <w:bCs/>
                <w:color w:val="auto"/>
                <w:szCs w:val="24"/>
              </w:rPr>
              <w:t>1-</w:t>
            </w:r>
            <w:r>
              <w:rPr>
                <w:rFonts w:hint="eastAsia" w:eastAsia="黑体"/>
                <w:bCs/>
                <w:color w:val="auto"/>
                <w:szCs w:val="24"/>
                <w:lang w:val="en-US" w:eastAsia="zh-CN"/>
              </w:rPr>
              <w:t>16</w:t>
            </w:r>
            <w:r>
              <w:rPr>
                <w:rFonts w:eastAsia="黑体"/>
                <w:bCs/>
                <w:color w:val="auto"/>
                <w:szCs w:val="24"/>
              </w:rPr>
              <w:t xml:space="preserve">  </w:t>
            </w:r>
            <w:r>
              <w:rPr>
                <w:rFonts w:hint="eastAsia" w:eastAsia="黑体"/>
                <w:bCs/>
                <w:color w:val="auto"/>
                <w:szCs w:val="24"/>
              </w:rPr>
              <w:t>与《关于推动铸造和锻压行业高质量发展的指导意见》的符合性分析</w:t>
            </w:r>
          </w:p>
          <w:tbl>
            <w:tblPr>
              <w:tblStyle w:val="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3726"/>
              <w:gridCol w:w="2515"/>
              <w:gridCol w:w="748"/>
            </w:tblGrid>
            <w:tr w14:paraId="139DE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Align w:val="center"/>
                </w:tcPr>
                <w:p w14:paraId="74D67882">
                  <w:pPr>
                    <w:spacing w:line="240" w:lineRule="auto"/>
                    <w:jc w:val="center"/>
                    <w:rPr>
                      <w:color w:val="auto"/>
                      <w:sz w:val="18"/>
                      <w:szCs w:val="18"/>
                    </w:rPr>
                  </w:pPr>
                  <w:r>
                    <w:rPr>
                      <w:color w:val="auto"/>
                      <w:sz w:val="18"/>
                      <w:szCs w:val="18"/>
                    </w:rPr>
                    <w:t>政策名称</w:t>
                  </w:r>
                </w:p>
              </w:tc>
              <w:tc>
                <w:tcPr>
                  <w:tcW w:w="2231" w:type="pct"/>
                  <w:vAlign w:val="center"/>
                </w:tcPr>
                <w:p w14:paraId="10C3CC52">
                  <w:pPr>
                    <w:spacing w:line="240" w:lineRule="auto"/>
                    <w:jc w:val="center"/>
                    <w:rPr>
                      <w:color w:val="auto"/>
                      <w:sz w:val="18"/>
                      <w:szCs w:val="18"/>
                    </w:rPr>
                  </w:pPr>
                  <w:r>
                    <w:rPr>
                      <w:color w:val="auto"/>
                      <w:sz w:val="18"/>
                      <w:szCs w:val="18"/>
                    </w:rPr>
                    <w:t>相关要求</w:t>
                  </w:r>
                </w:p>
              </w:tc>
              <w:tc>
                <w:tcPr>
                  <w:tcW w:w="1506" w:type="pct"/>
                  <w:vAlign w:val="center"/>
                </w:tcPr>
                <w:p w14:paraId="2D731C49">
                  <w:pPr>
                    <w:spacing w:line="240" w:lineRule="auto"/>
                    <w:jc w:val="center"/>
                    <w:rPr>
                      <w:color w:val="auto"/>
                      <w:sz w:val="18"/>
                      <w:szCs w:val="18"/>
                    </w:rPr>
                  </w:pPr>
                  <w:r>
                    <w:rPr>
                      <w:color w:val="auto"/>
                      <w:sz w:val="18"/>
                      <w:szCs w:val="18"/>
                    </w:rPr>
                    <w:t>本项目建设情况</w:t>
                  </w:r>
                </w:p>
              </w:tc>
              <w:tc>
                <w:tcPr>
                  <w:tcW w:w="448" w:type="pct"/>
                  <w:vAlign w:val="center"/>
                </w:tcPr>
                <w:p w14:paraId="6C592480">
                  <w:pPr>
                    <w:spacing w:line="240" w:lineRule="auto"/>
                    <w:jc w:val="center"/>
                    <w:rPr>
                      <w:color w:val="auto"/>
                      <w:sz w:val="18"/>
                      <w:szCs w:val="18"/>
                    </w:rPr>
                  </w:pPr>
                  <w:r>
                    <w:rPr>
                      <w:color w:val="auto"/>
                      <w:sz w:val="18"/>
                      <w:szCs w:val="18"/>
                    </w:rPr>
                    <w:t>符合性</w:t>
                  </w:r>
                </w:p>
              </w:tc>
            </w:tr>
            <w:tr w14:paraId="1C2C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restart"/>
                  <w:vAlign w:val="center"/>
                </w:tcPr>
                <w:p w14:paraId="20D03BED">
                  <w:pPr>
                    <w:spacing w:line="240" w:lineRule="auto"/>
                    <w:jc w:val="center"/>
                    <w:rPr>
                      <w:color w:val="auto"/>
                      <w:sz w:val="18"/>
                      <w:szCs w:val="18"/>
                    </w:rPr>
                  </w:pPr>
                  <w:r>
                    <w:rPr>
                      <w:rFonts w:hint="eastAsia"/>
                      <w:color w:val="auto"/>
                      <w:sz w:val="18"/>
                      <w:szCs w:val="18"/>
                    </w:rPr>
                    <w:t>《关于推动铸造和锻压行业高质量发展的指导意见》（工信部 联通装〔2023〕40 号）</w:t>
                  </w:r>
                </w:p>
              </w:tc>
              <w:tc>
                <w:tcPr>
                  <w:tcW w:w="2231" w:type="pct"/>
                  <w:vAlign w:val="center"/>
                </w:tcPr>
                <w:p w14:paraId="3E528D84">
                  <w:pPr>
                    <w:spacing w:line="240" w:lineRule="auto"/>
                    <w:jc w:val="center"/>
                    <w:rPr>
                      <w:color w:val="auto"/>
                      <w:sz w:val="18"/>
                      <w:szCs w:val="18"/>
                    </w:rPr>
                  </w:pPr>
                  <w:r>
                    <w:rPr>
                      <w:rFonts w:hint="eastAsia"/>
                      <w:color w:val="auto"/>
                      <w:sz w:val="18"/>
                      <w:szCs w:val="18"/>
                    </w:rPr>
                    <w:t>推进产业结构优化。严格执行节能、环保、质量、安全技术等相关法律法规标准和《产业结构调整指导目录》等政策，依法依规淘汰工艺装备落后、污染物排放不达标、生产安全无保障的落后产能。鼓励大气污染防治重点区域加大淘汰落后力度。铸造企业不得采用无芯工频感应电炉、无磁轭（≥0.25 吨）铝壳中频感应电炉、水玻璃熔模精密铸造氯化铵硬化模壳、铝合金六氯乙烷精炼等淘汰类工艺和装备。加快存量项目升级改造，推进企业合理选择低污染、低能耗、经济高效的先进工艺技术，提升行业竞争能力。强化铸造和锻压与装备制造业协同布局，引导具备条件的企业入园集聚发展，提升产业链供应链协同配套能力，构建布局合理、错位互补、供需联动、协同发展的产业格局。</w:t>
                  </w:r>
                </w:p>
              </w:tc>
              <w:tc>
                <w:tcPr>
                  <w:tcW w:w="1506" w:type="pct"/>
                  <w:vAlign w:val="center"/>
                </w:tcPr>
                <w:p w14:paraId="71B0E443">
                  <w:pPr>
                    <w:spacing w:line="240" w:lineRule="auto"/>
                    <w:jc w:val="center"/>
                    <w:rPr>
                      <w:color w:val="auto"/>
                      <w:sz w:val="18"/>
                      <w:szCs w:val="18"/>
                    </w:rPr>
                  </w:pPr>
                  <w:r>
                    <w:rPr>
                      <w:rFonts w:hint="eastAsia"/>
                      <w:color w:val="auto"/>
                      <w:sz w:val="18"/>
                      <w:szCs w:val="18"/>
                    </w:rPr>
                    <w:t>本项目符合《产业结构调整指导目录（2024 年本）》的政策要求</w:t>
                  </w:r>
                  <w:r>
                    <w:rPr>
                      <w:rFonts w:hint="eastAsia"/>
                      <w:color w:val="auto"/>
                      <w:sz w:val="18"/>
                      <w:szCs w:val="18"/>
                      <w:lang w:eastAsia="zh-CN"/>
                    </w:rPr>
                    <w:t>，</w:t>
                  </w:r>
                  <w:r>
                    <w:rPr>
                      <w:rFonts w:hint="eastAsia"/>
                      <w:color w:val="auto"/>
                      <w:sz w:val="18"/>
                      <w:szCs w:val="18"/>
                    </w:rPr>
                    <w:t>生产产品为压铸</w:t>
                  </w:r>
                  <w:r>
                    <w:rPr>
                      <w:rFonts w:hint="eastAsia"/>
                      <w:color w:val="auto"/>
                      <w:sz w:val="18"/>
                      <w:szCs w:val="18"/>
                      <w:lang w:val="en-US" w:eastAsia="zh-CN"/>
                    </w:rPr>
                    <w:t>及浇铸</w:t>
                  </w:r>
                  <w:r>
                    <w:rPr>
                      <w:rFonts w:hint="eastAsia"/>
                      <w:color w:val="auto"/>
                      <w:sz w:val="18"/>
                      <w:szCs w:val="18"/>
                    </w:rPr>
                    <w:t>铝件，采用能源主要为天然气和电能。属于清洁能源。使用生产工艺主要为熔炼</w:t>
                  </w:r>
                  <w:r>
                    <w:rPr>
                      <w:rFonts w:hint="eastAsia"/>
                      <w:color w:val="auto"/>
                      <w:sz w:val="18"/>
                      <w:szCs w:val="18"/>
                      <w:lang w:eastAsia="zh-CN"/>
                    </w:rPr>
                    <w:t>、</w:t>
                  </w:r>
                  <w:r>
                    <w:rPr>
                      <w:rFonts w:hint="eastAsia"/>
                      <w:color w:val="auto"/>
                      <w:sz w:val="18"/>
                      <w:szCs w:val="18"/>
                    </w:rPr>
                    <w:t>压铸等，采用</w:t>
                  </w:r>
                  <w:r>
                    <w:rPr>
                      <w:rFonts w:hint="eastAsia"/>
                      <w:color w:val="auto"/>
                      <w:sz w:val="18"/>
                      <w:szCs w:val="18"/>
                      <w:lang w:val="en-US" w:eastAsia="zh-CN"/>
                    </w:rPr>
                    <w:t>集中熔铝炉</w:t>
                  </w:r>
                  <w:r>
                    <w:rPr>
                      <w:rFonts w:hint="eastAsia"/>
                      <w:color w:val="auto"/>
                      <w:sz w:val="18"/>
                      <w:szCs w:val="18"/>
                    </w:rPr>
                    <w:t>及压铸机、</w:t>
                  </w:r>
                  <w:r>
                    <w:rPr>
                      <w:rFonts w:hint="eastAsia"/>
                      <w:color w:val="auto"/>
                      <w:sz w:val="18"/>
                      <w:szCs w:val="18"/>
                      <w:lang w:val="en-US" w:eastAsia="zh-CN"/>
                    </w:rPr>
                    <w:t>倾倒熔炉</w:t>
                  </w:r>
                  <w:r>
                    <w:rPr>
                      <w:rFonts w:hint="eastAsia"/>
                      <w:color w:val="auto"/>
                      <w:sz w:val="18"/>
                      <w:szCs w:val="18"/>
                    </w:rPr>
                    <w:t>，均不属于国家明令禁止的生产工艺及设备，满足政策中生产工艺和生产装备的要求。</w:t>
                  </w:r>
                </w:p>
              </w:tc>
              <w:tc>
                <w:tcPr>
                  <w:tcW w:w="448" w:type="pct"/>
                  <w:vAlign w:val="center"/>
                </w:tcPr>
                <w:p w14:paraId="75B00D88">
                  <w:pPr>
                    <w:spacing w:line="240" w:lineRule="auto"/>
                    <w:jc w:val="center"/>
                    <w:rPr>
                      <w:color w:val="auto"/>
                      <w:sz w:val="18"/>
                      <w:szCs w:val="18"/>
                    </w:rPr>
                  </w:pPr>
                  <w:r>
                    <w:rPr>
                      <w:color w:val="auto"/>
                      <w:sz w:val="18"/>
                      <w:szCs w:val="18"/>
                    </w:rPr>
                    <w:t>符合</w:t>
                  </w:r>
                </w:p>
              </w:tc>
            </w:tr>
            <w:tr w14:paraId="2139C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60C62EA4">
                  <w:pPr>
                    <w:spacing w:line="240" w:lineRule="auto"/>
                    <w:jc w:val="center"/>
                    <w:rPr>
                      <w:rFonts w:hint="eastAsia"/>
                      <w:color w:val="auto"/>
                      <w:sz w:val="18"/>
                      <w:szCs w:val="18"/>
                    </w:rPr>
                  </w:pPr>
                </w:p>
              </w:tc>
              <w:tc>
                <w:tcPr>
                  <w:tcW w:w="2231" w:type="pct"/>
                  <w:vAlign w:val="center"/>
                </w:tcPr>
                <w:p w14:paraId="3C5FD552">
                  <w:pPr>
                    <w:spacing w:line="240" w:lineRule="auto"/>
                    <w:jc w:val="center"/>
                    <w:rPr>
                      <w:rFonts w:hint="eastAsia"/>
                      <w:color w:val="auto"/>
                      <w:sz w:val="18"/>
                      <w:szCs w:val="18"/>
                    </w:rPr>
                  </w:pPr>
                  <w:r>
                    <w:rPr>
                      <w:rFonts w:hint="eastAsia"/>
                      <w:color w:val="auto"/>
                      <w:sz w:val="18"/>
                      <w:szCs w:val="18"/>
                    </w:rPr>
                    <w:t>支持高端项目建设。推动落实全国统一大市场建设，打通制约行业发展的关键堵点。引导各地结合实际谋划新建或改造升级的高端建设项目落地实施，支持企业围绕主机厂或重大项目配套生产，保障装备制造业产业链供应链安全稳定。严格审批新建、改扩建项目，确保项目备案、环评、排污许可、安评、节能审查等手续清晰、完备，项目建设符合国家相关法律法规标准要求。严格落实主要污染物排放总量控制、能源消耗总量和强度调控制度，坚决遏制不符合要求的项目盲目发展和低水平重复建设，防止产能盲目扩张，切实推进产业结构优化升级。</w:t>
                  </w:r>
                </w:p>
              </w:tc>
              <w:tc>
                <w:tcPr>
                  <w:tcW w:w="1506" w:type="pct"/>
                  <w:vAlign w:val="center"/>
                </w:tcPr>
                <w:p w14:paraId="5FA9D20F">
                  <w:pPr>
                    <w:spacing w:line="240" w:lineRule="auto"/>
                    <w:jc w:val="center"/>
                    <w:rPr>
                      <w:color w:val="auto"/>
                      <w:sz w:val="18"/>
                      <w:szCs w:val="18"/>
                    </w:rPr>
                  </w:pPr>
                  <w:r>
                    <w:rPr>
                      <w:rFonts w:hint="eastAsia"/>
                      <w:color w:val="auto"/>
                      <w:sz w:val="18"/>
                      <w:szCs w:val="18"/>
                    </w:rPr>
                    <w:t>本项目在落实环评手续后，严格完善相关环境要求手续：排污许可、安评、节能审查。严格落实主要污染物排放总量控制、能源消耗等，优化产业结构。</w:t>
                  </w:r>
                </w:p>
              </w:tc>
              <w:tc>
                <w:tcPr>
                  <w:tcW w:w="448" w:type="pct"/>
                  <w:vAlign w:val="center"/>
                </w:tcPr>
                <w:p w14:paraId="7EBF561E">
                  <w:pPr>
                    <w:spacing w:line="240" w:lineRule="auto"/>
                    <w:jc w:val="center"/>
                    <w:rPr>
                      <w:color w:val="auto"/>
                      <w:sz w:val="18"/>
                      <w:szCs w:val="18"/>
                    </w:rPr>
                  </w:pPr>
                  <w:r>
                    <w:rPr>
                      <w:color w:val="auto"/>
                      <w:sz w:val="18"/>
                      <w:szCs w:val="18"/>
                    </w:rPr>
                    <w:t>符合</w:t>
                  </w:r>
                </w:p>
              </w:tc>
            </w:tr>
            <w:tr w14:paraId="66D1E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22DCE0F2">
                  <w:pPr>
                    <w:spacing w:line="240" w:lineRule="auto"/>
                    <w:jc w:val="center"/>
                    <w:rPr>
                      <w:rFonts w:hint="eastAsia"/>
                      <w:color w:val="auto"/>
                      <w:sz w:val="18"/>
                      <w:szCs w:val="18"/>
                    </w:rPr>
                  </w:pPr>
                </w:p>
              </w:tc>
              <w:tc>
                <w:tcPr>
                  <w:tcW w:w="2231" w:type="pct"/>
                  <w:vAlign w:val="center"/>
                </w:tcPr>
                <w:p w14:paraId="00FB95FA">
                  <w:pPr>
                    <w:spacing w:line="240" w:lineRule="auto"/>
                    <w:jc w:val="center"/>
                    <w:rPr>
                      <w:rFonts w:hint="eastAsia"/>
                      <w:color w:val="auto"/>
                      <w:sz w:val="18"/>
                      <w:szCs w:val="18"/>
                    </w:rPr>
                  </w:pPr>
                  <w:r>
                    <w:rPr>
                      <w:rFonts w:hint="eastAsia"/>
                      <w:color w:val="auto"/>
                      <w:sz w:val="18"/>
                      <w:szCs w:val="18"/>
                    </w:rPr>
                    <w:t>加快绿色低碳转型。推进绿色方式贯穿铸造和锻压生产全流程，开发绿色原辅材料、推广绿色工艺、建设绿色工厂、发展绿色园区，深入推进园区循环化改造。推动企业依法披露环境信息，接受社会监督。积极开展清洁生产，做好节能监察执法、节能诊断服务工作，深入挖掘节能潜力。鼓励企业采用高效节能熔炼、热处理等设备，提高余热利用水平。推广短流程铸造，鼓励铸造行业冲天炉（10 吨/小时及以下）改为电炉。推进铸造废砂再生处理技术应用、废旧金属循环再生与利用。推广整体化大型化短流程低成本锻压技术，推广环保润滑介质应用，加大非调质钢使用比例等。</w:t>
                  </w:r>
                </w:p>
              </w:tc>
              <w:tc>
                <w:tcPr>
                  <w:tcW w:w="1506" w:type="pct"/>
                  <w:vAlign w:val="center"/>
                </w:tcPr>
                <w:p w14:paraId="45DDB5AF">
                  <w:pPr>
                    <w:spacing w:line="240" w:lineRule="auto"/>
                    <w:jc w:val="center"/>
                    <w:rPr>
                      <w:color w:val="auto"/>
                      <w:sz w:val="18"/>
                      <w:szCs w:val="18"/>
                    </w:rPr>
                  </w:pPr>
                  <w:r>
                    <w:rPr>
                      <w:rFonts w:hint="eastAsia"/>
                      <w:color w:val="auto"/>
                      <w:sz w:val="18"/>
                      <w:szCs w:val="18"/>
                    </w:rPr>
                    <w:t>本项目天然气</w:t>
                  </w:r>
                  <w:r>
                    <w:rPr>
                      <w:rFonts w:hint="eastAsia"/>
                      <w:color w:val="auto"/>
                      <w:sz w:val="18"/>
                      <w:szCs w:val="18"/>
                      <w:lang w:val="en-US" w:eastAsia="zh-CN"/>
                    </w:rPr>
                    <w:t>集中熔铝炉</w:t>
                  </w:r>
                  <w:r>
                    <w:rPr>
                      <w:rFonts w:hint="eastAsia"/>
                      <w:color w:val="auto"/>
                      <w:sz w:val="18"/>
                      <w:szCs w:val="18"/>
                    </w:rPr>
                    <w:t>采用天然气进行</w:t>
                  </w:r>
                  <w:r>
                    <w:rPr>
                      <w:rFonts w:hint="eastAsia"/>
                      <w:color w:val="auto"/>
                      <w:sz w:val="18"/>
                      <w:szCs w:val="18"/>
                      <w:lang w:val="en-US" w:eastAsia="zh-CN"/>
                    </w:rPr>
                    <w:t>熔铝</w:t>
                  </w:r>
                  <w:r>
                    <w:rPr>
                      <w:rFonts w:hint="eastAsia"/>
                      <w:color w:val="auto"/>
                      <w:sz w:val="18"/>
                      <w:szCs w:val="18"/>
                    </w:rPr>
                    <w:t>，属于清洁能源，满足绿色低碳转型。</w:t>
                  </w:r>
                </w:p>
              </w:tc>
              <w:tc>
                <w:tcPr>
                  <w:tcW w:w="448" w:type="pct"/>
                  <w:vAlign w:val="center"/>
                </w:tcPr>
                <w:p w14:paraId="7FEEA1D3">
                  <w:pPr>
                    <w:spacing w:line="240" w:lineRule="auto"/>
                    <w:jc w:val="center"/>
                    <w:rPr>
                      <w:color w:val="auto"/>
                      <w:sz w:val="18"/>
                      <w:szCs w:val="18"/>
                    </w:rPr>
                  </w:pPr>
                  <w:r>
                    <w:rPr>
                      <w:color w:val="auto"/>
                      <w:sz w:val="18"/>
                      <w:szCs w:val="18"/>
                    </w:rPr>
                    <w:t>符合</w:t>
                  </w:r>
                </w:p>
              </w:tc>
            </w:tr>
            <w:tr w14:paraId="4CC8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pct"/>
                  <w:vMerge w:val="continue"/>
                  <w:vAlign w:val="center"/>
                </w:tcPr>
                <w:p w14:paraId="2FC705CA">
                  <w:pPr>
                    <w:spacing w:line="240" w:lineRule="auto"/>
                    <w:jc w:val="center"/>
                    <w:rPr>
                      <w:rFonts w:hint="eastAsia"/>
                      <w:color w:val="auto"/>
                      <w:sz w:val="18"/>
                      <w:szCs w:val="18"/>
                    </w:rPr>
                  </w:pPr>
                </w:p>
              </w:tc>
              <w:tc>
                <w:tcPr>
                  <w:tcW w:w="2231" w:type="pct"/>
                  <w:vAlign w:val="center"/>
                </w:tcPr>
                <w:p w14:paraId="6BCC6FED">
                  <w:pPr>
                    <w:spacing w:line="240" w:lineRule="auto"/>
                    <w:jc w:val="center"/>
                    <w:rPr>
                      <w:rFonts w:hint="eastAsia"/>
                      <w:color w:val="auto"/>
                      <w:sz w:val="18"/>
                      <w:szCs w:val="18"/>
                    </w:rPr>
                  </w:pPr>
                  <w:r>
                    <w:rPr>
                      <w:rFonts w:hint="eastAsia"/>
                      <w:color w:val="auto"/>
                      <w:sz w:val="18"/>
                      <w:szCs w:val="18"/>
                    </w:rPr>
                    <w:t>提升环保治理水平。依法申领排污许可证，严格持证排污、按证排污并按排污许可证规定落实自行监测、台账记录、执行报告、信息公开等要求。综合考虑生产工艺、原辅材料使用、无组织排放控制、污染治理设施运行效果等，建设一批达到重污染天气应对绩效分级 A 级水平的环保标杆企业，带动行业环保水平提升。铸造企业严格执行《铸造工业大气污染物排放标准》（GB 39726）及地方排放标准，加强无组织排放控制，不能稳定达标排放的，限期完成设施升级改造，不具备改造条件及改造后仍不能达标的，依法依规进行淘汰。鼓励铸造用生铁企业参照钢铁行业超低排放改造要求开展有组织、无组织和清洁运输超低排放改造，支持行业协会公示进展情况。</w:t>
                  </w:r>
                </w:p>
              </w:tc>
              <w:tc>
                <w:tcPr>
                  <w:tcW w:w="1506" w:type="pct"/>
                  <w:vAlign w:val="center"/>
                </w:tcPr>
                <w:p w14:paraId="2CB2F266">
                  <w:pPr>
                    <w:spacing w:line="240" w:lineRule="auto"/>
                    <w:jc w:val="center"/>
                    <w:rPr>
                      <w:color w:val="auto"/>
                      <w:sz w:val="18"/>
                      <w:szCs w:val="18"/>
                    </w:rPr>
                  </w:pPr>
                  <w:r>
                    <w:rPr>
                      <w:rFonts w:hint="eastAsia"/>
                      <w:color w:val="auto"/>
                      <w:sz w:val="18"/>
                      <w:szCs w:val="18"/>
                    </w:rPr>
                    <w:t>本项目建成后，各产污工艺均配备相应的污染防治措施，做到达标排放，严控无组织排放。依法</w:t>
                  </w:r>
                  <w:r>
                    <w:rPr>
                      <w:rFonts w:hint="eastAsia"/>
                      <w:color w:val="auto"/>
                      <w:sz w:val="18"/>
                      <w:szCs w:val="18"/>
                      <w:lang w:val="en-US" w:eastAsia="zh-CN"/>
                    </w:rPr>
                    <w:t>办理</w:t>
                  </w:r>
                  <w:r>
                    <w:rPr>
                      <w:rFonts w:hint="eastAsia"/>
                      <w:color w:val="auto"/>
                      <w:sz w:val="18"/>
                      <w:szCs w:val="18"/>
                    </w:rPr>
                    <w:t>排污许可</w:t>
                  </w:r>
                  <w:r>
                    <w:rPr>
                      <w:rFonts w:hint="eastAsia"/>
                      <w:color w:val="auto"/>
                      <w:sz w:val="18"/>
                      <w:szCs w:val="18"/>
                      <w:lang w:val="en-US" w:eastAsia="zh-CN"/>
                    </w:rPr>
                    <w:t>相关手续</w:t>
                  </w:r>
                  <w:r>
                    <w:rPr>
                      <w:rFonts w:hint="eastAsia"/>
                      <w:color w:val="auto"/>
                      <w:sz w:val="18"/>
                      <w:szCs w:val="18"/>
                    </w:rPr>
                    <w:t>。</w:t>
                  </w:r>
                </w:p>
              </w:tc>
              <w:tc>
                <w:tcPr>
                  <w:tcW w:w="448" w:type="pct"/>
                  <w:vAlign w:val="center"/>
                </w:tcPr>
                <w:p w14:paraId="58570B50">
                  <w:pPr>
                    <w:spacing w:line="240" w:lineRule="auto"/>
                    <w:jc w:val="center"/>
                    <w:rPr>
                      <w:color w:val="auto"/>
                      <w:sz w:val="18"/>
                      <w:szCs w:val="18"/>
                    </w:rPr>
                  </w:pPr>
                  <w:r>
                    <w:rPr>
                      <w:color w:val="auto"/>
                      <w:sz w:val="18"/>
                      <w:szCs w:val="18"/>
                    </w:rPr>
                    <w:t>符合</w:t>
                  </w:r>
                </w:p>
              </w:tc>
            </w:tr>
          </w:tbl>
          <w:p w14:paraId="6B5B95D3">
            <w:pPr>
              <w:pStyle w:val="25"/>
              <w:numPr>
                <w:ilvl w:val="0"/>
                <w:numId w:val="0"/>
              </w:numPr>
              <w:rPr>
                <w:rFonts w:hint="eastAsia" w:cs="Times New Roman"/>
                <w:b/>
                <w:bCs/>
                <w:color w:val="auto"/>
                <w:sz w:val="24"/>
                <w:szCs w:val="24"/>
                <w:lang w:val="en-US" w:eastAsia="zh-CN"/>
              </w:rPr>
            </w:pPr>
          </w:p>
        </w:tc>
      </w:tr>
    </w:tbl>
    <w:p w14:paraId="2B728AA3">
      <w:pPr>
        <w:ind w:firstLine="321" w:firstLineChars="100"/>
        <w:rPr>
          <w:b/>
          <w:color w:val="auto"/>
          <w:sz w:val="32"/>
          <w:szCs w:val="32"/>
        </w:rPr>
        <w:sectPr>
          <w:footerReference r:id="rId8" w:type="default"/>
          <w:pgSz w:w="11907" w:h="16840"/>
          <w:pgMar w:top="1149" w:right="1134" w:bottom="993" w:left="1247" w:header="680" w:footer="680" w:gutter="0"/>
          <w:pgNumType w:start="1"/>
          <w:cols w:space="720" w:num="1"/>
          <w:docGrid w:linePitch="286" w:charSpace="0"/>
        </w:sectPr>
      </w:pPr>
    </w:p>
    <w:p w14:paraId="385A98B2">
      <w:pPr>
        <w:pStyle w:val="3"/>
        <w:keepNext/>
        <w:keepLines w:val="0"/>
        <w:pageBreakBefore w:val="0"/>
        <w:widowControl/>
        <w:numPr>
          <w:ilvl w:val="0"/>
          <w:numId w:val="20"/>
        </w:numPr>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b/>
          <w:color w:val="auto"/>
          <w:kern w:val="2"/>
          <w:sz w:val="24"/>
          <w:szCs w:val="24"/>
          <w:lang w:val="en-US" w:eastAsia="zh-CN" w:bidi="ar-SA"/>
        </w:rPr>
      </w:pPr>
      <w:bookmarkStart w:id="13" w:name="_Toc5518"/>
      <w:r>
        <w:rPr>
          <w:rFonts w:hint="eastAsia" w:ascii="Times New Roman" w:hAnsi="Times New Roman" w:eastAsia="宋体" w:cs="Times New Roman"/>
          <w:b/>
          <w:color w:val="auto"/>
          <w:kern w:val="2"/>
          <w:sz w:val="24"/>
          <w:szCs w:val="24"/>
          <w:lang w:val="en-US" w:eastAsia="zh-CN" w:bidi="ar-SA"/>
        </w:rPr>
        <w:t>建设项目工程分析</w:t>
      </w:r>
      <w:bookmarkEnd w:id="13"/>
    </w:p>
    <w:tbl>
      <w:tblPr>
        <w:tblStyle w:val="69"/>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9300"/>
      </w:tblGrid>
      <w:tr w14:paraId="4543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6" w:hRule="atLeast"/>
        </w:trPr>
        <w:tc>
          <w:tcPr>
            <w:tcW w:w="228" w:type="pct"/>
            <w:shd w:val="clear" w:color="auto" w:fill="auto"/>
            <w:vAlign w:val="center"/>
          </w:tcPr>
          <w:p w14:paraId="571624B3">
            <w:pPr>
              <w:outlineLvl w:val="0"/>
              <w:rPr>
                <w:color w:val="auto"/>
                <w:szCs w:val="24"/>
              </w:rPr>
            </w:pPr>
            <w:bookmarkStart w:id="14" w:name="_Toc30423"/>
            <w:bookmarkStart w:id="15" w:name="_Toc19659"/>
            <w:r>
              <w:rPr>
                <w:rFonts w:hint="eastAsia"/>
                <w:color w:val="auto"/>
                <w:szCs w:val="24"/>
              </w:rPr>
              <w:t>建设内容</w:t>
            </w:r>
            <w:bookmarkEnd w:id="14"/>
            <w:bookmarkEnd w:id="15"/>
          </w:p>
        </w:tc>
        <w:tc>
          <w:tcPr>
            <w:tcW w:w="4771" w:type="pct"/>
            <w:shd w:val="clear" w:color="auto" w:fill="auto"/>
          </w:tcPr>
          <w:p w14:paraId="0C43FC83">
            <w:pPr>
              <w:spacing w:before="120" w:beforeLines="50"/>
              <w:rPr>
                <w:b/>
                <w:color w:val="auto"/>
                <w:szCs w:val="24"/>
              </w:rPr>
            </w:pPr>
            <w:r>
              <w:rPr>
                <w:rFonts w:hint="eastAsia"/>
                <w:b/>
                <w:color w:val="auto"/>
                <w:szCs w:val="24"/>
              </w:rPr>
              <w:t>1、项目概况</w:t>
            </w:r>
          </w:p>
          <w:p w14:paraId="5B43CD8A">
            <w:pPr>
              <w:rPr>
                <w:bCs/>
                <w:color w:val="auto"/>
                <w:szCs w:val="24"/>
              </w:rPr>
            </w:pPr>
            <w:r>
              <w:rPr>
                <w:rFonts w:hint="eastAsia"/>
                <w:bCs/>
                <w:color w:val="auto"/>
                <w:szCs w:val="24"/>
              </w:rPr>
              <w:t>（1）项目背景</w:t>
            </w:r>
          </w:p>
          <w:p w14:paraId="5EC852C2">
            <w:pPr>
              <w:spacing w:before="120" w:beforeLines="50" w:after="120" w:afterLines="50"/>
              <w:ind w:firstLine="480" w:firstLineChars="200"/>
              <w:contextualSpacing/>
              <w:rPr>
                <w:color w:val="auto"/>
                <w:szCs w:val="24"/>
              </w:rPr>
            </w:pPr>
            <w:bookmarkStart w:id="16" w:name="OLE_LINK23"/>
            <w:r>
              <w:rPr>
                <w:rFonts w:hint="eastAsia"/>
                <w:color w:val="auto"/>
                <w:szCs w:val="24"/>
                <w:lang w:eastAsia="zh-CN"/>
              </w:rPr>
              <w:t>池州市安安新材料科技股份有限公司</w:t>
            </w:r>
            <w:bookmarkEnd w:id="16"/>
            <w:r>
              <w:rPr>
                <w:rFonts w:hint="eastAsia"/>
                <w:color w:val="auto"/>
                <w:szCs w:val="24"/>
                <w:lang w:eastAsia="zh-CN"/>
              </w:rPr>
              <w:t>成立于2017年1月，注册资金11588.5424万元，位于皖江江南新兴产业集中区安安产业园，是一家集产品研发、制造、销售为一体的高端铝材产品专业供应商。</w:t>
            </w:r>
          </w:p>
          <w:p w14:paraId="7A95A252">
            <w:pPr>
              <w:ind w:firstLine="480" w:firstLineChars="200"/>
              <w:rPr>
                <w:bCs/>
                <w:color w:val="auto"/>
                <w:szCs w:val="24"/>
              </w:rPr>
            </w:pPr>
            <w:r>
              <w:rPr>
                <w:rFonts w:hint="eastAsia"/>
                <w:color w:val="auto"/>
                <w:szCs w:val="24"/>
                <w:lang w:eastAsia="zh-CN"/>
              </w:rPr>
              <w:t>池州市安安新材料科技股份有限公司</w:t>
            </w:r>
            <w:r>
              <w:rPr>
                <w:rFonts w:hint="eastAsia"/>
                <w:color w:val="auto"/>
                <w:szCs w:val="24"/>
                <w:lang w:val="en-US" w:eastAsia="zh-CN"/>
              </w:rPr>
              <w:t>现有项目</w:t>
            </w:r>
            <w:r>
              <w:rPr>
                <w:rFonts w:hint="eastAsia"/>
                <w:bCs/>
                <w:color w:val="auto"/>
                <w:szCs w:val="24"/>
                <w:lang w:eastAsia="zh-CN"/>
              </w:rPr>
              <w:t>挤压生产中在</w:t>
            </w:r>
            <w:r>
              <w:rPr>
                <w:rFonts w:hint="eastAsia"/>
                <w:bCs/>
                <w:color w:val="auto"/>
                <w:szCs w:val="24"/>
                <w:lang w:val="en-US" w:eastAsia="zh-CN"/>
              </w:rPr>
              <w:t>剪切工艺</w:t>
            </w:r>
            <w:r>
              <w:rPr>
                <w:rFonts w:hint="eastAsia"/>
                <w:bCs/>
                <w:color w:val="auto"/>
                <w:szCs w:val="24"/>
                <w:lang w:eastAsia="zh-CN"/>
              </w:rPr>
              <w:t>残余大量铝头，另外在定尺锯切工序中头尾锯切产生大量</w:t>
            </w:r>
            <w:r>
              <w:rPr>
                <w:rFonts w:hint="eastAsia"/>
                <w:bCs/>
                <w:color w:val="auto"/>
                <w:szCs w:val="24"/>
                <w:lang w:val="en-US" w:eastAsia="zh-CN"/>
              </w:rPr>
              <w:t>铝料头</w:t>
            </w:r>
            <w:r>
              <w:rPr>
                <w:rFonts w:hint="eastAsia"/>
                <w:bCs/>
                <w:color w:val="auto"/>
                <w:szCs w:val="24"/>
                <w:lang w:eastAsia="zh-CN"/>
              </w:rPr>
              <w:t>。为了实现企业的产业链延伸</w:t>
            </w:r>
            <w:r>
              <w:rPr>
                <w:rFonts w:hint="eastAsia"/>
                <w:bCs/>
                <w:color w:val="auto"/>
                <w:szCs w:val="24"/>
                <w:lang w:val="en-US" w:eastAsia="zh-CN"/>
              </w:rPr>
              <w:t>以及</w:t>
            </w:r>
            <w:r>
              <w:rPr>
                <w:rFonts w:hint="eastAsia"/>
                <w:bCs/>
                <w:color w:val="auto"/>
                <w:szCs w:val="24"/>
                <w:lang w:eastAsia="zh-CN"/>
              </w:rPr>
              <w:t>企业的可持续发展，</w:t>
            </w:r>
            <w:r>
              <w:rPr>
                <w:rFonts w:hint="eastAsia"/>
                <w:bCs/>
                <w:color w:val="auto"/>
                <w:szCs w:val="24"/>
                <w:lang w:val="en-US" w:eastAsia="zh-CN"/>
              </w:rPr>
              <w:t>企业</w:t>
            </w:r>
            <w:r>
              <w:rPr>
                <w:rFonts w:hint="eastAsia"/>
                <w:bCs/>
                <w:color w:val="auto"/>
                <w:szCs w:val="24"/>
                <w:lang w:eastAsia="zh-CN"/>
              </w:rPr>
              <w:t>决定</w:t>
            </w:r>
            <w:r>
              <w:rPr>
                <w:rFonts w:hint="eastAsia"/>
                <w:bCs/>
                <w:color w:val="auto"/>
                <w:szCs w:val="24"/>
              </w:rPr>
              <w:t>拟利用</w:t>
            </w:r>
            <w:r>
              <w:rPr>
                <w:rFonts w:hint="eastAsia"/>
                <w:bCs/>
                <w:color w:val="auto"/>
                <w:szCs w:val="24"/>
                <w:lang w:val="en-US" w:eastAsia="zh-CN"/>
              </w:rPr>
              <w:t>厂区</w:t>
            </w:r>
            <w:r>
              <w:rPr>
                <w:rFonts w:hint="eastAsia"/>
                <w:bCs/>
                <w:color w:val="auto"/>
                <w:szCs w:val="24"/>
              </w:rPr>
              <w:t>现有7#厂房东面二跨（5500</w:t>
            </w:r>
            <w:r>
              <w:rPr>
                <w:rFonts w:hint="eastAsia"/>
                <w:bCs/>
                <w:color w:val="auto"/>
                <w:szCs w:val="24"/>
                <w:lang w:val="en-US" w:eastAsia="zh-CN"/>
              </w:rPr>
              <w:t>m</w:t>
            </w:r>
            <w:r>
              <w:rPr>
                <w:rFonts w:hint="eastAsia"/>
                <w:bCs/>
                <w:color w:val="auto"/>
                <w:szCs w:val="24"/>
                <w:vertAlign w:val="superscript"/>
                <w:lang w:val="en-US" w:eastAsia="zh-CN"/>
              </w:rPr>
              <w:t>2</w:t>
            </w:r>
            <w:r>
              <w:rPr>
                <w:rFonts w:hint="eastAsia"/>
                <w:bCs/>
                <w:color w:val="auto"/>
                <w:szCs w:val="24"/>
              </w:rPr>
              <w:t>），新增离心浇铸机、倾倒熔炉、低压浇铸机、</w:t>
            </w:r>
            <w:r>
              <w:rPr>
                <w:rFonts w:hint="eastAsia"/>
                <w:bCs/>
                <w:color w:val="auto"/>
                <w:szCs w:val="24"/>
                <w:lang w:eastAsia="zh-CN"/>
              </w:rPr>
              <w:t>集中熔铝炉</w:t>
            </w:r>
            <w:r>
              <w:rPr>
                <w:rFonts w:hint="eastAsia"/>
                <w:bCs/>
                <w:color w:val="auto"/>
                <w:szCs w:val="24"/>
              </w:rPr>
              <w:t>等生产设备40余台套，建设高端工业铝材浇铸件生产线</w:t>
            </w:r>
            <w:r>
              <w:rPr>
                <w:rFonts w:hint="eastAsia"/>
                <w:bCs/>
                <w:color w:val="auto"/>
                <w:szCs w:val="24"/>
                <w:lang w:val="en-US" w:eastAsia="zh-CN"/>
              </w:rPr>
              <w:t>1</w:t>
            </w:r>
            <w:r>
              <w:rPr>
                <w:rFonts w:hint="eastAsia"/>
                <w:bCs/>
                <w:color w:val="auto"/>
                <w:szCs w:val="24"/>
              </w:rPr>
              <w:t>条。原材料为</w:t>
            </w:r>
            <w:r>
              <w:rPr>
                <w:rFonts w:hint="eastAsia"/>
                <w:bCs/>
                <w:color w:val="auto"/>
                <w:szCs w:val="24"/>
                <w:lang w:val="en-US" w:eastAsia="zh-CN"/>
              </w:rPr>
              <w:t>已建成的</w:t>
            </w:r>
            <w:r>
              <w:rPr>
                <w:rFonts w:hint="eastAsia"/>
                <w:bCs/>
                <w:color w:val="auto"/>
                <w:szCs w:val="24"/>
              </w:rPr>
              <w:t>年产500万件轨道交通及新能源汽车配件扩规项目</w:t>
            </w:r>
            <w:bookmarkStart w:id="17" w:name="OLE_LINK8"/>
            <w:r>
              <w:rPr>
                <w:rFonts w:hint="eastAsia"/>
                <w:bCs/>
                <w:color w:val="auto"/>
                <w:szCs w:val="24"/>
              </w:rPr>
              <w:t>挤压线上产生的未经表面处理过的清洁锯切料头</w:t>
            </w:r>
            <w:bookmarkEnd w:id="17"/>
            <w:r>
              <w:rPr>
                <w:rFonts w:hint="eastAsia"/>
                <w:bCs/>
                <w:color w:val="auto"/>
                <w:szCs w:val="24"/>
              </w:rPr>
              <w:t>，配套附属设施依托已建成汽车配件扩规项目设施；项目建成达产后，可形成年产8万件高端工业铝材浇铸件的生产能力。</w:t>
            </w:r>
          </w:p>
          <w:p w14:paraId="11AFE90C">
            <w:pPr>
              <w:rPr>
                <w:bCs/>
                <w:color w:val="auto"/>
                <w:szCs w:val="24"/>
              </w:rPr>
            </w:pPr>
            <w:r>
              <w:rPr>
                <w:rFonts w:hint="eastAsia"/>
                <w:bCs/>
                <w:color w:val="auto"/>
                <w:szCs w:val="24"/>
              </w:rPr>
              <w:t>（2）环评类型判定</w:t>
            </w:r>
          </w:p>
          <w:p w14:paraId="77260D76">
            <w:pPr>
              <w:ind w:firstLine="480" w:firstLineChars="200"/>
              <w:rPr>
                <w:bCs/>
                <w:color w:val="auto"/>
                <w:szCs w:val="24"/>
              </w:rPr>
            </w:pPr>
            <w:r>
              <w:rPr>
                <w:rFonts w:hint="eastAsia"/>
                <w:bCs/>
                <w:color w:val="auto"/>
                <w:szCs w:val="24"/>
              </w:rPr>
              <w:t>本项目属于</w:t>
            </w:r>
            <w:r>
              <w:rPr>
                <w:rFonts w:hint="eastAsia"/>
                <w:bCs/>
                <w:color w:val="auto"/>
                <w:szCs w:val="24"/>
                <w:lang w:eastAsia="zh-CN"/>
              </w:rPr>
              <w:t>“三十、金属制品业 33”中的“铸造及其他金属制品制造339”</w:t>
            </w:r>
            <w:r>
              <w:rPr>
                <w:rFonts w:hint="eastAsia"/>
                <w:bCs/>
                <w:color w:val="auto"/>
                <w:szCs w:val="24"/>
                <w:lang w:val="en-US" w:eastAsia="zh-CN"/>
              </w:rPr>
              <w:t>且涉及通用工序工业炉窑</w:t>
            </w:r>
            <w:r>
              <w:rPr>
                <w:rFonts w:hint="eastAsia"/>
                <w:bCs/>
                <w:color w:val="auto"/>
                <w:szCs w:val="24"/>
              </w:rPr>
              <w:t>，</w:t>
            </w:r>
            <w:r>
              <w:rPr>
                <w:bCs/>
                <w:color w:val="auto"/>
                <w:szCs w:val="24"/>
              </w:rPr>
              <w:t>根据《建设项目环境影响评价分类管理名录》（2021年版）</w:t>
            </w:r>
            <w:r>
              <w:rPr>
                <w:rFonts w:hint="eastAsia"/>
                <w:bCs/>
                <w:color w:val="auto"/>
                <w:szCs w:val="24"/>
              </w:rPr>
              <w:t>及</w:t>
            </w:r>
            <w:r>
              <w:rPr>
                <w:bCs/>
                <w:color w:val="auto"/>
                <w:szCs w:val="24"/>
              </w:rPr>
              <w:t>《固定污染源排污许可分类名录（2019年版）》，</w:t>
            </w:r>
            <w:r>
              <w:rPr>
                <w:rFonts w:hint="eastAsia"/>
                <w:bCs/>
                <w:color w:val="auto"/>
                <w:szCs w:val="24"/>
              </w:rPr>
              <w:t>本项目环评编制报告类型及排污许可管理等级判别详见下表：</w:t>
            </w:r>
          </w:p>
          <w:p w14:paraId="66E2687B">
            <w:pPr>
              <w:jc w:val="center"/>
              <w:rPr>
                <w:bCs/>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rPr>
              <w:t>1</w:t>
            </w:r>
            <w:r>
              <w:rPr>
                <w:rFonts w:ascii="黑体" w:hAnsi="黑体" w:eastAsia="黑体"/>
                <w:color w:val="auto"/>
                <w:szCs w:val="24"/>
              </w:rPr>
              <w:t xml:space="preserve">  </w:t>
            </w:r>
            <w:r>
              <w:rPr>
                <w:rFonts w:hint="eastAsia" w:ascii="黑体" w:hAnsi="黑体" w:eastAsia="黑体"/>
                <w:color w:val="auto"/>
                <w:szCs w:val="24"/>
              </w:rPr>
              <w:t>本项目环评编制报告类型及排污许可管理等级判别表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052"/>
              <w:gridCol w:w="2209"/>
              <w:gridCol w:w="2307"/>
              <w:gridCol w:w="1503"/>
              <w:gridCol w:w="1532"/>
            </w:tblGrid>
            <w:tr w14:paraId="70CD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6"/>
                  <w:vAlign w:val="center"/>
                </w:tcPr>
                <w:p w14:paraId="5D00B47A">
                  <w:pPr>
                    <w:widowControl/>
                    <w:spacing w:line="240" w:lineRule="auto"/>
                    <w:jc w:val="center"/>
                    <w:textAlignment w:val="center"/>
                    <w:rPr>
                      <w:rFonts w:cs="宋体"/>
                      <w:color w:val="auto"/>
                      <w:kern w:val="0"/>
                      <w:sz w:val="18"/>
                      <w:szCs w:val="18"/>
                      <w:lang w:bidi="ar"/>
                    </w:rPr>
                  </w:pPr>
                  <w:r>
                    <w:rPr>
                      <w:rFonts w:hint="eastAsia" w:cs="宋体"/>
                      <w:b/>
                      <w:bCs/>
                      <w:color w:val="auto"/>
                      <w:kern w:val="0"/>
                      <w:sz w:val="18"/>
                      <w:szCs w:val="18"/>
                      <w:lang w:bidi="ar"/>
                    </w:rPr>
                    <w:t>环评编制类型判别</w:t>
                  </w:r>
                </w:p>
              </w:tc>
            </w:tr>
            <w:tr w14:paraId="0D1A5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60" w:type="pct"/>
                  <w:vAlign w:val="center"/>
                </w:tcPr>
                <w:p w14:paraId="349759C0">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序号</w:t>
                  </w:r>
                </w:p>
              </w:tc>
              <w:tc>
                <w:tcPr>
                  <w:tcW w:w="580" w:type="pct"/>
                  <w:vAlign w:val="center"/>
                </w:tcPr>
                <w:p w14:paraId="7994E163">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项目类别</w:t>
                  </w:r>
                </w:p>
              </w:tc>
              <w:tc>
                <w:tcPr>
                  <w:tcW w:w="1217" w:type="pct"/>
                  <w:vAlign w:val="center"/>
                </w:tcPr>
                <w:p w14:paraId="403B398C">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报告书</w:t>
                  </w:r>
                </w:p>
              </w:tc>
              <w:tc>
                <w:tcPr>
                  <w:tcW w:w="1271" w:type="pct"/>
                  <w:vAlign w:val="center"/>
                </w:tcPr>
                <w:p w14:paraId="761B47B5">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报告表</w:t>
                  </w:r>
                </w:p>
              </w:tc>
              <w:tc>
                <w:tcPr>
                  <w:tcW w:w="828" w:type="pct"/>
                  <w:vAlign w:val="center"/>
                </w:tcPr>
                <w:p w14:paraId="22AFB3B2">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登记表</w:t>
                  </w:r>
                </w:p>
              </w:tc>
              <w:tc>
                <w:tcPr>
                  <w:tcW w:w="841" w:type="pct"/>
                  <w:vAlign w:val="center"/>
                </w:tcPr>
                <w:p w14:paraId="5C940E98">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本项目判定</w:t>
                  </w:r>
                </w:p>
              </w:tc>
            </w:tr>
            <w:tr w14:paraId="4346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31A44B35">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三十、金属制品业 33</w:t>
                  </w:r>
                </w:p>
              </w:tc>
            </w:tr>
            <w:tr w14:paraId="5932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vAlign w:val="center"/>
                </w:tcPr>
                <w:p w14:paraId="253270A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68</w:t>
                  </w:r>
                </w:p>
              </w:tc>
              <w:tc>
                <w:tcPr>
                  <w:tcW w:w="580" w:type="pct"/>
                  <w:vAlign w:val="center"/>
                </w:tcPr>
                <w:p w14:paraId="65707AA8">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铸造及其他金属制品制造 339</w:t>
                  </w:r>
                </w:p>
              </w:tc>
              <w:tc>
                <w:tcPr>
                  <w:tcW w:w="1217" w:type="pct"/>
                  <w:vAlign w:val="center"/>
                </w:tcPr>
                <w:p w14:paraId="227A5E33">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黑色金属铸造年产10万吨及以上的；有色金属铸造年产10万吨及以上的</w:t>
                  </w:r>
                </w:p>
              </w:tc>
              <w:tc>
                <w:tcPr>
                  <w:tcW w:w="1271" w:type="pct"/>
                  <w:vAlign w:val="center"/>
                </w:tcPr>
                <w:p w14:paraId="651CAD3B">
                  <w:pPr>
                    <w:widowControl/>
                    <w:spacing w:line="240" w:lineRule="auto"/>
                    <w:jc w:val="center"/>
                    <w:textAlignment w:val="center"/>
                    <w:rPr>
                      <w:rFonts w:hint="eastAsia" w:cs="宋体"/>
                      <w:b w:val="0"/>
                      <w:bCs w:val="0"/>
                      <w:color w:val="auto"/>
                      <w:kern w:val="0"/>
                      <w:sz w:val="18"/>
                      <w:szCs w:val="18"/>
                      <w:lang w:bidi="ar"/>
                    </w:rPr>
                  </w:pPr>
                  <w:r>
                    <w:rPr>
                      <w:rFonts w:hint="eastAsia" w:cs="宋体"/>
                      <w:b w:val="0"/>
                      <w:bCs w:val="0"/>
                      <w:color w:val="auto"/>
                      <w:kern w:val="0"/>
                      <w:sz w:val="18"/>
                      <w:szCs w:val="18"/>
                      <w:lang w:bidi="ar"/>
                    </w:rPr>
                    <w:t>其他（仅分割、焊接、组装的除外）</w:t>
                  </w:r>
                </w:p>
              </w:tc>
              <w:tc>
                <w:tcPr>
                  <w:tcW w:w="828" w:type="pct"/>
                  <w:vAlign w:val="center"/>
                </w:tcPr>
                <w:p w14:paraId="2E9D7F8B">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w:t>
                  </w:r>
                </w:p>
              </w:tc>
              <w:tc>
                <w:tcPr>
                  <w:tcW w:w="841" w:type="pct"/>
                  <w:vAlign w:val="center"/>
                </w:tcPr>
                <w:p w14:paraId="780F91C4">
                  <w:pPr>
                    <w:widowControl/>
                    <w:spacing w:line="240" w:lineRule="auto"/>
                    <w:jc w:val="center"/>
                    <w:textAlignment w:val="center"/>
                    <w:rPr>
                      <w:rFonts w:hint="eastAsia" w:eastAsia="宋体" w:cs="宋体"/>
                      <w:color w:val="auto"/>
                      <w:kern w:val="0"/>
                      <w:sz w:val="18"/>
                      <w:szCs w:val="18"/>
                      <w:lang w:eastAsia="zh-CN" w:bidi="ar"/>
                    </w:rPr>
                  </w:pPr>
                  <w:r>
                    <w:rPr>
                      <w:rFonts w:hint="eastAsia" w:cs="宋体"/>
                      <w:color w:val="auto"/>
                      <w:kern w:val="0"/>
                      <w:sz w:val="18"/>
                      <w:szCs w:val="18"/>
                      <w:lang w:bidi="ar"/>
                    </w:rPr>
                    <w:t>本项目为</w:t>
                  </w:r>
                  <w:r>
                    <w:rPr>
                      <w:rFonts w:hint="eastAsia" w:cs="宋体"/>
                      <w:b w:val="0"/>
                      <w:bCs w:val="0"/>
                      <w:color w:val="auto"/>
                      <w:kern w:val="0"/>
                      <w:sz w:val="18"/>
                      <w:szCs w:val="18"/>
                      <w:lang w:bidi="ar"/>
                    </w:rPr>
                    <w:t>其他</w:t>
                  </w:r>
                  <w:r>
                    <w:rPr>
                      <w:rFonts w:hint="eastAsia" w:cs="宋体"/>
                      <w:b w:val="0"/>
                      <w:bCs w:val="0"/>
                      <w:color w:val="auto"/>
                      <w:kern w:val="0"/>
                      <w:sz w:val="18"/>
                      <w:szCs w:val="18"/>
                      <w:lang w:val="en-US" w:eastAsia="zh-CN" w:bidi="ar"/>
                    </w:rPr>
                    <w:t>类型</w:t>
                  </w:r>
                  <w:r>
                    <w:rPr>
                      <w:rFonts w:hint="eastAsia" w:cs="宋体"/>
                      <w:b w:val="0"/>
                      <w:bCs w:val="0"/>
                      <w:color w:val="auto"/>
                      <w:kern w:val="0"/>
                      <w:sz w:val="18"/>
                      <w:szCs w:val="18"/>
                      <w:lang w:eastAsia="zh-CN" w:bidi="ar"/>
                    </w:rPr>
                    <w:t>，</w:t>
                  </w:r>
                  <w:r>
                    <w:rPr>
                      <w:rFonts w:hint="eastAsia" w:cs="宋体"/>
                      <w:color w:val="auto"/>
                      <w:kern w:val="0"/>
                      <w:sz w:val="18"/>
                      <w:szCs w:val="18"/>
                      <w:lang w:bidi="ar"/>
                    </w:rPr>
                    <w:t>应编制报告表</w:t>
                  </w:r>
                </w:p>
              </w:tc>
            </w:tr>
            <w:tr w14:paraId="2471F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491B5F20">
                  <w:pPr>
                    <w:widowControl/>
                    <w:spacing w:line="240" w:lineRule="auto"/>
                    <w:jc w:val="center"/>
                    <w:textAlignment w:val="center"/>
                    <w:rPr>
                      <w:rFonts w:cs="宋体"/>
                      <w:color w:val="auto"/>
                      <w:kern w:val="0"/>
                      <w:sz w:val="18"/>
                      <w:szCs w:val="18"/>
                      <w:lang w:bidi="ar"/>
                    </w:rPr>
                  </w:pPr>
                  <w:r>
                    <w:rPr>
                      <w:rFonts w:hint="eastAsia" w:cs="宋体"/>
                      <w:b/>
                      <w:bCs/>
                      <w:color w:val="auto"/>
                      <w:kern w:val="0"/>
                      <w:sz w:val="18"/>
                      <w:szCs w:val="18"/>
                      <w:lang w:bidi="ar"/>
                    </w:rPr>
                    <w:t>排污许可管理等级判别表</w:t>
                  </w:r>
                </w:p>
              </w:tc>
            </w:tr>
            <w:tr w14:paraId="1DB4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vAlign w:val="center"/>
                </w:tcPr>
                <w:p w14:paraId="063787AE">
                  <w:pPr>
                    <w:widowControl/>
                    <w:spacing w:line="240" w:lineRule="auto"/>
                    <w:textAlignment w:val="center"/>
                    <w:rPr>
                      <w:rFonts w:cs="宋体"/>
                      <w:color w:val="auto"/>
                      <w:kern w:val="0"/>
                      <w:sz w:val="18"/>
                      <w:szCs w:val="18"/>
                      <w:lang w:bidi="ar"/>
                    </w:rPr>
                  </w:pPr>
                  <w:r>
                    <w:rPr>
                      <w:rFonts w:hint="eastAsia" w:cs="宋体"/>
                      <w:color w:val="auto"/>
                      <w:kern w:val="0"/>
                      <w:sz w:val="18"/>
                      <w:szCs w:val="18"/>
                      <w:lang w:bidi="ar"/>
                    </w:rPr>
                    <w:t>序号</w:t>
                  </w:r>
                </w:p>
              </w:tc>
              <w:tc>
                <w:tcPr>
                  <w:tcW w:w="580" w:type="pct"/>
                  <w:vAlign w:val="center"/>
                </w:tcPr>
                <w:p w14:paraId="2951A06A">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行业类别</w:t>
                  </w:r>
                </w:p>
              </w:tc>
              <w:tc>
                <w:tcPr>
                  <w:tcW w:w="1217" w:type="pct"/>
                  <w:vAlign w:val="center"/>
                </w:tcPr>
                <w:p w14:paraId="7FA1440C">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重点管理</w:t>
                  </w:r>
                </w:p>
              </w:tc>
              <w:tc>
                <w:tcPr>
                  <w:tcW w:w="1271" w:type="pct"/>
                  <w:vAlign w:val="center"/>
                </w:tcPr>
                <w:p w14:paraId="6D33D3CA">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简化管理</w:t>
                  </w:r>
                </w:p>
              </w:tc>
              <w:tc>
                <w:tcPr>
                  <w:tcW w:w="828" w:type="pct"/>
                  <w:vAlign w:val="center"/>
                </w:tcPr>
                <w:p w14:paraId="2FA0C81E">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登记管理</w:t>
                  </w:r>
                </w:p>
              </w:tc>
              <w:tc>
                <w:tcPr>
                  <w:tcW w:w="841" w:type="pct"/>
                  <w:vAlign w:val="center"/>
                </w:tcPr>
                <w:p w14:paraId="6B0A6D65">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本项目判定</w:t>
                  </w:r>
                </w:p>
              </w:tc>
            </w:tr>
            <w:tr w14:paraId="13C1F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vAlign w:val="center"/>
                </w:tcPr>
                <w:p w14:paraId="2C9EEF7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82</w:t>
                  </w:r>
                </w:p>
              </w:tc>
              <w:tc>
                <w:tcPr>
                  <w:tcW w:w="580" w:type="pct"/>
                  <w:vAlign w:val="center"/>
                </w:tcPr>
                <w:p w14:paraId="4E4ED9C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bidi="ar"/>
                    </w:rPr>
                    <w:t>铸造及其他金属制品制造 339</w:t>
                  </w:r>
                </w:p>
              </w:tc>
              <w:tc>
                <w:tcPr>
                  <w:tcW w:w="1217" w:type="pct"/>
                  <w:vAlign w:val="center"/>
                </w:tcPr>
                <w:p w14:paraId="374AC6EE">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黑色金属铸造3391（使用冲天炉的），有色金属铸造3392（生产铅基及铅青铜铸件的）</w:t>
                  </w:r>
                </w:p>
              </w:tc>
              <w:tc>
                <w:tcPr>
                  <w:tcW w:w="1271" w:type="pct"/>
                  <w:vAlign w:val="center"/>
                </w:tcPr>
                <w:p w14:paraId="7380FF48">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除重点管理以外的黑色金属铸造3391、</w:t>
                  </w:r>
                  <w:r>
                    <w:rPr>
                      <w:rFonts w:hint="eastAsia" w:cs="宋体"/>
                      <w:b/>
                      <w:bCs/>
                      <w:color w:val="auto"/>
                      <w:kern w:val="0"/>
                      <w:sz w:val="18"/>
                      <w:szCs w:val="18"/>
                      <w:lang w:bidi="ar"/>
                    </w:rPr>
                    <w:t>有色金属铸造3392</w:t>
                  </w:r>
                </w:p>
              </w:tc>
              <w:tc>
                <w:tcPr>
                  <w:tcW w:w="828" w:type="pct"/>
                  <w:vAlign w:val="center"/>
                </w:tcPr>
                <w:p w14:paraId="73373B83">
                  <w:pPr>
                    <w:widowControl/>
                    <w:spacing w:line="240" w:lineRule="auto"/>
                    <w:jc w:val="center"/>
                    <w:textAlignment w:val="center"/>
                    <w:rPr>
                      <w:rFonts w:hint="eastAsia" w:eastAsia="宋体" w:cs="宋体"/>
                      <w:color w:val="auto"/>
                      <w:kern w:val="0"/>
                      <w:sz w:val="18"/>
                      <w:szCs w:val="18"/>
                      <w:lang w:eastAsia="zh-CN" w:bidi="ar"/>
                    </w:rPr>
                  </w:pPr>
                  <w:r>
                    <w:rPr>
                      <w:rFonts w:hint="eastAsia" w:cs="宋体"/>
                      <w:color w:val="auto"/>
                      <w:kern w:val="0"/>
                      <w:sz w:val="18"/>
                      <w:szCs w:val="18"/>
                      <w:lang w:val="en-US" w:eastAsia="zh-CN" w:bidi="ar"/>
                    </w:rPr>
                    <w:t>/</w:t>
                  </w:r>
                </w:p>
              </w:tc>
              <w:tc>
                <w:tcPr>
                  <w:tcW w:w="841" w:type="pct"/>
                  <w:vAlign w:val="center"/>
                </w:tcPr>
                <w:p w14:paraId="5D1A981A">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bidi="ar"/>
                    </w:rPr>
                    <w:t>本项目</w:t>
                  </w:r>
                  <w:r>
                    <w:rPr>
                      <w:rFonts w:hint="eastAsia" w:cs="宋体"/>
                      <w:color w:val="auto"/>
                      <w:kern w:val="0"/>
                      <w:sz w:val="18"/>
                      <w:szCs w:val="18"/>
                      <w:lang w:val="en-US" w:eastAsia="zh-CN" w:bidi="ar"/>
                    </w:rPr>
                    <w:t>为</w:t>
                  </w:r>
                  <w:r>
                    <w:rPr>
                      <w:rFonts w:hint="eastAsia" w:cs="宋体"/>
                      <w:color w:val="auto"/>
                      <w:kern w:val="0"/>
                      <w:sz w:val="18"/>
                      <w:szCs w:val="18"/>
                      <w:lang w:bidi="ar"/>
                    </w:rPr>
                    <w:t>有色金属铸造3392</w:t>
                  </w:r>
                  <w:r>
                    <w:rPr>
                      <w:rFonts w:hint="eastAsia" w:cs="宋体"/>
                      <w:color w:val="auto"/>
                      <w:kern w:val="0"/>
                      <w:sz w:val="18"/>
                      <w:szCs w:val="18"/>
                      <w:lang w:eastAsia="zh-CN" w:bidi="ar"/>
                    </w:rPr>
                    <w:t>，</w:t>
                  </w:r>
                  <w:r>
                    <w:rPr>
                      <w:rFonts w:hint="eastAsia" w:cs="宋体"/>
                      <w:color w:val="auto"/>
                      <w:kern w:val="0"/>
                      <w:sz w:val="18"/>
                      <w:szCs w:val="18"/>
                      <w:lang w:val="en-US" w:eastAsia="zh-CN" w:bidi="ar"/>
                    </w:rPr>
                    <w:t>属于简化管理</w:t>
                  </w:r>
                </w:p>
              </w:tc>
            </w:tr>
            <w:tr w14:paraId="0DBF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6F69D464">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五十一、通用工序</w:t>
                  </w:r>
                </w:p>
              </w:tc>
            </w:tr>
            <w:tr w14:paraId="12F5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vAlign w:val="center"/>
                </w:tcPr>
                <w:p w14:paraId="36E92D7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110</w:t>
                  </w:r>
                </w:p>
              </w:tc>
              <w:tc>
                <w:tcPr>
                  <w:tcW w:w="580" w:type="pct"/>
                  <w:vAlign w:val="center"/>
                </w:tcPr>
                <w:p w14:paraId="02034A8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工业炉窑</w:t>
                  </w:r>
                </w:p>
              </w:tc>
              <w:tc>
                <w:tcPr>
                  <w:tcW w:w="1217" w:type="pct"/>
                  <w:vAlign w:val="center"/>
                </w:tcPr>
                <w:p w14:paraId="3F5CD15D">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纳入重点排污单位名录的</w:t>
                  </w:r>
                </w:p>
              </w:tc>
              <w:tc>
                <w:tcPr>
                  <w:tcW w:w="1271" w:type="pct"/>
                  <w:vAlign w:val="center"/>
                </w:tcPr>
                <w:p w14:paraId="71664F6A">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除纳入重点排污单位名录的，除以天然气或者电为能源的加热炉、热处理炉、干燥炉（窑）以外的其他工业炉窑</w:t>
                  </w:r>
                </w:p>
              </w:tc>
              <w:tc>
                <w:tcPr>
                  <w:tcW w:w="828" w:type="pct"/>
                  <w:vAlign w:val="center"/>
                </w:tcPr>
                <w:p w14:paraId="6EC499D0">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除纳入重点排污单位名录的，以天然气或者电为能源的加热炉、热处理炉或者干燥炉（窑）</w:t>
                  </w:r>
                </w:p>
              </w:tc>
              <w:tc>
                <w:tcPr>
                  <w:tcW w:w="841" w:type="pct"/>
                  <w:vAlign w:val="center"/>
                </w:tcPr>
                <w:p w14:paraId="761E2AC3">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本项目使用</w:t>
                  </w:r>
                  <w:r>
                    <w:rPr>
                      <w:rFonts w:hint="eastAsia" w:cs="宋体"/>
                      <w:color w:val="auto"/>
                      <w:kern w:val="0"/>
                      <w:sz w:val="18"/>
                      <w:szCs w:val="18"/>
                      <w:lang w:bidi="ar"/>
                    </w:rPr>
                    <w:t>天然气</w:t>
                  </w:r>
                  <w:r>
                    <w:rPr>
                      <w:rFonts w:hint="eastAsia" w:cs="宋体"/>
                      <w:color w:val="auto"/>
                      <w:kern w:val="0"/>
                      <w:sz w:val="18"/>
                      <w:szCs w:val="18"/>
                      <w:lang w:eastAsia="zh-CN" w:bidi="ar"/>
                    </w:rPr>
                    <w:t>、</w:t>
                  </w:r>
                  <w:r>
                    <w:rPr>
                      <w:rFonts w:hint="eastAsia" w:cs="宋体"/>
                      <w:color w:val="auto"/>
                      <w:kern w:val="0"/>
                      <w:sz w:val="18"/>
                      <w:szCs w:val="18"/>
                      <w:lang w:bidi="ar"/>
                    </w:rPr>
                    <w:t>电为能源的</w:t>
                  </w:r>
                  <w:r>
                    <w:rPr>
                      <w:rFonts w:hint="eastAsia" w:cs="宋体"/>
                      <w:color w:val="auto"/>
                      <w:kern w:val="0"/>
                      <w:sz w:val="18"/>
                      <w:szCs w:val="18"/>
                      <w:lang w:val="en-US" w:eastAsia="zh-CN" w:bidi="ar"/>
                    </w:rPr>
                    <w:t>加热</w:t>
                  </w:r>
                  <w:r>
                    <w:rPr>
                      <w:rFonts w:hint="eastAsia" w:cs="宋体"/>
                      <w:color w:val="auto"/>
                      <w:kern w:val="0"/>
                      <w:sz w:val="18"/>
                      <w:szCs w:val="18"/>
                      <w:lang w:bidi="ar"/>
                    </w:rPr>
                    <w:t>炉</w:t>
                  </w:r>
                  <w:r>
                    <w:rPr>
                      <w:rFonts w:hint="eastAsia" w:cs="宋体"/>
                      <w:color w:val="auto"/>
                      <w:kern w:val="0"/>
                      <w:sz w:val="18"/>
                      <w:szCs w:val="18"/>
                      <w:lang w:eastAsia="zh-CN" w:bidi="ar"/>
                    </w:rPr>
                    <w:t>，</w:t>
                  </w:r>
                  <w:r>
                    <w:rPr>
                      <w:rFonts w:hint="eastAsia" w:cs="宋体"/>
                      <w:color w:val="auto"/>
                      <w:kern w:val="0"/>
                      <w:sz w:val="18"/>
                      <w:szCs w:val="18"/>
                      <w:lang w:val="en-US" w:eastAsia="zh-CN" w:bidi="ar"/>
                    </w:rPr>
                    <w:t>为登记</w:t>
                  </w:r>
                  <w:r>
                    <w:rPr>
                      <w:rFonts w:hint="eastAsia" w:cs="宋体"/>
                      <w:color w:val="auto"/>
                      <w:kern w:val="0"/>
                      <w:sz w:val="18"/>
                      <w:szCs w:val="18"/>
                      <w:lang w:bidi="ar"/>
                    </w:rPr>
                    <w:t>管理</w:t>
                  </w:r>
                </w:p>
              </w:tc>
            </w:tr>
            <w:tr w14:paraId="4E538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5000" w:type="pct"/>
                  <w:gridSpan w:val="6"/>
                  <w:vAlign w:val="center"/>
                </w:tcPr>
                <w:p w14:paraId="77EDB5C7">
                  <w:pPr>
                    <w:widowControl/>
                    <w:spacing w:line="240" w:lineRule="auto"/>
                    <w:jc w:val="both"/>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经综合判定，本项目应编制环评报告表，排污许可管理等级为简化管理。</w:t>
                  </w:r>
                </w:p>
              </w:tc>
            </w:tr>
          </w:tbl>
          <w:p w14:paraId="31911097">
            <w:pPr>
              <w:spacing w:before="120" w:beforeLines="50"/>
              <w:rPr>
                <w:b/>
                <w:color w:val="auto"/>
                <w:szCs w:val="24"/>
              </w:rPr>
            </w:pPr>
            <w:r>
              <w:rPr>
                <w:b/>
                <w:color w:val="auto"/>
                <w:szCs w:val="24"/>
              </w:rPr>
              <w:t>2</w:t>
            </w:r>
            <w:r>
              <w:rPr>
                <w:rFonts w:hint="eastAsia"/>
                <w:b/>
                <w:color w:val="auto"/>
                <w:szCs w:val="24"/>
              </w:rPr>
              <w:t>、建设内容</w:t>
            </w:r>
          </w:p>
          <w:p w14:paraId="77EBBED4">
            <w:pPr>
              <w:ind w:firstLine="480" w:firstLineChars="200"/>
              <w:rPr>
                <w:rFonts w:hint="eastAsia"/>
                <w:color w:val="auto"/>
                <w:szCs w:val="24"/>
                <w:lang w:eastAsia="zh-CN"/>
              </w:rPr>
            </w:pPr>
            <w:r>
              <w:rPr>
                <w:rFonts w:hint="eastAsia"/>
                <w:color w:val="auto"/>
                <w:szCs w:val="24"/>
                <w:lang w:eastAsia="zh-CN"/>
              </w:rPr>
              <w:t>（</w:t>
            </w:r>
            <w:r>
              <w:rPr>
                <w:rFonts w:hint="eastAsia"/>
                <w:color w:val="auto"/>
                <w:szCs w:val="24"/>
                <w:lang w:val="en-US" w:eastAsia="zh-CN"/>
              </w:rPr>
              <w:t>1</w:t>
            </w:r>
            <w:r>
              <w:rPr>
                <w:rFonts w:hint="eastAsia"/>
                <w:color w:val="auto"/>
                <w:szCs w:val="24"/>
                <w:lang w:eastAsia="zh-CN"/>
              </w:rPr>
              <w:t>）项目主要建设内容</w:t>
            </w:r>
          </w:p>
          <w:p w14:paraId="57B1E11E">
            <w:pPr>
              <w:ind w:firstLine="480" w:firstLineChars="200"/>
              <w:rPr>
                <w:color w:val="auto"/>
                <w:szCs w:val="24"/>
              </w:rPr>
            </w:pPr>
            <w:r>
              <w:rPr>
                <w:color w:val="auto"/>
                <w:szCs w:val="24"/>
              </w:rPr>
              <w:t>本项目</w:t>
            </w:r>
            <w:r>
              <w:rPr>
                <w:rFonts w:hint="eastAsia"/>
                <w:color w:val="auto"/>
                <w:szCs w:val="24"/>
              </w:rPr>
              <w:t>位于</w:t>
            </w:r>
            <w:r>
              <w:rPr>
                <w:rFonts w:hint="eastAsia"/>
                <w:color w:val="auto"/>
                <w:szCs w:val="24"/>
                <w:lang w:val="en-US" w:eastAsia="zh-CN"/>
              </w:rPr>
              <w:t>池州市</w:t>
            </w:r>
            <w:r>
              <w:rPr>
                <w:rFonts w:hint="eastAsia"/>
                <w:color w:val="auto"/>
                <w:szCs w:val="24"/>
              </w:rPr>
              <w:t>皖江江南新兴产业集中区安安产业园</w:t>
            </w:r>
            <w:r>
              <w:rPr>
                <w:rFonts w:hint="eastAsia"/>
                <w:color w:val="auto"/>
                <w:szCs w:val="24"/>
                <w:lang w:eastAsia="zh-CN"/>
              </w:rPr>
              <w:t>，</w:t>
            </w:r>
            <w:r>
              <w:rPr>
                <w:rFonts w:hint="eastAsia"/>
                <w:color w:val="auto"/>
                <w:szCs w:val="24"/>
              </w:rPr>
              <w:t>利用</w:t>
            </w:r>
            <w:r>
              <w:rPr>
                <w:rFonts w:hint="eastAsia"/>
                <w:color w:val="auto"/>
                <w:szCs w:val="24"/>
                <w:lang w:val="en-US" w:eastAsia="zh-CN"/>
              </w:rPr>
              <w:t>厂区</w:t>
            </w:r>
            <w:r>
              <w:rPr>
                <w:rFonts w:hint="eastAsia"/>
                <w:color w:val="auto"/>
                <w:szCs w:val="24"/>
              </w:rPr>
              <w:t>的现有</w:t>
            </w:r>
            <w:r>
              <w:rPr>
                <w:rFonts w:hint="eastAsia"/>
                <w:color w:val="auto"/>
                <w:szCs w:val="24"/>
                <w:lang w:val="en-US" w:eastAsia="zh-CN"/>
              </w:rPr>
              <w:t>7#厂房</w:t>
            </w:r>
            <w:r>
              <w:rPr>
                <w:rFonts w:hint="eastAsia"/>
                <w:bCs/>
                <w:color w:val="auto"/>
                <w:szCs w:val="24"/>
              </w:rPr>
              <w:t>东面二跨（5500</w:t>
            </w:r>
            <w:r>
              <w:rPr>
                <w:rFonts w:hint="eastAsia"/>
                <w:bCs/>
                <w:color w:val="auto"/>
                <w:szCs w:val="24"/>
                <w:lang w:val="en-US" w:eastAsia="zh-CN"/>
              </w:rPr>
              <w:t>m</w:t>
            </w:r>
            <w:r>
              <w:rPr>
                <w:rFonts w:hint="eastAsia"/>
                <w:bCs/>
                <w:color w:val="auto"/>
                <w:szCs w:val="24"/>
                <w:vertAlign w:val="superscript"/>
                <w:lang w:val="en-US" w:eastAsia="zh-CN"/>
              </w:rPr>
              <w:t>2</w:t>
            </w:r>
            <w:r>
              <w:rPr>
                <w:rFonts w:hint="eastAsia"/>
                <w:bCs/>
                <w:color w:val="auto"/>
                <w:szCs w:val="24"/>
              </w:rPr>
              <w:t>）</w:t>
            </w:r>
            <w:r>
              <w:rPr>
                <w:rFonts w:hint="eastAsia"/>
                <w:color w:val="auto"/>
                <w:szCs w:val="24"/>
                <w:lang w:val="en-US" w:eastAsia="zh-CN"/>
              </w:rPr>
              <w:t>，新建熔炼区、低压压铸区、离心浇铸区、精加工区、质检区及打包区，新增离心浇铸机、倾倒熔炉、低压浇铸机、集中熔铝炉等生产设备40余台套，建设高端工业铝材浇铸件生产线1条，公辅设施依托现有</w:t>
            </w:r>
            <w:bookmarkStart w:id="18" w:name="OLE_LINK28"/>
            <w:r>
              <w:rPr>
                <w:rFonts w:hint="eastAsia"/>
                <w:bCs/>
                <w:color w:val="auto"/>
                <w:szCs w:val="24"/>
              </w:rPr>
              <w:t>年产500万件轨道交通及新能源汽车配件扩规项目</w:t>
            </w:r>
            <w:bookmarkEnd w:id="18"/>
            <w:r>
              <w:rPr>
                <w:rFonts w:hint="eastAsia"/>
                <w:color w:val="auto"/>
                <w:szCs w:val="24"/>
              </w:rPr>
              <w:t>；</w:t>
            </w:r>
            <w:r>
              <w:rPr>
                <w:rFonts w:hint="eastAsia" w:cs="Times New Roman"/>
                <w:color w:val="auto"/>
                <w:lang w:val="en-US" w:eastAsia="zh-CN"/>
              </w:rPr>
              <w:t>现有“500万件轨道交通及新能源汽车配件扩规项目”中7#厂房、8#厂房、倒班宿舍已建设完成</w:t>
            </w:r>
            <w:r>
              <w:rPr>
                <w:rFonts w:hint="eastAsia"/>
                <w:color w:val="auto"/>
                <w:szCs w:val="24"/>
                <w:lang w:val="en-US" w:eastAsia="zh-CN"/>
              </w:rPr>
              <w:t>，本项目主体工程依托7#厂房，</w:t>
            </w:r>
            <w:r>
              <w:rPr>
                <w:rFonts w:hint="eastAsia"/>
                <w:color w:val="auto"/>
              </w:rPr>
              <w:t>详细建设内容</w:t>
            </w:r>
            <w:r>
              <w:rPr>
                <w:rFonts w:hint="eastAsia"/>
                <w:color w:val="auto"/>
                <w:lang w:val="en-US" w:eastAsia="zh-CN"/>
              </w:rPr>
              <w:t>及与现有项目依托关系见下表</w:t>
            </w:r>
            <w:r>
              <w:rPr>
                <w:color w:val="auto"/>
                <w:szCs w:val="24"/>
              </w:rPr>
              <w:t>。</w:t>
            </w:r>
          </w:p>
          <w:p w14:paraId="03924698">
            <w:pPr>
              <w:jc w:val="center"/>
              <w:rPr>
                <w:rFonts w:hint="eastAsia" w:ascii="黑体" w:hAnsi="黑体" w:eastAsia="黑体"/>
                <w:color w:val="auto"/>
                <w:szCs w:val="24"/>
                <w:highlight w:val="yellow"/>
              </w:rPr>
            </w:pPr>
            <w:r>
              <w:rPr>
                <w:rFonts w:ascii="黑体" w:hAnsi="黑体" w:eastAsia="黑体"/>
                <w:color w:val="auto"/>
                <w:szCs w:val="24"/>
                <w:highlight w:val="none"/>
              </w:rPr>
              <w:t>表</w:t>
            </w:r>
            <w:r>
              <w:rPr>
                <w:rFonts w:eastAsia="黑体"/>
                <w:color w:val="auto"/>
                <w:szCs w:val="24"/>
                <w:highlight w:val="none"/>
              </w:rPr>
              <w:t>2-</w:t>
            </w:r>
            <w:r>
              <w:rPr>
                <w:rFonts w:hint="eastAsia" w:eastAsia="黑体"/>
                <w:color w:val="auto"/>
                <w:szCs w:val="24"/>
                <w:highlight w:val="none"/>
              </w:rPr>
              <w:t>2</w:t>
            </w:r>
            <w:r>
              <w:rPr>
                <w:rFonts w:ascii="黑体" w:hAnsi="黑体" w:eastAsia="黑体"/>
                <w:color w:val="auto"/>
                <w:szCs w:val="24"/>
                <w:highlight w:val="none"/>
              </w:rPr>
              <w:t xml:space="preserve">  </w:t>
            </w:r>
            <w:r>
              <w:rPr>
                <w:rFonts w:hint="eastAsia" w:ascii="黑体" w:hAnsi="黑体" w:eastAsia="黑体"/>
                <w:color w:val="auto"/>
                <w:szCs w:val="24"/>
                <w:highlight w:val="none"/>
              </w:rPr>
              <w:t>拟建设项目主要建设内容一览表</w:t>
            </w:r>
          </w:p>
          <w:tbl>
            <w:tblPr>
              <w:tblStyle w:val="69"/>
              <w:tblW w:w="5000"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691"/>
              <w:gridCol w:w="1013"/>
              <w:gridCol w:w="2525"/>
              <w:gridCol w:w="1920"/>
              <w:gridCol w:w="2285"/>
              <w:gridCol w:w="650"/>
            </w:tblGrid>
            <w:tr w14:paraId="301076D4">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tcBorders>
                    <w:top w:val="single" w:color="auto" w:sz="4" w:space="0"/>
                    <w:left w:val="single" w:color="auto" w:sz="4" w:space="0"/>
                    <w:bottom w:val="single" w:color="auto" w:sz="2" w:space="0"/>
                    <w:right w:val="single" w:color="auto" w:sz="4" w:space="0"/>
                  </w:tcBorders>
                  <w:shd w:val="clear" w:color="auto" w:fill="auto"/>
                  <w:vAlign w:val="center"/>
                </w:tcPr>
                <w:p w14:paraId="09599A8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工程类别</w:t>
                  </w:r>
                </w:p>
              </w:tc>
              <w:tc>
                <w:tcPr>
                  <w:tcW w:w="557" w:type="pct"/>
                  <w:tcBorders>
                    <w:top w:val="single" w:color="auto" w:sz="4" w:space="0"/>
                    <w:bottom w:val="single" w:color="auto" w:sz="2" w:space="0"/>
                  </w:tcBorders>
                  <w:shd w:val="clear" w:color="auto" w:fill="auto"/>
                  <w:vAlign w:val="center"/>
                </w:tcPr>
                <w:p w14:paraId="0E9D3DD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工程名称</w:t>
                  </w:r>
                </w:p>
              </w:tc>
              <w:tc>
                <w:tcPr>
                  <w:tcW w:w="1389" w:type="pct"/>
                  <w:tcBorders>
                    <w:top w:val="single" w:color="auto" w:sz="4" w:space="0"/>
                    <w:bottom w:val="single" w:color="auto" w:sz="2" w:space="0"/>
                    <w:right w:val="single" w:color="auto" w:sz="4" w:space="0"/>
                  </w:tcBorders>
                  <w:shd w:val="clear" w:color="auto" w:fill="auto"/>
                  <w:vAlign w:val="center"/>
                </w:tcPr>
                <w:p w14:paraId="4D14BA8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现有工程内容与规模</w:t>
                  </w:r>
                </w:p>
              </w:tc>
              <w:tc>
                <w:tcPr>
                  <w:tcW w:w="1056" w:type="pct"/>
                  <w:tcBorders>
                    <w:top w:val="single" w:color="auto" w:sz="4" w:space="0"/>
                    <w:bottom w:val="single" w:color="auto" w:sz="2" w:space="0"/>
                    <w:right w:val="single" w:color="auto" w:sz="4" w:space="0"/>
                  </w:tcBorders>
                  <w:shd w:val="clear" w:color="auto" w:fill="auto"/>
                  <w:vAlign w:val="center"/>
                </w:tcPr>
                <w:p w14:paraId="616EBEC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本项目内容与规模</w:t>
                  </w:r>
                </w:p>
              </w:tc>
              <w:tc>
                <w:tcPr>
                  <w:tcW w:w="1257" w:type="pct"/>
                  <w:tcBorders>
                    <w:top w:val="single" w:color="auto" w:sz="4" w:space="0"/>
                    <w:bottom w:val="single" w:color="auto" w:sz="2" w:space="0"/>
                    <w:right w:val="single" w:color="auto" w:sz="4" w:space="0"/>
                  </w:tcBorders>
                  <w:shd w:val="clear" w:color="auto" w:fill="auto"/>
                  <w:vAlign w:val="center"/>
                </w:tcPr>
                <w:p w14:paraId="058BF1BF">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改建后建设内容及规模</w:t>
                  </w:r>
                </w:p>
              </w:tc>
              <w:tc>
                <w:tcPr>
                  <w:tcW w:w="357" w:type="pct"/>
                  <w:tcBorders>
                    <w:top w:val="single" w:color="auto" w:sz="4" w:space="0"/>
                    <w:bottom w:val="single" w:color="auto" w:sz="2" w:space="0"/>
                    <w:right w:val="single" w:color="auto" w:sz="4" w:space="0"/>
                  </w:tcBorders>
                  <w:shd w:val="clear" w:color="auto" w:fill="auto"/>
                  <w:vAlign w:val="center"/>
                </w:tcPr>
                <w:p w14:paraId="2DAF1F9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备注</w:t>
                  </w:r>
                </w:p>
              </w:tc>
            </w:tr>
            <w:tr w14:paraId="3423B4E0">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tcBorders>
                    <w:top w:val="single" w:color="auto" w:sz="2" w:space="0"/>
                    <w:left w:val="single" w:color="auto" w:sz="4" w:space="0"/>
                    <w:right w:val="single" w:color="auto" w:sz="4" w:space="0"/>
                  </w:tcBorders>
                  <w:shd w:val="clear" w:color="auto" w:fill="auto"/>
                  <w:vAlign w:val="center"/>
                </w:tcPr>
                <w:p w14:paraId="3614217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主体工程</w:t>
                  </w:r>
                </w:p>
              </w:tc>
              <w:tc>
                <w:tcPr>
                  <w:tcW w:w="557" w:type="pct"/>
                  <w:tcBorders>
                    <w:top w:val="single" w:color="auto" w:sz="2" w:space="0"/>
                    <w:bottom w:val="single" w:color="auto" w:sz="2" w:space="0"/>
                  </w:tcBorders>
                  <w:shd w:val="clear" w:color="auto" w:fill="auto"/>
                  <w:vAlign w:val="center"/>
                </w:tcPr>
                <w:p w14:paraId="16B7D2A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7#厂房</w:t>
                  </w:r>
                </w:p>
              </w:tc>
              <w:tc>
                <w:tcPr>
                  <w:tcW w:w="1389" w:type="pct"/>
                  <w:tcBorders>
                    <w:top w:val="single" w:color="auto" w:sz="2" w:space="0"/>
                    <w:bottom w:val="single" w:color="auto" w:sz="2" w:space="0"/>
                    <w:right w:val="single" w:color="auto" w:sz="4" w:space="0"/>
                  </w:tcBorders>
                  <w:shd w:val="clear" w:color="auto" w:fill="auto"/>
                  <w:vAlign w:val="center"/>
                </w:tcPr>
                <w:p w14:paraId="5E9F73E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1F，</w:t>
                  </w:r>
                  <w:bookmarkStart w:id="19" w:name="OLE_LINK7"/>
                  <w:r>
                    <w:rPr>
                      <w:rFonts w:hint="eastAsia" w:cs="宋体"/>
                      <w:color w:val="auto"/>
                      <w:kern w:val="0"/>
                      <w:sz w:val="18"/>
                      <w:szCs w:val="18"/>
                      <w:lang w:val="en-US" w:eastAsia="zh-CN" w:bidi="ar"/>
                    </w:rPr>
                    <w:t>建筑面积31605m</w:t>
                  </w:r>
                  <w:r>
                    <w:rPr>
                      <w:rFonts w:hint="eastAsia" w:cs="宋体"/>
                      <w:color w:val="auto"/>
                      <w:kern w:val="0"/>
                      <w:sz w:val="18"/>
                      <w:szCs w:val="18"/>
                      <w:vertAlign w:val="superscript"/>
                      <w:lang w:val="en-US" w:eastAsia="zh-CN" w:bidi="ar"/>
                    </w:rPr>
                    <w:t>2</w:t>
                  </w:r>
                  <w:bookmarkEnd w:id="19"/>
                  <w:r>
                    <w:rPr>
                      <w:rFonts w:hint="eastAsia" w:cs="宋体"/>
                      <w:color w:val="auto"/>
                      <w:kern w:val="0"/>
                      <w:sz w:val="18"/>
                      <w:szCs w:val="18"/>
                      <w:vertAlign w:val="baseline"/>
                      <w:lang w:val="en-US" w:eastAsia="zh-CN" w:bidi="ar"/>
                    </w:rPr>
                    <w:t>，</w:t>
                  </w:r>
                  <w:r>
                    <w:rPr>
                      <w:rFonts w:hint="eastAsia" w:cs="宋体"/>
                      <w:color w:val="auto"/>
                      <w:kern w:val="0"/>
                      <w:sz w:val="18"/>
                      <w:szCs w:val="18"/>
                      <w:lang w:val="en-US" w:eastAsia="zh-CN" w:bidi="ar"/>
                    </w:rPr>
                    <w:t>厂房内西侧为成品包装区，中间为精加工生产区及仓库。</w:t>
                  </w:r>
                </w:p>
              </w:tc>
              <w:tc>
                <w:tcPr>
                  <w:tcW w:w="1056" w:type="pct"/>
                  <w:tcBorders>
                    <w:top w:val="single" w:color="auto" w:sz="2" w:space="0"/>
                    <w:bottom w:val="single" w:color="auto" w:sz="2" w:space="0"/>
                    <w:right w:val="single" w:color="auto" w:sz="4" w:space="0"/>
                  </w:tcBorders>
                  <w:shd w:val="clear" w:color="auto" w:fill="auto"/>
                  <w:vAlign w:val="center"/>
                </w:tcPr>
                <w:p w14:paraId="292D45F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利用7#厂房东侧剩余二跨（5500m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），新增熔炼区、低压压铸区、离心浇铸区、精加工区、质检区及打包区，建设</w:t>
                  </w:r>
                  <w:bookmarkStart w:id="20" w:name="OLE_LINK9"/>
                  <w:r>
                    <w:rPr>
                      <w:rFonts w:hint="eastAsia" w:cs="宋体"/>
                      <w:color w:val="auto"/>
                      <w:kern w:val="0"/>
                      <w:sz w:val="18"/>
                      <w:szCs w:val="18"/>
                      <w:lang w:val="en-US" w:eastAsia="zh-CN" w:bidi="ar"/>
                    </w:rPr>
                    <w:t>高端工业铝材浇铸件生产线1条</w:t>
                  </w:r>
                  <w:bookmarkEnd w:id="20"/>
                  <w:r>
                    <w:rPr>
                      <w:rFonts w:hint="eastAsia" w:cs="宋体"/>
                      <w:color w:val="auto"/>
                      <w:kern w:val="0"/>
                      <w:sz w:val="18"/>
                      <w:szCs w:val="18"/>
                      <w:lang w:val="en-US" w:eastAsia="zh-CN" w:bidi="ar"/>
                    </w:rPr>
                    <w:t>。</w:t>
                  </w:r>
                </w:p>
              </w:tc>
              <w:tc>
                <w:tcPr>
                  <w:tcW w:w="1257" w:type="pct"/>
                  <w:tcBorders>
                    <w:top w:val="single" w:color="auto" w:sz="2" w:space="0"/>
                    <w:bottom w:val="single" w:color="auto" w:sz="2" w:space="0"/>
                    <w:right w:val="single" w:color="auto" w:sz="4" w:space="0"/>
                  </w:tcBorders>
                  <w:shd w:val="clear" w:color="auto" w:fill="auto"/>
                  <w:vAlign w:val="center"/>
                </w:tcPr>
                <w:p w14:paraId="20A2BB7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1F，建筑面积31605m</w:t>
                  </w:r>
                  <w:r>
                    <w:rPr>
                      <w:rFonts w:hint="eastAsia" w:cs="宋体"/>
                      <w:color w:val="auto"/>
                      <w:kern w:val="0"/>
                      <w:sz w:val="18"/>
                      <w:szCs w:val="18"/>
                      <w:vertAlign w:val="superscript"/>
                      <w:lang w:val="en-US" w:eastAsia="zh-CN" w:bidi="ar"/>
                    </w:rPr>
                    <w:t>2</w:t>
                  </w:r>
                  <w:r>
                    <w:rPr>
                      <w:rFonts w:hint="eastAsia" w:cs="宋体"/>
                      <w:color w:val="auto"/>
                      <w:kern w:val="0"/>
                      <w:sz w:val="18"/>
                      <w:szCs w:val="18"/>
                      <w:vertAlign w:val="baseline"/>
                      <w:lang w:val="en-US" w:eastAsia="zh-CN" w:bidi="ar"/>
                    </w:rPr>
                    <w:t>，</w:t>
                  </w:r>
                  <w:r>
                    <w:rPr>
                      <w:rFonts w:hint="eastAsia" w:cs="宋体"/>
                      <w:color w:val="auto"/>
                      <w:kern w:val="0"/>
                      <w:sz w:val="18"/>
                      <w:szCs w:val="18"/>
                      <w:lang w:val="en-US" w:eastAsia="zh-CN" w:bidi="ar"/>
                    </w:rPr>
                    <w:t>厂房内西侧为成品包装区，中间为精加工生产区及仓库，东侧新增熔炼区、低压压铸区、离心浇铸区、精加工区、质检区及打包区，建设高端工业铝材浇铸件生产线1条。</w:t>
                  </w:r>
                </w:p>
              </w:tc>
              <w:tc>
                <w:tcPr>
                  <w:tcW w:w="357" w:type="pct"/>
                  <w:tcBorders>
                    <w:top w:val="single" w:color="auto" w:sz="2" w:space="0"/>
                    <w:bottom w:val="single" w:color="auto" w:sz="2" w:space="0"/>
                    <w:right w:val="single" w:color="auto" w:sz="4" w:space="0"/>
                  </w:tcBorders>
                  <w:shd w:val="clear" w:color="auto" w:fill="auto"/>
                  <w:vAlign w:val="center"/>
                </w:tcPr>
                <w:p w14:paraId="543ADDF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本项目依托现有厂房，生产线新建</w:t>
                  </w:r>
                </w:p>
              </w:tc>
            </w:tr>
            <w:tr w14:paraId="4452A389">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restart"/>
                  <w:tcBorders>
                    <w:top w:val="single" w:color="auto" w:sz="2" w:space="0"/>
                    <w:left w:val="single" w:color="auto" w:sz="4" w:space="0"/>
                    <w:right w:val="single" w:color="auto" w:sz="4" w:space="0"/>
                  </w:tcBorders>
                  <w:shd w:val="clear" w:color="auto" w:fill="auto"/>
                  <w:vAlign w:val="center"/>
                </w:tcPr>
                <w:p w14:paraId="686C0F9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辅助工程</w:t>
                  </w:r>
                </w:p>
              </w:tc>
              <w:tc>
                <w:tcPr>
                  <w:tcW w:w="557" w:type="pct"/>
                  <w:tcBorders>
                    <w:top w:val="single" w:color="auto" w:sz="2" w:space="0"/>
                    <w:bottom w:val="single" w:color="auto" w:sz="2" w:space="0"/>
                  </w:tcBorders>
                  <w:shd w:val="clear" w:color="auto" w:fill="auto"/>
                  <w:vAlign w:val="center"/>
                </w:tcPr>
                <w:p w14:paraId="5FE4BE4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门卫室</w:t>
                  </w:r>
                </w:p>
              </w:tc>
              <w:tc>
                <w:tcPr>
                  <w:tcW w:w="1389" w:type="pct"/>
                  <w:tcBorders>
                    <w:top w:val="single" w:color="auto" w:sz="2" w:space="0"/>
                    <w:bottom w:val="single" w:color="auto" w:sz="2" w:space="0"/>
                    <w:right w:val="single" w:color="auto" w:sz="4" w:space="0"/>
                  </w:tcBorders>
                  <w:shd w:val="clear" w:color="auto" w:fill="auto"/>
                  <w:vAlign w:val="center"/>
                </w:tcPr>
                <w:p w14:paraId="74905847">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1个，位于厂区南部中央位置（50m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w:t>
                  </w:r>
                </w:p>
              </w:tc>
              <w:tc>
                <w:tcPr>
                  <w:tcW w:w="1056" w:type="pct"/>
                  <w:tcBorders>
                    <w:top w:val="single" w:color="auto" w:sz="2" w:space="0"/>
                    <w:bottom w:val="single" w:color="auto" w:sz="2" w:space="0"/>
                    <w:right w:val="single" w:color="auto" w:sz="4" w:space="0"/>
                  </w:tcBorders>
                  <w:shd w:val="clear" w:color="auto" w:fill="auto"/>
                  <w:vAlign w:val="center"/>
                </w:tcPr>
                <w:p w14:paraId="1CE60F3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57" w:type="pct"/>
                  <w:tcBorders>
                    <w:top w:val="single" w:color="auto" w:sz="2" w:space="0"/>
                    <w:bottom w:val="single" w:color="auto" w:sz="2" w:space="0"/>
                    <w:right w:val="single" w:color="auto" w:sz="4" w:space="0"/>
                  </w:tcBorders>
                  <w:shd w:val="clear" w:color="auto" w:fill="auto"/>
                  <w:vAlign w:val="center"/>
                </w:tcPr>
                <w:p w14:paraId="4A00BCEA">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1个，位于厂区南部中央位置（50m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w:t>
                  </w:r>
                </w:p>
              </w:tc>
              <w:tc>
                <w:tcPr>
                  <w:tcW w:w="357" w:type="pct"/>
                  <w:tcBorders>
                    <w:top w:val="single" w:color="auto" w:sz="2" w:space="0"/>
                    <w:bottom w:val="single" w:color="auto" w:sz="2" w:space="0"/>
                    <w:right w:val="single" w:color="auto" w:sz="4" w:space="0"/>
                  </w:tcBorders>
                  <w:shd w:val="clear" w:color="auto" w:fill="auto"/>
                  <w:vAlign w:val="center"/>
                </w:tcPr>
                <w:p w14:paraId="2B0A3BC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21482BA7">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continue"/>
                  <w:tcBorders>
                    <w:left w:val="single" w:color="auto" w:sz="4" w:space="0"/>
                    <w:right w:val="single" w:color="auto" w:sz="4" w:space="0"/>
                  </w:tcBorders>
                  <w:shd w:val="clear" w:color="auto" w:fill="auto"/>
                  <w:vAlign w:val="center"/>
                </w:tcPr>
                <w:p w14:paraId="001FCE9E">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bottom w:val="single" w:color="auto" w:sz="2" w:space="0"/>
                  </w:tcBorders>
                  <w:shd w:val="clear" w:color="auto" w:fill="auto"/>
                  <w:vAlign w:val="center"/>
                </w:tcPr>
                <w:p w14:paraId="7B8D9DC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倒班宿舍</w:t>
                  </w:r>
                </w:p>
              </w:tc>
              <w:tc>
                <w:tcPr>
                  <w:tcW w:w="1389" w:type="pct"/>
                  <w:tcBorders>
                    <w:top w:val="single" w:color="auto" w:sz="2" w:space="0"/>
                    <w:bottom w:val="single" w:color="auto" w:sz="2" w:space="0"/>
                    <w:right w:val="single" w:color="auto" w:sz="4" w:space="0"/>
                  </w:tcBorders>
                  <w:shd w:val="clear" w:color="auto" w:fill="auto"/>
                  <w:vAlign w:val="center"/>
                </w:tcPr>
                <w:p w14:paraId="514B2567">
                  <w:pPr>
                    <w:widowControl/>
                    <w:spacing w:line="240" w:lineRule="auto"/>
                    <w:jc w:val="both"/>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位于厂区南角，共11层，1层为食堂；2层为活动室及阅览室；3~11层为倒班宿舍。</w:t>
                  </w:r>
                </w:p>
              </w:tc>
              <w:tc>
                <w:tcPr>
                  <w:tcW w:w="1056" w:type="pct"/>
                  <w:tcBorders>
                    <w:top w:val="single" w:color="auto" w:sz="2" w:space="0"/>
                    <w:bottom w:val="single" w:color="auto" w:sz="2" w:space="0"/>
                    <w:right w:val="single" w:color="auto" w:sz="4" w:space="0"/>
                  </w:tcBorders>
                  <w:shd w:val="clear" w:color="auto" w:fill="auto"/>
                  <w:vAlign w:val="center"/>
                </w:tcPr>
                <w:p w14:paraId="5E17AB0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57" w:type="pct"/>
                  <w:tcBorders>
                    <w:top w:val="single" w:color="auto" w:sz="2" w:space="0"/>
                    <w:bottom w:val="single" w:color="auto" w:sz="2" w:space="0"/>
                    <w:right w:val="single" w:color="auto" w:sz="4" w:space="0"/>
                  </w:tcBorders>
                  <w:shd w:val="clear" w:color="auto" w:fill="auto"/>
                  <w:vAlign w:val="center"/>
                </w:tcPr>
                <w:p w14:paraId="51D2F78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位于厂区南角，共11层，1层为食堂；2层为活动室及阅览室；3~11层为倒班宿舍。</w:t>
                  </w:r>
                </w:p>
              </w:tc>
              <w:tc>
                <w:tcPr>
                  <w:tcW w:w="357" w:type="pct"/>
                  <w:tcBorders>
                    <w:top w:val="single" w:color="auto" w:sz="2" w:space="0"/>
                    <w:bottom w:val="single" w:color="auto" w:sz="2" w:space="0"/>
                    <w:right w:val="single" w:color="auto" w:sz="4" w:space="0"/>
                  </w:tcBorders>
                  <w:shd w:val="clear" w:color="auto" w:fill="auto"/>
                  <w:vAlign w:val="center"/>
                </w:tcPr>
                <w:p w14:paraId="108533E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29EF2CB7">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00" w:hRule="atLeast"/>
                <w:jc w:val="center"/>
              </w:trPr>
              <w:tc>
                <w:tcPr>
                  <w:tcW w:w="380" w:type="pct"/>
                  <w:vMerge w:val="restart"/>
                  <w:tcBorders>
                    <w:top w:val="single" w:color="auto" w:sz="2" w:space="0"/>
                    <w:left w:val="single" w:color="auto" w:sz="4" w:space="0"/>
                    <w:right w:val="single" w:color="auto" w:sz="4" w:space="0"/>
                  </w:tcBorders>
                  <w:shd w:val="clear" w:color="auto" w:fill="auto"/>
                  <w:vAlign w:val="center"/>
                </w:tcPr>
                <w:p w14:paraId="7F680F4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公用工程</w:t>
                  </w:r>
                </w:p>
              </w:tc>
              <w:tc>
                <w:tcPr>
                  <w:tcW w:w="557" w:type="pct"/>
                  <w:tcBorders>
                    <w:top w:val="single" w:color="auto" w:sz="2" w:space="0"/>
                    <w:bottom w:val="single" w:color="auto" w:sz="2" w:space="0"/>
                  </w:tcBorders>
                  <w:shd w:val="clear" w:color="auto" w:fill="auto"/>
                  <w:vAlign w:val="center"/>
                </w:tcPr>
                <w:p w14:paraId="468277C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供水系统</w:t>
                  </w:r>
                </w:p>
              </w:tc>
              <w:tc>
                <w:tcPr>
                  <w:tcW w:w="1389" w:type="pct"/>
                  <w:tcBorders>
                    <w:top w:val="single" w:color="auto" w:sz="2" w:space="0"/>
                    <w:bottom w:val="single" w:color="auto" w:sz="2" w:space="0"/>
                    <w:right w:val="single" w:color="auto" w:sz="4" w:space="0"/>
                  </w:tcBorders>
                  <w:shd w:val="clear" w:color="auto" w:fill="auto"/>
                  <w:vAlign w:val="center"/>
                </w:tcPr>
                <w:p w14:paraId="219083D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现有</w:t>
                  </w:r>
                  <w:r>
                    <w:rPr>
                      <w:rFonts w:hint="default" w:cs="宋体"/>
                      <w:color w:val="auto"/>
                      <w:kern w:val="0"/>
                      <w:sz w:val="18"/>
                      <w:szCs w:val="18"/>
                      <w:lang w:val="en-US" w:eastAsia="zh-CN" w:bidi="ar"/>
                    </w:rPr>
                    <w:t>项目</w:t>
                  </w:r>
                  <w:r>
                    <w:rPr>
                      <w:rFonts w:hint="eastAsia" w:cs="宋体"/>
                      <w:color w:val="auto"/>
                      <w:kern w:val="0"/>
                      <w:sz w:val="18"/>
                      <w:szCs w:val="18"/>
                      <w:lang w:val="en-US" w:eastAsia="zh-CN" w:bidi="ar"/>
                    </w:rPr>
                    <w:t>供水由</w:t>
                  </w:r>
                  <w:r>
                    <w:rPr>
                      <w:rFonts w:hint="default" w:cs="宋体"/>
                      <w:color w:val="auto"/>
                      <w:kern w:val="0"/>
                      <w:sz w:val="18"/>
                      <w:szCs w:val="18"/>
                      <w:lang w:val="en-US" w:eastAsia="zh-CN" w:bidi="ar"/>
                    </w:rPr>
                    <w:t>市政供水管网</w:t>
                  </w:r>
                  <w:r>
                    <w:rPr>
                      <w:rFonts w:hint="eastAsia" w:cs="宋体"/>
                      <w:color w:val="auto"/>
                      <w:kern w:val="0"/>
                      <w:sz w:val="18"/>
                      <w:szCs w:val="18"/>
                      <w:lang w:val="en-US" w:eastAsia="zh-CN" w:bidi="ar"/>
                    </w:rPr>
                    <w:t>提供，现有新鲜水用水量1568.86</w:t>
                  </w:r>
                  <w:r>
                    <w:rPr>
                      <w:color w:val="auto"/>
                      <w:kern w:val="0"/>
                      <w:sz w:val="18"/>
                      <w:szCs w:val="18"/>
                      <w:lang w:bidi="ar"/>
                    </w:rPr>
                    <w:t>m</w:t>
                  </w:r>
                  <w:r>
                    <w:rPr>
                      <w:color w:val="auto"/>
                      <w:kern w:val="0"/>
                      <w:sz w:val="18"/>
                      <w:szCs w:val="18"/>
                      <w:vertAlign w:val="superscript"/>
                      <w:lang w:bidi="ar"/>
                    </w:rPr>
                    <w:t>3</w:t>
                  </w:r>
                  <w:r>
                    <w:rPr>
                      <w:color w:val="auto"/>
                      <w:kern w:val="0"/>
                      <w:sz w:val="18"/>
                      <w:szCs w:val="18"/>
                      <w:lang w:bidi="ar"/>
                    </w:rPr>
                    <w:t>/d</w:t>
                  </w:r>
                </w:p>
              </w:tc>
              <w:tc>
                <w:tcPr>
                  <w:tcW w:w="1056" w:type="pct"/>
                  <w:tcBorders>
                    <w:top w:val="single" w:color="auto" w:sz="2" w:space="0"/>
                    <w:bottom w:val="single" w:color="auto" w:sz="2" w:space="0"/>
                    <w:right w:val="single" w:color="auto" w:sz="4" w:space="0"/>
                  </w:tcBorders>
                  <w:shd w:val="clear" w:color="auto" w:fill="auto"/>
                  <w:vAlign w:val="center"/>
                </w:tcPr>
                <w:p w14:paraId="2A450B7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本</w:t>
                  </w:r>
                  <w:r>
                    <w:rPr>
                      <w:rFonts w:hint="default" w:cs="宋体"/>
                      <w:color w:val="auto"/>
                      <w:kern w:val="0"/>
                      <w:sz w:val="18"/>
                      <w:szCs w:val="18"/>
                      <w:lang w:val="en-US" w:eastAsia="zh-CN" w:bidi="ar"/>
                    </w:rPr>
                    <w:t>项目</w:t>
                  </w:r>
                  <w:r>
                    <w:rPr>
                      <w:rFonts w:hint="eastAsia" w:cs="宋体"/>
                      <w:color w:val="auto"/>
                      <w:kern w:val="0"/>
                      <w:sz w:val="18"/>
                      <w:szCs w:val="18"/>
                      <w:lang w:val="en-US" w:eastAsia="zh-CN" w:bidi="ar"/>
                    </w:rPr>
                    <w:t>供水由</w:t>
                  </w:r>
                  <w:r>
                    <w:rPr>
                      <w:rFonts w:hint="default" w:cs="宋体"/>
                      <w:color w:val="auto"/>
                      <w:kern w:val="0"/>
                      <w:sz w:val="18"/>
                      <w:szCs w:val="18"/>
                      <w:lang w:val="en-US" w:eastAsia="zh-CN" w:bidi="ar"/>
                    </w:rPr>
                    <w:t>市政供水管网</w:t>
                  </w:r>
                  <w:r>
                    <w:rPr>
                      <w:rFonts w:hint="eastAsia" w:cs="宋体"/>
                      <w:color w:val="auto"/>
                      <w:kern w:val="0"/>
                      <w:sz w:val="18"/>
                      <w:szCs w:val="18"/>
                      <w:lang w:val="en-US" w:eastAsia="zh-CN" w:bidi="ar"/>
                    </w:rPr>
                    <w:t>提供，本项目新鲜水使用量3.1m</w:t>
                  </w:r>
                  <w:r>
                    <w:rPr>
                      <w:rFonts w:hint="eastAsia" w:cs="宋体"/>
                      <w:color w:val="auto"/>
                      <w:kern w:val="0"/>
                      <w:sz w:val="18"/>
                      <w:szCs w:val="18"/>
                      <w:vertAlign w:val="superscript"/>
                      <w:lang w:val="en-US" w:eastAsia="zh-CN" w:bidi="ar"/>
                    </w:rPr>
                    <w:t>3</w:t>
                  </w:r>
                  <w:r>
                    <w:rPr>
                      <w:rFonts w:hint="eastAsia" w:cs="宋体"/>
                      <w:color w:val="auto"/>
                      <w:kern w:val="0"/>
                      <w:sz w:val="18"/>
                      <w:szCs w:val="18"/>
                      <w:lang w:val="en-US" w:eastAsia="zh-CN" w:bidi="ar"/>
                    </w:rPr>
                    <w:t>/d</w:t>
                  </w:r>
                </w:p>
              </w:tc>
              <w:tc>
                <w:tcPr>
                  <w:tcW w:w="1257" w:type="pct"/>
                  <w:tcBorders>
                    <w:top w:val="single" w:color="auto" w:sz="2" w:space="0"/>
                    <w:bottom w:val="single" w:color="auto" w:sz="2" w:space="0"/>
                    <w:right w:val="single" w:color="auto" w:sz="4" w:space="0"/>
                  </w:tcBorders>
                  <w:shd w:val="clear" w:color="auto" w:fill="auto"/>
                  <w:vAlign w:val="center"/>
                </w:tcPr>
                <w:p w14:paraId="398C5A92">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供水由</w:t>
                  </w:r>
                  <w:r>
                    <w:rPr>
                      <w:rFonts w:hint="default" w:cs="宋体"/>
                      <w:color w:val="auto"/>
                      <w:kern w:val="0"/>
                      <w:sz w:val="18"/>
                      <w:szCs w:val="18"/>
                      <w:lang w:val="en-US" w:eastAsia="zh-CN" w:bidi="ar"/>
                    </w:rPr>
                    <w:t>市政供水管网</w:t>
                  </w:r>
                  <w:r>
                    <w:rPr>
                      <w:rFonts w:hint="eastAsia" w:cs="宋体"/>
                      <w:color w:val="auto"/>
                      <w:kern w:val="0"/>
                      <w:sz w:val="18"/>
                      <w:szCs w:val="18"/>
                      <w:lang w:val="en-US" w:eastAsia="zh-CN" w:bidi="ar"/>
                    </w:rPr>
                    <w:t>提供，全厂新鲜水使用量1571.96m</w:t>
                  </w:r>
                  <w:r>
                    <w:rPr>
                      <w:rFonts w:hint="eastAsia" w:cs="宋体"/>
                      <w:color w:val="auto"/>
                      <w:kern w:val="0"/>
                      <w:sz w:val="18"/>
                      <w:szCs w:val="18"/>
                      <w:vertAlign w:val="superscript"/>
                      <w:lang w:val="en-US" w:eastAsia="zh-CN" w:bidi="ar"/>
                    </w:rPr>
                    <w:t>3</w:t>
                  </w:r>
                  <w:r>
                    <w:rPr>
                      <w:rFonts w:hint="eastAsia" w:cs="宋体"/>
                      <w:color w:val="auto"/>
                      <w:kern w:val="0"/>
                      <w:sz w:val="18"/>
                      <w:szCs w:val="18"/>
                      <w:lang w:val="en-US" w:eastAsia="zh-CN" w:bidi="ar"/>
                    </w:rPr>
                    <w:t>/d</w:t>
                  </w:r>
                </w:p>
              </w:tc>
              <w:tc>
                <w:tcPr>
                  <w:tcW w:w="357" w:type="pct"/>
                  <w:tcBorders>
                    <w:top w:val="single" w:color="auto" w:sz="2" w:space="0"/>
                    <w:bottom w:val="single" w:color="auto" w:sz="2" w:space="0"/>
                    <w:right w:val="single" w:color="auto" w:sz="4" w:space="0"/>
                  </w:tcBorders>
                  <w:shd w:val="clear" w:color="auto" w:fill="auto"/>
                  <w:vAlign w:val="center"/>
                </w:tcPr>
                <w:p w14:paraId="599FA23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1EB59185">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00" w:hRule="atLeast"/>
                <w:jc w:val="center"/>
              </w:trPr>
              <w:tc>
                <w:tcPr>
                  <w:tcW w:w="380" w:type="pct"/>
                  <w:vMerge w:val="continue"/>
                  <w:tcBorders>
                    <w:left w:val="single" w:color="auto" w:sz="4" w:space="0"/>
                    <w:right w:val="single" w:color="auto" w:sz="4" w:space="0"/>
                  </w:tcBorders>
                  <w:shd w:val="clear" w:color="auto" w:fill="auto"/>
                  <w:vAlign w:val="center"/>
                </w:tcPr>
                <w:p w14:paraId="6941779F">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bottom w:val="single" w:color="auto" w:sz="2" w:space="0"/>
                  </w:tcBorders>
                  <w:shd w:val="clear" w:color="auto" w:fill="auto"/>
                  <w:vAlign w:val="center"/>
                </w:tcPr>
                <w:p w14:paraId="45C61F4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排水系统</w:t>
                  </w:r>
                </w:p>
              </w:tc>
              <w:tc>
                <w:tcPr>
                  <w:tcW w:w="1389" w:type="pct"/>
                  <w:tcBorders>
                    <w:top w:val="single" w:color="auto" w:sz="2" w:space="0"/>
                    <w:bottom w:val="single" w:color="auto" w:sz="2" w:space="0"/>
                    <w:right w:val="single" w:color="auto" w:sz="4" w:space="0"/>
                  </w:tcBorders>
                  <w:shd w:val="clear" w:color="auto" w:fill="auto"/>
                  <w:vAlign w:val="center"/>
                </w:tcPr>
                <w:p w14:paraId="7747B14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现有厂区采取雨污分流，雨水排入雨水管网，污水经市政管网排入江南产业集中区第一污水处理厂</w:t>
                  </w:r>
                </w:p>
              </w:tc>
              <w:tc>
                <w:tcPr>
                  <w:tcW w:w="1056" w:type="pct"/>
                  <w:tcBorders>
                    <w:top w:val="single" w:color="auto" w:sz="2" w:space="0"/>
                    <w:bottom w:val="single" w:color="auto" w:sz="2" w:space="0"/>
                    <w:right w:val="single" w:color="auto" w:sz="4" w:space="0"/>
                  </w:tcBorders>
                  <w:shd w:val="clear" w:color="auto" w:fill="auto"/>
                  <w:vAlign w:val="center"/>
                </w:tcPr>
                <w:p w14:paraId="375A171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本</w:t>
                  </w:r>
                  <w:r>
                    <w:rPr>
                      <w:rFonts w:hint="default" w:cs="宋体"/>
                      <w:color w:val="auto"/>
                      <w:kern w:val="0"/>
                      <w:sz w:val="18"/>
                      <w:szCs w:val="18"/>
                      <w:lang w:val="en-US" w:eastAsia="zh-CN" w:bidi="ar"/>
                    </w:rPr>
                    <w:t>项目</w:t>
                  </w:r>
                  <w:r>
                    <w:rPr>
                      <w:rFonts w:hint="eastAsia" w:cs="宋体"/>
                      <w:color w:val="auto"/>
                      <w:kern w:val="0"/>
                      <w:sz w:val="18"/>
                      <w:szCs w:val="18"/>
                      <w:lang w:val="en-US" w:eastAsia="zh-CN" w:bidi="ar"/>
                    </w:rPr>
                    <w:t>雨水排入雨水管网，污水经市政管网排入江南产业集中区第一污水处理厂，本项目废水排放量共2.173t/d</w:t>
                  </w:r>
                </w:p>
              </w:tc>
              <w:tc>
                <w:tcPr>
                  <w:tcW w:w="1257" w:type="pct"/>
                  <w:tcBorders>
                    <w:top w:val="single" w:color="auto" w:sz="2" w:space="0"/>
                    <w:bottom w:val="single" w:color="auto" w:sz="2" w:space="0"/>
                    <w:right w:val="single" w:color="auto" w:sz="4" w:space="0"/>
                  </w:tcBorders>
                  <w:shd w:val="clear" w:color="auto" w:fill="auto"/>
                  <w:vAlign w:val="center"/>
                </w:tcPr>
                <w:p w14:paraId="7BECED7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厂区采取雨污分流，雨水排入雨水管网，污水经市政管网排入江南产业集中区第一污水处理厂</w:t>
                  </w:r>
                </w:p>
              </w:tc>
              <w:tc>
                <w:tcPr>
                  <w:tcW w:w="357" w:type="pct"/>
                  <w:tcBorders>
                    <w:top w:val="single" w:color="auto" w:sz="2" w:space="0"/>
                    <w:bottom w:val="single" w:color="auto" w:sz="2" w:space="0"/>
                    <w:right w:val="single" w:color="auto" w:sz="4" w:space="0"/>
                  </w:tcBorders>
                  <w:shd w:val="clear" w:color="auto" w:fill="auto"/>
                  <w:vAlign w:val="center"/>
                </w:tcPr>
                <w:p w14:paraId="10BA95B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6852CBFF">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30" w:hRule="atLeast"/>
                <w:jc w:val="center"/>
              </w:trPr>
              <w:tc>
                <w:tcPr>
                  <w:tcW w:w="380" w:type="pct"/>
                  <w:vMerge w:val="continue"/>
                  <w:tcBorders>
                    <w:left w:val="single" w:color="auto" w:sz="4" w:space="0"/>
                    <w:right w:val="single" w:color="auto" w:sz="4" w:space="0"/>
                  </w:tcBorders>
                  <w:shd w:val="clear" w:color="auto" w:fill="auto"/>
                  <w:vAlign w:val="center"/>
                </w:tcPr>
                <w:p w14:paraId="39A5774A">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bottom w:val="single" w:color="auto" w:sz="2" w:space="0"/>
                  </w:tcBorders>
                  <w:shd w:val="clear" w:color="auto" w:fill="auto"/>
                  <w:vAlign w:val="center"/>
                </w:tcPr>
                <w:p w14:paraId="7103704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供电系统</w:t>
                  </w:r>
                </w:p>
              </w:tc>
              <w:tc>
                <w:tcPr>
                  <w:tcW w:w="1389" w:type="pct"/>
                  <w:tcBorders>
                    <w:top w:val="single" w:color="auto" w:sz="2" w:space="0"/>
                    <w:bottom w:val="single" w:color="auto" w:sz="2" w:space="0"/>
                    <w:right w:val="single" w:color="auto" w:sz="4" w:space="0"/>
                  </w:tcBorders>
                  <w:shd w:val="clear" w:color="auto" w:fill="auto"/>
                  <w:vAlign w:val="center"/>
                </w:tcPr>
                <w:p w14:paraId="32A8E3F8">
                  <w:pPr>
                    <w:widowControl/>
                    <w:spacing w:line="240" w:lineRule="auto"/>
                    <w:jc w:val="center"/>
                    <w:textAlignment w:val="center"/>
                    <w:rPr>
                      <w:rFonts w:hint="eastAsia" w:cs="宋体"/>
                      <w:color w:val="auto"/>
                      <w:kern w:val="0"/>
                      <w:sz w:val="18"/>
                      <w:szCs w:val="18"/>
                      <w:lang w:val="en-US" w:eastAsia="zh-CN" w:bidi="ar"/>
                    </w:rPr>
                  </w:pPr>
                  <w:bookmarkStart w:id="21" w:name="OLE_LINK26"/>
                  <w:r>
                    <w:rPr>
                      <w:rFonts w:hint="eastAsia" w:cs="宋体"/>
                      <w:color w:val="auto"/>
                      <w:kern w:val="0"/>
                      <w:sz w:val="18"/>
                      <w:szCs w:val="18"/>
                      <w:lang w:val="en-US" w:eastAsia="zh-CN" w:bidi="ar"/>
                    </w:rPr>
                    <w:t>现有</w:t>
                  </w:r>
                  <w:r>
                    <w:rPr>
                      <w:rFonts w:hint="default" w:cs="宋体"/>
                      <w:color w:val="auto"/>
                      <w:kern w:val="0"/>
                      <w:sz w:val="18"/>
                      <w:szCs w:val="18"/>
                      <w:lang w:val="en-US" w:eastAsia="zh-CN" w:bidi="ar"/>
                    </w:rPr>
                    <w:t>项目用电由江南集中区供电设施供电</w:t>
                  </w:r>
                  <w:bookmarkEnd w:id="21"/>
                </w:p>
              </w:tc>
              <w:tc>
                <w:tcPr>
                  <w:tcW w:w="1056" w:type="pct"/>
                  <w:tcBorders>
                    <w:top w:val="single" w:color="auto" w:sz="2" w:space="0"/>
                    <w:bottom w:val="single" w:color="auto" w:sz="2" w:space="0"/>
                    <w:right w:val="single" w:color="auto" w:sz="4" w:space="0"/>
                  </w:tcBorders>
                  <w:shd w:val="clear" w:color="auto" w:fill="auto"/>
                  <w:vAlign w:val="center"/>
                </w:tcPr>
                <w:p w14:paraId="6954E59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本</w:t>
                  </w:r>
                  <w:r>
                    <w:rPr>
                      <w:rFonts w:hint="default" w:cs="宋体"/>
                      <w:color w:val="auto"/>
                      <w:kern w:val="0"/>
                      <w:sz w:val="18"/>
                      <w:szCs w:val="18"/>
                      <w:lang w:val="en-US" w:eastAsia="zh-CN" w:bidi="ar"/>
                    </w:rPr>
                    <w:t>项目用电由江南集中区供电设施供电</w:t>
                  </w:r>
                  <w:r>
                    <w:rPr>
                      <w:rFonts w:hint="eastAsia" w:cs="宋体"/>
                      <w:color w:val="auto"/>
                      <w:kern w:val="0"/>
                      <w:sz w:val="18"/>
                      <w:szCs w:val="18"/>
                      <w:lang w:val="en-US" w:eastAsia="zh-CN" w:bidi="ar"/>
                    </w:rPr>
                    <w:t>，本项目年用电量30万kWh</w:t>
                  </w:r>
                </w:p>
              </w:tc>
              <w:tc>
                <w:tcPr>
                  <w:tcW w:w="1257" w:type="pct"/>
                  <w:tcBorders>
                    <w:top w:val="single" w:color="auto" w:sz="2" w:space="0"/>
                    <w:bottom w:val="single" w:color="auto" w:sz="2" w:space="0"/>
                    <w:right w:val="single" w:color="auto" w:sz="4" w:space="0"/>
                  </w:tcBorders>
                  <w:shd w:val="clear" w:color="auto" w:fill="auto"/>
                  <w:vAlign w:val="center"/>
                </w:tcPr>
                <w:p w14:paraId="1618D7FA">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cs="宋体"/>
                      <w:color w:val="auto"/>
                      <w:kern w:val="0"/>
                      <w:sz w:val="18"/>
                      <w:szCs w:val="18"/>
                      <w:lang w:val="en-US" w:eastAsia="zh-CN" w:bidi="ar"/>
                    </w:rPr>
                    <w:t>项目用电由江南集中区供电设施供电</w:t>
                  </w:r>
                </w:p>
              </w:tc>
              <w:tc>
                <w:tcPr>
                  <w:tcW w:w="357" w:type="pct"/>
                  <w:tcBorders>
                    <w:top w:val="single" w:color="auto" w:sz="2" w:space="0"/>
                    <w:bottom w:val="single" w:color="auto" w:sz="2" w:space="0"/>
                    <w:right w:val="single" w:color="auto" w:sz="4" w:space="0"/>
                  </w:tcBorders>
                  <w:shd w:val="clear" w:color="auto" w:fill="auto"/>
                  <w:vAlign w:val="center"/>
                </w:tcPr>
                <w:p w14:paraId="42784BA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6DB7B05B">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30" w:hRule="atLeast"/>
                <w:jc w:val="center"/>
              </w:trPr>
              <w:tc>
                <w:tcPr>
                  <w:tcW w:w="380" w:type="pct"/>
                  <w:vMerge w:val="continue"/>
                  <w:tcBorders>
                    <w:left w:val="single" w:color="auto" w:sz="4" w:space="0"/>
                    <w:bottom w:val="single" w:color="auto" w:sz="2" w:space="0"/>
                    <w:right w:val="single" w:color="auto" w:sz="4" w:space="0"/>
                  </w:tcBorders>
                  <w:shd w:val="clear" w:color="auto" w:fill="auto"/>
                  <w:vAlign w:val="center"/>
                </w:tcPr>
                <w:p w14:paraId="2966F092">
                  <w:pPr>
                    <w:widowControl/>
                    <w:spacing w:line="240" w:lineRule="auto"/>
                    <w:jc w:val="center"/>
                    <w:textAlignment w:val="center"/>
                    <w:rPr>
                      <w:rFonts w:hint="eastAsia" w:cs="宋体"/>
                      <w:color w:val="auto"/>
                      <w:kern w:val="0"/>
                      <w:sz w:val="18"/>
                      <w:szCs w:val="18"/>
                      <w:lang w:val="en-US" w:eastAsia="zh-CN" w:bidi="ar"/>
                    </w:rPr>
                  </w:pPr>
                  <w:bookmarkStart w:id="22" w:name="OLE_LINK34" w:colFirst="1" w:colLast="2"/>
                </w:p>
              </w:tc>
              <w:tc>
                <w:tcPr>
                  <w:tcW w:w="557" w:type="pct"/>
                  <w:tcBorders>
                    <w:top w:val="single" w:color="auto" w:sz="2" w:space="0"/>
                    <w:bottom w:val="single" w:color="auto" w:sz="2" w:space="0"/>
                  </w:tcBorders>
                  <w:shd w:val="clear" w:color="auto" w:fill="auto"/>
                  <w:vAlign w:val="center"/>
                </w:tcPr>
                <w:p w14:paraId="77BD3E5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供气系统</w:t>
                  </w:r>
                </w:p>
              </w:tc>
              <w:tc>
                <w:tcPr>
                  <w:tcW w:w="1389" w:type="pct"/>
                  <w:tcBorders>
                    <w:top w:val="single" w:color="auto" w:sz="2" w:space="0"/>
                    <w:bottom w:val="single" w:color="auto" w:sz="2" w:space="0"/>
                    <w:right w:val="single" w:color="auto" w:sz="4" w:space="0"/>
                  </w:tcBorders>
                  <w:shd w:val="clear" w:color="auto" w:fill="auto"/>
                  <w:vAlign w:val="center"/>
                </w:tcPr>
                <w:p w14:paraId="5AFBE3D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现有</w:t>
                  </w:r>
                  <w:r>
                    <w:rPr>
                      <w:rFonts w:hint="default" w:cs="宋体"/>
                      <w:color w:val="auto"/>
                      <w:kern w:val="0"/>
                      <w:sz w:val="18"/>
                      <w:szCs w:val="18"/>
                      <w:lang w:val="en-US" w:eastAsia="zh-CN" w:bidi="ar"/>
                    </w:rPr>
                    <w:t>项目用</w:t>
                  </w:r>
                  <w:r>
                    <w:rPr>
                      <w:rFonts w:hint="eastAsia" w:cs="宋体"/>
                      <w:color w:val="auto"/>
                      <w:kern w:val="0"/>
                      <w:sz w:val="18"/>
                      <w:szCs w:val="18"/>
                      <w:lang w:val="en-US" w:eastAsia="zh-CN" w:bidi="ar"/>
                    </w:rPr>
                    <w:t>天然气</w:t>
                  </w:r>
                  <w:r>
                    <w:rPr>
                      <w:rFonts w:hint="default" w:cs="宋体"/>
                      <w:color w:val="auto"/>
                      <w:kern w:val="0"/>
                      <w:sz w:val="18"/>
                      <w:szCs w:val="18"/>
                      <w:lang w:val="en-US" w:eastAsia="zh-CN" w:bidi="ar"/>
                    </w:rPr>
                    <w:t>由江南集中区</w:t>
                  </w:r>
                  <w:r>
                    <w:rPr>
                      <w:rFonts w:hint="eastAsia" w:cs="宋体"/>
                      <w:color w:val="auto"/>
                      <w:kern w:val="0"/>
                      <w:sz w:val="18"/>
                      <w:szCs w:val="18"/>
                      <w:lang w:val="en-US" w:eastAsia="zh-CN" w:bidi="ar"/>
                    </w:rPr>
                    <w:t>燃气管网提供</w:t>
                  </w:r>
                </w:p>
              </w:tc>
              <w:tc>
                <w:tcPr>
                  <w:tcW w:w="1056" w:type="pct"/>
                  <w:tcBorders>
                    <w:top w:val="single" w:color="auto" w:sz="2" w:space="0"/>
                    <w:bottom w:val="single" w:color="auto" w:sz="2" w:space="0"/>
                    <w:right w:val="single" w:color="auto" w:sz="4" w:space="0"/>
                  </w:tcBorders>
                  <w:shd w:val="clear" w:color="auto" w:fill="auto"/>
                  <w:vAlign w:val="center"/>
                </w:tcPr>
                <w:p w14:paraId="43FE850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本</w:t>
                  </w:r>
                  <w:r>
                    <w:rPr>
                      <w:rFonts w:hint="default" w:cs="宋体"/>
                      <w:color w:val="auto"/>
                      <w:kern w:val="0"/>
                      <w:sz w:val="18"/>
                      <w:szCs w:val="18"/>
                      <w:lang w:val="en-US" w:eastAsia="zh-CN" w:bidi="ar"/>
                    </w:rPr>
                    <w:t>项目用</w:t>
                  </w:r>
                  <w:r>
                    <w:rPr>
                      <w:rFonts w:hint="eastAsia" w:cs="宋体"/>
                      <w:color w:val="auto"/>
                      <w:kern w:val="0"/>
                      <w:sz w:val="18"/>
                      <w:szCs w:val="18"/>
                      <w:lang w:val="en-US" w:eastAsia="zh-CN" w:bidi="ar"/>
                    </w:rPr>
                    <w:t>天然气</w:t>
                  </w:r>
                  <w:r>
                    <w:rPr>
                      <w:rFonts w:hint="default" w:cs="宋体"/>
                      <w:color w:val="auto"/>
                      <w:kern w:val="0"/>
                      <w:sz w:val="18"/>
                      <w:szCs w:val="18"/>
                      <w:lang w:val="en-US" w:eastAsia="zh-CN" w:bidi="ar"/>
                    </w:rPr>
                    <w:t>由江南集中区</w:t>
                  </w:r>
                  <w:r>
                    <w:rPr>
                      <w:rFonts w:hint="eastAsia" w:cs="宋体"/>
                      <w:color w:val="auto"/>
                      <w:kern w:val="0"/>
                      <w:sz w:val="18"/>
                      <w:szCs w:val="18"/>
                      <w:lang w:val="en-US" w:eastAsia="zh-CN" w:bidi="ar"/>
                    </w:rPr>
                    <w:t>燃气管网提供，本项目新增天然气用量39万m</w:t>
                  </w:r>
                  <w:r>
                    <w:rPr>
                      <w:rFonts w:hint="eastAsia" w:cs="宋体"/>
                      <w:color w:val="auto"/>
                      <w:kern w:val="0"/>
                      <w:sz w:val="18"/>
                      <w:szCs w:val="18"/>
                      <w:vertAlign w:val="superscript"/>
                      <w:lang w:val="en-US" w:eastAsia="zh-CN" w:bidi="ar"/>
                    </w:rPr>
                    <w:t>3</w:t>
                  </w:r>
                  <w:r>
                    <w:rPr>
                      <w:rFonts w:hint="eastAsia" w:cs="宋体"/>
                      <w:color w:val="auto"/>
                      <w:kern w:val="0"/>
                      <w:sz w:val="18"/>
                      <w:szCs w:val="18"/>
                      <w:lang w:val="en-US" w:eastAsia="zh-CN" w:bidi="ar"/>
                    </w:rPr>
                    <w:t>/a</w:t>
                  </w:r>
                </w:p>
              </w:tc>
              <w:tc>
                <w:tcPr>
                  <w:tcW w:w="1257" w:type="pct"/>
                  <w:tcBorders>
                    <w:top w:val="single" w:color="auto" w:sz="2" w:space="0"/>
                    <w:bottom w:val="single" w:color="auto" w:sz="2" w:space="0"/>
                    <w:right w:val="single" w:color="auto" w:sz="4" w:space="0"/>
                  </w:tcBorders>
                  <w:shd w:val="clear" w:color="auto" w:fill="auto"/>
                  <w:vAlign w:val="center"/>
                </w:tcPr>
                <w:p w14:paraId="74369929">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项目用</w:t>
                  </w:r>
                  <w:r>
                    <w:rPr>
                      <w:rFonts w:hint="eastAsia" w:cs="宋体"/>
                      <w:color w:val="auto"/>
                      <w:kern w:val="0"/>
                      <w:sz w:val="18"/>
                      <w:szCs w:val="18"/>
                      <w:lang w:val="en-US" w:eastAsia="zh-CN" w:bidi="ar"/>
                    </w:rPr>
                    <w:t>天然气</w:t>
                  </w:r>
                  <w:r>
                    <w:rPr>
                      <w:rFonts w:hint="default" w:cs="宋体"/>
                      <w:color w:val="auto"/>
                      <w:kern w:val="0"/>
                      <w:sz w:val="18"/>
                      <w:szCs w:val="18"/>
                      <w:lang w:val="en-US" w:eastAsia="zh-CN" w:bidi="ar"/>
                    </w:rPr>
                    <w:t>由江南集中区</w:t>
                  </w:r>
                  <w:r>
                    <w:rPr>
                      <w:rFonts w:hint="eastAsia" w:cs="宋体"/>
                      <w:color w:val="auto"/>
                      <w:kern w:val="0"/>
                      <w:sz w:val="18"/>
                      <w:szCs w:val="18"/>
                      <w:lang w:val="en-US" w:eastAsia="zh-CN" w:bidi="ar"/>
                    </w:rPr>
                    <w:t>燃气管网提供</w:t>
                  </w:r>
                </w:p>
              </w:tc>
              <w:tc>
                <w:tcPr>
                  <w:tcW w:w="357" w:type="pct"/>
                  <w:tcBorders>
                    <w:top w:val="single" w:color="auto" w:sz="2" w:space="0"/>
                    <w:bottom w:val="single" w:color="auto" w:sz="2" w:space="0"/>
                    <w:right w:val="single" w:color="auto" w:sz="4" w:space="0"/>
                  </w:tcBorders>
                  <w:shd w:val="clear" w:color="auto" w:fill="auto"/>
                  <w:vAlign w:val="center"/>
                </w:tcPr>
                <w:p w14:paraId="5325600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7ED3DC8D">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restart"/>
                  <w:tcBorders>
                    <w:top w:val="single" w:color="auto" w:sz="2" w:space="0"/>
                    <w:left w:val="single" w:color="auto" w:sz="4" w:space="0"/>
                    <w:bottom w:val="single" w:color="auto" w:sz="2" w:space="0"/>
                    <w:right w:val="single" w:color="auto" w:sz="4" w:space="0"/>
                  </w:tcBorders>
                  <w:shd w:val="clear" w:color="auto" w:fill="auto"/>
                  <w:vAlign w:val="center"/>
                </w:tcPr>
                <w:p w14:paraId="2786DBB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储运工程</w:t>
                  </w:r>
                </w:p>
              </w:tc>
              <w:tc>
                <w:tcPr>
                  <w:tcW w:w="557" w:type="pct"/>
                  <w:tcBorders>
                    <w:top w:val="single" w:color="auto" w:sz="2" w:space="0"/>
                    <w:bottom w:val="single" w:color="auto" w:sz="2" w:space="0"/>
                  </w:tcBorders>
                  <w:shd w:val="clear" w:color="auto" w:fill="auto"/>
                  <w:vAlign w:val="center"/>
                </w:tcPr>
                <w:p w14:paraId="27851624">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bookmarkStart w:id="23" w:name="OLE_LINK6"/>
                  <w:r>
                    <w:rPr>
                      <w:rFonts w:hint="eastAsia" w:ascii="Times New Roman" w:hAnsi="Times New Roman" w:eastAsia="宋体" w:cs="宋体"/>
                      <w:color w:val="auto"/>
                      <w:kern w:val="0"/>
                      <w:sz w:val="18"/>
                      <w:szCs w:val="18"/>
                      <w:lang w:val="en-US" w:eastAsia="zh-CN" w:bidi="ar"/>
                    </w:rPr>
                    <w:t>原料仓库</w:t>
                  </w:r>
                  <w:bookmarkEnd w:id="23"/>
                </w:p>
              </w:tc>
              <w:tc>
                <w:tcPr>
                  <w:tcW w:w="1389" w:type="pct"/>
                  <w:tcBorders>
                    <w:top w:val="single" w:color="auto" w:sz="2" w:space="0"/>
                    <w:bottom w:val="single" w:color="auto" w:sz="2" w:space="0"/>
                    <w:right w:val="single" w:color="auto" w:sz="4" w:space="0"/>
                  </w:tcBorders>
                  <w:shd w:val="clear" w:color="auto" w:fill="auto"/>
                  <w:vAlign w:val="center"/>
                </w:tcPr>
                <w:p w14:paraId="32FCD154">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位于8#厂房北侧，占地面积500m</w:t>
                  </w:r>
                  <w:r>
                    <w:rPr>
                      <w:rFonts w:hint="default" w:ascii="Times New Roman" w:hAnsi="Times New Roman" w:eastAsia="宋体" w:cs="宋体"/>
                      <w:color w:val="auto"/>
                      <w:kern w:val="0"/>
                      <w:sz w:val="18"/>
                      <w:szCs w:val="18"/>
                      <w:vertAlign w:val="superscript"/>
                      <w:lang w:val="en-US" w:eastAsia="zh-CN" w:bidi="ar"/>
                    </w:rPr>
                    <w:t>2</w:t>
                  </w:r>
                  <w:r>
                    <w:rPr>
                      <w:rFonts w:hint="default" w:ascii="Times New Roman" w:hAnsi="Times New Roman" w:eastAsia="宋体" w:cs="宋体"/>
                      <w:color w:val="auto"/>
                      <w:kern w:val="0"/>
                      <w:sz w:val="18"/>
                      <w:szCs w:val="18"/>
                      <w:lang w:val="en-US" w:eastAsia="zh-CN" w:bidi="ar"/>
                    </w:rPr>
                    <w:t>，用于存储原辅材料。</w:t>
                  </w:r>
                </w:p>
              </w:tc>
              <w:tc>
                <w:tcPr>
                  <w:tcW w:w="1056" w:type="pct"/>
                  <w:tcBorders>
                    <w:top w:val="single" w:color="auto" w:sz="2" w:space="0"/>
                    <w:bottom w:val="single" w:color="auto" w:sz="2" w:space="0"/>
                    <w:right w:val="single" w:color="auto" w:sz="4" w:space="0"/>
                  </w:tcBorders>
                  <w:shd w:val="clear" w:color="auto" w:fill="auto"/>
                  <w:vAlign w:val="center"/>
                </w:tcPr>
                <w:p w14:paraId="63A3D41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57" w:type="pct"/>
                  <w:tcBorders>
                    <w:top w:val="single" w:color="auto" w:sz="2" w:space="0"/>
                    <w:bottom w:val="single" w:color="auto" w:sz="2" w:space="0"/>
                    <w:right w:val="single" w:color="auto" w:sz="4" w:space="0"/>
                  </w:tcBorders>
                  <w:shd w:val="clear" w:color="auto" w:fill="auto"/>
                  <w:vAlign w:val="center"/>
                </w:tcPr>
                <w:p w14:paraId="12273D8C">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位于8#厂房北侧，占地面积500m</w:t>
                  </w:r>
                  <w:r>
                    <w:rPr>
                      <w:rFonts w:hint="default" w:ascii="Times New Roman" w:hAnsi="Times New Roman" w:eastAsia="宋体" w:cs="宋体"/>
                      <w:color w:val="auto"/>
                      <w:kern w:val="0"/>
                      <w:sz w:val="18"/>
                      <w:szCs w:val="18"/>
                      <w:vertAlign w:val="superscript"/>
                      <w:lang w:val="en-US" w:eastAsia="zh-CN" w:bidi="ar"/>
                    </w:rPr>
                    <w:t>2</w:t>
                  </w:r>
                  <w:r>
                    <w:rPr>
                      <w:rFonts w:hint="default" w:ascii="Times New Roman" w:hAnsi="Times New Roman" w:eastAsia="宋体" w:cs="宋体"/>
                      <w:color w:val="auto"/>
                      <w:kern w:val="0"/>
                      <w:sz w:val="18"/>
                      <w:szCs w:val="18"/>
                      <w:lang w:val="en-US" w:eastAsia="zh-CN" w:bidi="ar"/>
                    </w:rPr>
                    <w:t>，用于存储原辅材料。</w:t>
                  </w:r>
                </w:p>
              </w:tc>
              <w:tc>
                <w:tcPr>
                  <w:tcW w:w="357" w:type="pct"/>
                  <w:tcBorders>
                    <w:top w:val="single" w:color="auto" w:sz="2" w:space="0"/>
                    <w:bottom w:val="single" w:color="auto" w:sz="2" w:space="0"/>
                    <w:right w:val="single" w:color="auto" w:sz="4" w:space="0"/>
                  </w:tcBorders>
                  <w:shd w:val="clear" w:color="auto" w:fill="auto"/>
                  <w:vAlign w:val="center"/>
                </w:tcPr>
                <w:p w14:paraId="366B595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67F99E8C">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continue"/>
                  <w:tcBorders>
                    <w:top w:val="single" w:color="auto" w:sz="2" w:space="0"/>
                    <w:left w:val="single" w:color="auto" w:sz="4" w:space="0"/>
                    <w:bottom w:val="single" w:color="auto" w:sz="2" w:space="0"/>
                    <w:right w:val="single" w:color="auto" w:sz="4" w:space="0"/>
                  </w:tcBorders>
                  <w:shd w:val="clear" w:color="auto" w:fill="auto"/>
                  <w:vAlign w:val="center"/>
                </w:tcPr>
                <w:p w14:paraId="6D26B6F5">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bottom w:val="single" w:color="auto" w:sz="2" w:space="0"/>
                  </w:tcBorders>
                  <w:shd w:val="clear" w:color="auto" w:fill="auto"/>
                  <w:vAlign w:val="center"/>
                </w:tcPr>
                <w:p w14:paraId="12A6EE9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成品</w:t>
                  </w:r>
                  <w:r>
                    <w:rPr>
                      <w:rFonts w:hint="eastAsia" w:cs="宋体"/>
                      <w:color w:val="auto"/>
                      <w:kern w:val="0"/>
                      <w:sz w:val="18"/>
                      <w:szCs w:val="18"/>
                      <w:lang w:val="en-US" w:eastAsia="zh-CN" w:bidi="ar"/>
                    </w:rPr>
                    <w:t>仓</w:t>
                  </w:r>
                  <w:r>
                    <w:rPr>
                      <w:rFonts w:hint="eastAsia" w:ascii="Times New Roman" w:hAnsi="Times New Roman" w:eastAsia="宋体" w:cs="宋体"/>
                      <w:color w:val="auto"/>
                      <w:kern w:val="0"/>
                      <w:sz w:val="18"/>
                      <w:szCs w:val="18"/>
                      <w:lang w:val="en-US" w:eastAsia="zh-CN" w:bidi="ar"/>
                    </w:rPr>
                    <w:t>库</w:t>
                  </w:r>
                </w:p>
              </w:tc>
              <w:tc>
                <w:tcPr>
                  <w:tcW w:w="1389" w:type="pct"/>
                  <w:tcBorders>
                    <w:top w:val="single" w:color="auto" w:sz="2" w:space="0"/>
                    <w:bottom w:val="single" w:color="auto" w:sz="2" w:space="0"/>
                    <w:right w:val="single" w:color="auto" w:sz="4" w:space="0"/>
                  </w:tcBorders>
                  <w:shd w:val="clear" w:color="auto" w:fill="auto"/>
                  <w:vAlign w:val="center"/>
                </w:tcPr>
                <w:p w14:paraId="25D575FC">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位于7#厂房</w:t>
                  </w:r>
                  <w:r>
                    <w:rPr>
                      <w:rFonts w:hint="eastAsia" w:cs="宋体"/>
                      <w:color w:val="auto"/>
                      <w:kern w:val="0"/>
                      <w:sz w:val="18"/>
                      <w:szCs w:val="18"/>
                      <w:lang w:val="en-US" w:eastAsia="zh-CN" w:bidi="ar"/>
                    </w:rPr>
                    <w:t>中部</w:t>
                  </w:r>
                  <w:r>
                    <w:rPr>
                      <w:rFonts w:hint="default" w:ascii="Times New Roman" w:hAnsi="Times New Roman" w:eastAsia="宋体" w:cs="宋体"/>
                      <w:color w:val="auto"/>
                      <w:kern w:val="0"/>
                      <w:sz w:val="18"/>
                      <w:szCs w:val="18"/>
                      <w:lang w:val="en-US" w:eastAsia="zh-CN" w:bidi="ar"/>
                    </w:rPr>
                    <w:t>，占地面积2500m</w:t>
                  </w:r>
                  <w:r>
                    <w:rPr>
                      <w:rFonts w:hint="default" w:ascii="Times New Roman" w:hAnsi="Times New Roman" w:eastAsia="宋体" w:cs="宋体"/>
                      <w:color w:val="auto"/>
                      <w:kern w:val="0"/>
                      <w:sz w:val="18"/>
                      <w:szCs w:val="18"/>
                      <w:vertAlign w:val="superscript"/>
                      <w:lang w:val="en-US" w:eastAsia="zh-CN" w:bidi="ar"/>
                    </w:rPr>
                    <w:t>2</w:t>
                  </w:r>
                  <w:r>
                    <w:rPr>
                      <w:rFonts w:hint="default" w:ascii="Times New Roman" w:hAnsi="Times New Roman" w:eastAsia="宋体" w:cs="宋体"/>
                      <w:color w:val="auto"/>
                      <w:kern w:val="0"/>
                      <w:sz w:val="18"/>
                      <w:szCs w:val="18"/>
                      <w:lang w:val="en-US" w:eastAsia="zh-CN" w:bidi="ar"/>
                    </w:rPr>
                    <w:t>，用于存储铝棒等</w:t>
                  </w:r>
                  <w:r>
                    <w:rPr>
                      <w:rFonts w:hint="eastAsia" w:ascii="Times New Roman" w:hAnsi="Times New Roman" w:eastAsia="宋体" w:cs="宋体"/>
                      <w:color w:val="auto"/>
                      <w:kern w:val="0"/>
                      <w:sz w:val="18"/>
                      <w:szCs w:val="18"/>
                      <w:lang w:val="en-US" w:eastAsia="zh-CN" w:bidi="ar"/>
                    </w:rPr>
                    <w:t>成品</w:t>
                  </w:r>
                  <w:r>
                    <w:rPr>
                      <w:rFonts w:hint="default" w:ascii="Times New Roman" w:hAnsi="Times New Roman" w:eastAsia="宋体" w:cs="宋体"/>
                      <w:color w:val="auto"/>
                      <w:kern w:val="0"/>
                      <w:sz w:val="18"/>
                      <w:szCs w:val="18"/>
                      <w:lang w:val="en-US" w:eastAsia="zh-CN" w:bidi="ar"/>
                    </w:rPr>
                    <w:t>。</w:t>
                  </w:r>
                </w:p>
              </w:tc>
              <w:tc>
                <w:tcPr>
                  <w:tcW w:w="1056" w:type="pct"/>
                  <w:tcBorders>
                    <w:top w:val="single" w:color="auto" w:sz="2" w:space="0"/>
                    <w:bottom w:val="single" w:color="auto" w:sz="2" w:space="0"/>
                    <w:right w:val="single" w:color="auto" w:sz="4" w:space="0"/>
                  </w:tcBorders>
                  <w:shd w:val="clear" w:color="auto" w:fill="auto"/>
                  <w:vAlign w:val="center"/>
                </w:tcPr>
                <w:p w14:paraId="762C79A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57" w:type="pct"/>
                  <w:tcBorders>
                    <w:top w:val="single" w:color="auto" w:sz="2" w:space="0"/>
                    <w:bottom w:val="single" w:color="auto" w:sz="2" w:space="0"/>
                    <w:right w:val="single" w:color="auto" w:sz="4" w:space="0"/>
                  </w:tcBorders>
                  <w:shd w:val="clear" w:color="auto" w:fill="auto"/>
                  <w:vAlign w:val="center"/>
                </w:tcPr>
                <w:p w14:paraId="4ADCE28C">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位于7#厂房</w:t>
                  </w:r>
                  <w:r>
                    <w:rPr>
                      <w:rFonts w:hint="eastAsia" w:cs="宋体"/>
                      <w:color w:val="auto"/>
                      <w:kern w:val="0"/>
                      <w:sz w:val="18"/>
                      <w:szCs w:val="18"/>
                      <w:lang w:val="en-US" w:eastAsia="zh-CN" w:bidi="ar"/>
                    </w:rPr>
                    <w:t>中部</w:t>
                  </w:r>
                  <w:r>
                    <w:rPr>
                      <w:rFonts w:hint="default" w:ascii="Times New Roman" w:hAnsi="Times New Roman" w:eastAsia="宋体" w:cs="宋体"/>
                      <w:color w:val="auto"/>
                      <w:kern w:val="0"/>
                      <w:sz w:val="18"/>
                      <w:szCs w:val="18"/>
                      <w:lang w:val="en-US" w:eastAsia="zh-CN" w:bidi="ar"/>
                    </w:rPr>
                    <w:t>，占地面积2500m</w:t>
                  </w:r>
                  <w:r>
                    <w:rPr>
                      <w:rFonts w:hint="default" w:ascii="Times New Roman" w:hAnsi="Times New Roman" w:eastAsia="宋体" w:cs="宋体"/>
                      <w:color w:val="auto"/>
                      <w:kern w:val="0"/>
                      <w:sz w:val="18"/>
                      <w:szCs w:val="18"/>
                      <w:vertAlign w:val="superscript"/>
                      <w:lang w:val="en-US" w:eastAsia="zh-CN" w:bidi="ar"/>
                    </w:rPr>
                    <w:t>2</w:t>
                  </w:r>
                  <w:r>
                    <w:rPr>
                      <w:rFonts w:hint="default" w:ascii="Times New Roman" w:hAnsi="Times New Roman" w:eastAsia="宋体" w:cs="宋体"/>
                      <w:color w:val="auto"/>
                      <w:kern w:val="0"/>
                      <w:sz w:val="18"/>
                      <w:szCs w:val="18"/>
                      <w:lang w:val="en-US" w:eastAsia="zh-CN" w:bidi="ar"/>
                    </w:rPr>
                    <w:t>，用于存储铝棒</w:t>
                  </w:r>
                  <w:r>
                    <w:rPr>
                      <w:rFonts w:hint="eastAsia" w:ascii="Times New Roman" w:hAnsi="Times New Roman" w:eastAsia="宋体" w:cs="宋体"/>
                      <w:color w:val="auto"/>
                      <w:kern w:val="0"/>
                      <w:sz w:val="18"/>
                      <w:szCs w:val="18"/>
                      <w:lang w:val="en-US" w:eastAsia="zh-CN" w:bidi="ar"/>
                    </w:rPr>
                    <w:t>、铝件</w:t>
                  </w:r>
                  <w:r>
                    <w:rPr>
                      <w:rFonts w:hint="default" w:ascii="Times New Roman" w:hAnsi="Times New Roman" w:eastAsia="宋体" w:cs="宋体"/>
                      <w:color w:val="auto"/>
                      <w:kern w:val="0"/>
                      <w:sz w:val="18"/>
                      <w:szCs w:val="18"/>
                      <w:lang w:val="en-US" w:eastAsia="zh-CN" w:bidi="ar"/>
                    </w:rPr>
                    <w:t>等</w:t>
                  </w:r>
                  <w:r>
                    <w:rPr>
                      <w:rFonts w:hint="eastAsia" w:ascii="Times New Roman" w:hAnsi="Times New Roman" w:eastAsia="宋体" w:cs="宋体"/>
                      <w:color w:val="auto"/>
                      <w:kern w:val="0"/>
                      <w:sz w:val="18"/>
                      <w:szCs w:val="18"/>
                      <w:lang w:val="en-US" w:eastAsia="zh-CN" w:bidi="ar"/>
                    </w:rPr>
                    <w:t>成品</w:t>
                  </w:r>
                  <w:r>
                    <w:rPr>
                      <w:rFonts w:hint="default" w:ascii="Times New Roman" w:hAnsi="Times New Roman" w:eastAsia="宋体" w:cs="宋体"/>
                      <w:color w:val="auto"/>
                      <w:kern w:val="0"/>
                      <w:sz w:val="18"/>
                      <w:szCs w:val="18"/>
                      <w:lang w:val="en-US" w:eastAsia="zh-CN" w:bidi="ar"/>
                    </w:rPr>
                    <w:t>。</w:t>
                  </w:r>
                </w:p>
              </w:tc>
              <w:tc>
                <w:tcPr>
                  <w:tcW w:w="357" w:type="pct"/>
                  <w:tcBorders>
                    <w:top w:val="single" w:color="auto" w:sz="2" w:space="0"/>
                    <w:bottom w:val="single" w:color="auto" w:sz="2" w:space="0"/>
                    <w:right w:val="single" w:color="auto" w:sz="4" w:space="0"/>
                  </w:tcBorders>
                  <w:shd w:val="clear" w:color="auto" w:fill="auto"/>
                  <w:vAlign w:val="center"/>
                </w:tcPr>
                <w:p w14:paraId="520D7CF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依托</w:t>
                  </w:r>
                </w:p>
              </w:tc>
            </w:tr>
            <w:bookmarkEnd w:id="22"/>
            <w:tr w14:paraId="0F9C3EDF">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restart"/>
                  <w:tcBorders>
                    <w:top w:val="single" w:color="auto" w:sz="2" w:space="0"/>
                    <w:left w:val="single" w:color="auto" w:sz="4" w:space="0"/>
                    <w:bottom w:val="single" w:color="auto" w:sz="2" w:space="0"/>
                    <w:right w:val="single" w:color="auto" w:sz="4" w:space="0"/>
                  </w:tcBorders>
                  <w:shd w:val="clear" w:color="auto" w:fill="auto"/>
                  <w:vAlign w:val="center"/>
                </w:tcPr>
                <w:p w14:paraId="7183927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环保工程</w:t>
                  </w:r>
                </w:p>
              </w:tc>
              <w:tc>
                <w:tcPr>
                  <w:tcW w:w="557" w:type="pct"/>
                  <w:tcBorders>
                    <w:top w:val="single" w:color="auto" w:sz="2" w:space="0"/>
                    <w:left w:val="single" w:color="auto" w:sz="4" w:space="0"/>
                    <w:bottom w:val="single" w:color="auto" w:sz="2" w:space="0"/>
                  </w:tcBorders>
                  <w:shd w:val="clear" w:color="auto" w:fill="auto"/>
                  <w:vAlign w:val="center"/>
                </w:tcPr>
                <w:p w14:paraId="27ED2EF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废水治理</w:t>
                  </w:r>
                </w:p>
              </w:tc>
              <w:tc>
                <w:tcPr>
                  <w:tcW w:w="1389" w:type="pct"/>
                  <w:tcBorders>
                    <w:top w:val="single" w:color="auto" w:sz="2" w:space="0"/>
                    <w:bottom w:val="single" w:color="auto" w:sz="2" w:space="0"/>
                    <w:right w:val="single" w:color="auto" w:sz="4" w:space="0"/>
                  </w:tcBorders>
                  <w:shd w:val="clear" w:color="auto" w:fill="auto"/>
                  <w:vAlign w:val="center"/>
                </w:tcPr>
                <w:p w14:paraId="7356705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厂区采取雨污分流，已建1套污水处理系统，位于2#厂房北侧，项目生产废水经预处理后采取“调节池+中和沉淀”处理，达到江南产业集中区第一污水处理厂接管标准后排入第一污水处理厂处理，</w:t>
                  </w:r>
                </w:p>
                <w:p w14:paraId="542B47B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生活污水通过化粪池预处理后接入江南产业集中区第一污水处理厂管网；</w:t>
                  </w:r>
                </w:p>
              </w:tc>
              <w:tc>
                <w:tcPr>
                  <w:tcW w:w="1056" w:type="pct"/>
                  <w:tcBorders>
                    <w:top w:val="single" w:color="auto" w:sz="2" w:space="0"/>
                    <w:bottom w:val="single" w:color="auto" w:sz="2" w:space="0"/>
                    <w:right w:val="single" w:color="auto" w:sz="4" w:space="0"/>
                  </w:tcBorders>
                  <w:shd w:val="clear" w:color="auto" w:fill="auto"/>
                  <w:vAlign w:val="center"/>
                </w:tcPr>
                <w:p w14:paraId="3E7077D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本项目生活污水、食堂废水通过化粪池及隔油池预处理后与冷却水排水一同接入江南产业集中区第一污水处理厂管网；</w:t>
                  </w:r>
                </w:p>
              </w:tc>
              <w:tc>
                <w:tcPr>
                  <w:tcW w:w="1257" w:type="pct"/>
                  <w:tcBorders>
                    <w:top w:val="single" w:color="auto" w:sz="2" w:space="0"/>
                    <w:bottom w:val="single" w:color="auto" w:sz="2" w:space="0"/>
                    <w:right w:val="single" w:color="auto" w:sz="4" w:space="0"/>
                  </w:tcBorders>
                  <w:shd w:val="clear" w:color="auto" w:fill="auto"/>
                  <w:vAlign w:val="center"/>
                </w:tcPr>
                <w:p w14:paraId="2B69ADB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厂区采取雨污分流，已建1套污水处理系统，位于2#厂房北侧，项目生产废水经预处理后采取“调节池+中和沉淀”处理，达到江南产业集中区第一污水处理厂接管标准后排入第一污水处理厂处理。</w:t>
                  </w:r>
                </w:p>
                <w:p w14:paraId="3B469F9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生活污水通过化粪池预处理后接入江南产业集中区第一污水处理厂管网；</w:t>
                  </w:r>
                </w:p>
              </w:tc>
              <w:tc>
                <w:tcPr>
                  <w:tcW w:w="357" w:type="pct"/>
                  <w:tcBorders>
                    <w:top w:val="single" w:color="auto" w:sz="2" w:space="0"/>
                    <w:bottom w:val="single" w:color="auto" w:sz="2" w:space="0"/>
                    <w:right w:val="single" w:color="auto" w:sz="4" w:space="0"/>
                  </w:tcBorders>
                  <w:shd w:val="clear" w:color="auto" w:fill="auto"/>
                  <w:vAlign w:val="center"/>
                </w:tcPr>
                <w:p w14:paraId="05664BE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173FE079">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continue"/>
                  <w:tcBorders>
                    <w:top w:val="single" w:color="auto" w:sz="2" w:space="0"/>
                    <w:left w:val="single" w:color="auto" w:sz="4" w:space="0"/>
                    <w:bottom w:val="single" w:color="auto" w:sz="2" w:space="0"/>
                    <w:right w:val="single" w:color="auto" w:sz="4" w:space="0"/>
                  </w:tcBorders>
                  <w:shd w:val="clear" w:color="auto" w:fill="auto"/>
                  <w:vAlign w:val="center"/>
                </w:tcPr>
                <w:p w14:paraId="66FF3934">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left w:val="single" w:color="auto" w:sz="4" w:space="0"/>
                    <w:bottom w:val="single" w:color="auto" w:sz="2" w:space="0"/>
                  </w:tcBorders>
                  <w:shd w:val="clear" w:color="auto" w:fill="auto"/>
                  <w:vAlign w:val="center"/>
                </w:tcPr>
                <w:p w14:paraId="32E31AD7">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废气治理</w:t>
                  </w:r>
                </w:p>
              </w:tc>
              <w:tc>
                <w:tcPr>
                  <w:tcW w:w="1389" w:type="pct"/>
                  <w:tcBorders>
                    <w:top w:val="single" w:color="auto" w:sz="2" w:space="0"/>
                    <w:bottom w:val="single" w:color="auto" w:sz="2" w:space="0"/>
                    <w:right w:val="single" w:color="auto" w:sz="4" w:space="0"/>
                  </w:tcBorders>
                  <w:shd w:val="clear" w:color="auto" w:fill="auto"/>
                  <w:vAlign w:val="center"/>
                </w:tcPr>
                <w:p w14:paraId="4880ED9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1、铝棒加热工序天然气燃烧废气：经车间无组织排放。</w:t>
                  </w:r>
                </w:p>
                <w:p w14:paraId="1D7448F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2、时效炉工序天然气燃烧废气：经车间无组织排放。</w:t>
                  </w:r>
                </w:p>
                <w:p w14:paraId="432F94A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3、食堂油烟：经油烟净化器处理后，满足《饮食业油烟排放标准（试行）》中≤2.0mg/m</w:t>
                  </w:r>
                  <w:r>
                    <w:rPr>
                      <w:rFonts w:hint="eastAsia" w:cs="宋体"/>
                      <w:color w:val="auto"/>
                      <w:kern w:val="0"/>
                      <w:sz w:val="18"/>
                      <w:szCs w:val="18"/>
                      <w:vertAlign w:val="superscript"/>
                      <w:lang w:val="en-US" w:eastAsia="zh-CN" w:bidi="ar"/>
                    </w:rPr>
                    <w:t>3</w:t>
                  </w:r>
                  <w:r>
                    <w:rPr>
                      <w:rFonts w:hint="eastAsia" w:cs="宋体"/>
                      <w:color w:val="auto"/>
                      <w:kern w:val="0"/>
                      <w:sz w:val="18"/>
                      <w:szCs w:val="18"/>
                      <w:lang w:val="en-US" w:eastAsia="zh-CN" w:bidi="ar"/>
                    </w:rPr>
                    <w:t>的标准要求。</w:t>
                  </w:r>
                </w:p>
              </w:tc>
              <w:tc>
                <w:tcPr>
                  <w:tcW w:w="1056" w:type="pct"/>
                  <w:tcBorders>
                    <w:top w:val="single" w:color="auto" w:sz="2" w:space="0"/>
                    <w:bottom w:val="single" w:color="auto" w:sz="2" w:space="0"/>
                    <w:right w:val="single" w:color="auto" w:sz="4" w:space="0"/>
                  </w:tcBorders>
                  <w:shd w:val="clear" w:color="auto" w:fill="auto"/>
                  <w:vAlign w:val="center"/>
                </w:tcPr>
                <w:p w14:paraId="65E658B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1、熔化、扒渣、除气除渣、离心浇铸废气通过集气装置收集经袋式除尘器处理后有组织排放；</w:t>
                  </w:r>
                </w:p>
                <w:p w14:paraId="5F441A44">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2、熔铝天然气燃烧废气经车间无组织排放；</w:t>
                  </w:r>
                </w:p>
              </w:tc>
              <w:tc>
                <w:tcPr>
                  <w:tcW w:w="1257" w:type="pct"/>
                  <w:tcBorders>
                    <w:top w:val="single" w:color="auto" w:sz="2" w:space="0"/>
                    <w:bottom w:val="single" w:color="auto" w:sz="2" w:space="0"/>
                    <w:right w:val="single" w:color="auto" w:sz="4" w:space="0"/>
                  </w:tcBorders>
                  <w:shd w:val="clear" w:color="auto" w:fill="auto"/>
                  <w:vAlign w:val="center"/>
                </w:tcPr>
                <w:p w14:paraId="518A8441">
                  <w:pPr>
                    <w:widowControl/>
                    <w:numPr>
                      <w:ilvl w:val="0"/>
                      <w:numId w:val="21"/>
                    </w:numPr>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铝棒加热工序天然气燃烧废气：经车间无组织排放；</w:t>
                  </w:r>
                </w:p>
                <w:p w14:paraId="50039E5B">
                  <w:pPr>
                    <w:widowControl/>
                    <w:numPr>
                      <w:ilvl w:val="0"/>
                      <w:numId w:val="21"/>
                    </w:numPr>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时效炉工序天然气燃烧废气：经车间无组织排放。</w:t>
                  </w:r>
                </w:p>
                <w:p w14:paraId="2B6949AF">
                  <w:pPr>
                    <w:widowControl/>
                    <w:numPr>
                      <w:ilvl w:val="0"/>
                      <w:numId w:val="21"/>
                    </w:numPr>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熔化、扒渣、除气除渣、离心浇铸废气通过集气装置收集经袋式除尘器处理后有组织排放；</w:t>
                  </w:r>
                </w:p>
                <w:p w14:paraId="09A498E8">
                  <w:pPr>
                    <w:widowControl/>
                    <w:numPr>
                      <w:ilvl w:val="0"/>
                      <w:numId w:val="21"/>
                    </w:numPr>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熔铝天然气燃烧废气：经车间无组织排放；</w:t>
                  </w:r>
                </w:p>
              </w:tc>
              <w:tc>
                <w:tcPr>
                  <w:tcW w:w="357" w:type="pct"/>
                  <w:tcBorders>
                    <w:top w:val="single" w:color="auto" w:sz="2" w:space="0"/>
                    <w:bottom w:val="single" w:color="auto" w:sz="2" w:space="0"/>
                    <w:right w:val="single" w:color="auto" w:sz="4" w:space="0"/>
                  </w:tcBorders>
                  <w:shd w:val="clear" w:color="auto" w:fill="auto"/>
                  <w:vAlign w:val="center"/>
                </w:tcPr>
                <w:p w14:paraId="3C3C335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新建</w:t>
                  </w:r>
                </w:p>
              </w:tc>
            </w:tr>
            <w:tr w14:paraId="7694E596">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380" w:type="pct"/>
                  <w:vMerge w:val="continue"/>
                  <w:tcBorders>
                    <w:top w:val="single" w:color="auto" w:sz="2" w:space="0"/>
                    <w:left w:val="single" w:color="auto" w:sz="4" w:space="0"/>
                    <w:bottom w:val="single" w:color="auto" w:sz="2" w:space="0"/>
                    <w:right w:val="single" w:color="auto" w:sz="4" w:space="0"/>
                  </w:tcBorders>
                  <w:shd w:val="clear" w:color="auto" w:fill="auto"/>
                  <w:vAlign w:val="center"/>
                </w:tcPr>
                <w:p w14:paraId="683EC16F">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left w:val="single" w:color="auto" w:sz="4" w:space="0"/>
                    <w:bottom w:val="single" w:color="auto" w:sz="2" w:space="0"/>
                  </w:tcBorders>
                  <w:shd w:val="clear" w:color="auto" w:fill="auto"/>
                  <w:vAlign w:val="center"/>
                </w:tcPr>
                <w:p w14:paraId="6D01AF3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噪声治理</w:t>
                  </w:r>
                </w:p>
              </w:tc>
              <w:tc>
                <w:tcPr>
                  <w:tcW w:w="1389" w:type="pct"/>
                  <w:tcBorders>
                    <w:top w:val="single" w:color="auto" w:sz="2" w:space="0"/>
                    <w:bottom w:val="single" w:color="auto" w:sz="2" w:space="0"/>
                    <w:right w:val="single" w:color="auto" w:sz="4" w:space="0"/>
                  </w:tcBorders>
                  <w:shd w:val="clear" w:color="auto" w:fill="auto"/>
                  <w:vAlign w:val="center"/>
                </w:tcPr>
                <w:p w14:paraId="2551322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优选低噪设备、车间内布置隔声、减振等措施。</w:t>
                  </w:r>
                </w:p>
              </w:tc>
              <w:tc>
                <w:tcPr>
                  <w:tcW w:w="1056" w:type="pct"/>
                  <w:tcBorders>
                    <w:top w:val="single" w:color="auto" w:sz="2" w:space="0"/>
                    <w:bottom w:val="single" w:color="auto" w:sz="2" w:space="0"/>
                    <w:right w:val="single" w:color="auto" w:sz="4" w:space="0"/>
                  </w:tcBorders>
                  <w:shd w:val="clear" w:color="auto" w:fill="auto"/>
                  <w:vAlign w:val="center"/>
                </w:tcPr>
                <w:p w14:paraId="1946DCC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优选低噪设备、车间内布置隔声、减振等措施。</w:t>
                  </w:r>
                </w:p>
              </w:tc>
              <w:tc>
                <w:tcPr>
                  <w:tcW w:w="1257" w:type="pct"/>
                  <w:tcBorders>
                    <w:top w:val="single" w:color="auto" w:sz="2" w:space="0"/>
                    <w:bottom w:val="single" w:color="auto" w:sz="2" w:space="0"/>
                    <w:right w:val="single" w:color="auto" w:sz="4" w:space="0"/>
                  </w:tcBorders>
                  <w:shd w:val="clear" w:color="auto" w:fill="auto"/>
                  <w:vAlign w:val="center"/>
                </w:tcPr>
                <w:p w14:paraId="6B29DFA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优选低噪设备、车间内布置隔声、减振等措施。</w:t>
                  </w:r>
                </w:p>
              </w:tc>
              <w:tc>
                <w:tcPr>
                  <w:tcW w:w="357" w:type="pct"/>
                  <w:tcBorders>
                    <w:top w:val="single" w:color="auto" w:sz="2" w:space="0"/>
                    <w:bottom w:val="single" w:color="auto" w:sz="2" w:space="0"/>
                    <w:right w:val="single" w:color="auto" w:sz="4" w:space="0"/>
                  </w:tcBorders>
                  <w:shd w:val="clear" w:color="auto" w:fill="auto"/>
                  <w:vAlign w:val="center"/>
                </w:tcPr>
                <w:p w14:paraId="28E9F72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依托并新建</w:t>
                  </w:r>
                </w:p>
              </w:tc>
            </w:tr>
            <w:tr w14:paraId="42B38085">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continue"/>
                  <w:tcBorders>
                    <w:top w:val="single" w:color="auto" w:sz="2" w:space="0"/>
                    <w:left w:val="single" w:color="auto" w:sz="4" w:space="0"/>
                    <w:bottom w:val="single" w:color="auto" w:sz="2" w:space="0"/>
                    <w:right w:val="single" w:color="auto" w:sz="4" w:space="0"/>
                  </w:tcBorders>
                  <w:shd w:val="clear" w:color="auto" w:fill="auto"/>
                  <w:vAlign w:val="center"/>
                </w:tcPr>
                <w:p w14:paraId="2571780A">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left w:val="single" w:color="auto" w:sz="4" w:space="0"/>
                    <w:bottom w:val="single" w:color="auto" w:sz="2" w:space="0"/>
                  </w:tcBorders>
                  <w:shd w:val="clear" w:color="auto" w:fill="auto"/>
                  <w:vAlign w:val="center"/>
                </w:tcPr>
                <w:p w14:paraId="0A839B5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固废治理</w:t>
                  </w:r>
                </w:p>
              </w:tc>
              <w:tc>
                <w:tcPr>
                  <w:tcW w:w="1389" w:type="pct"/>
                  <w:tcBorders>
                    <w:top w:val="single" w:color="auto" w:sz="2" w:space="0"/>
                    <w:bottom w:val="single" w:color="auto" w:sz="2" w:space="0"/>
                    <w:right w:val="single" w:color="auto" w:sz="4" w:space="0"/>
                  </w:tcBorders>
                  <w:shd w:val="clear" w:color="auto" w:fill="auto"/>
                  <w:vAlign w:val="center"/>
                </w:tcPr>
                <w:p w14:paraId="061B615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1、设置生活垃圾桶若干，并委托园区环卫部门集中处置；</w:t>
                  </w:r>
                </w:p>
                <w:p w14:paraId="6FE93A5B">
                  <w:pPr>
                    <w:widowControl/>
                    <w:spacing w:line="240" w:lineRule="auto"/>
                    <w:jc w:val="center"/>
                    <w:textAlignment w:val="center"/>
                    <w:rPr>
                      <w:rFonts w:hint="eastAsia" w:cs="宋体"/>
                      <w:color w:val="auto"/>
                      <w:kern w:val="0"/>
                      <w:sz w:val="18"/>
                      <w:szCs w:val="18"/>
                      <w:lang w:val="en-US" w:eastAsia="zh-CN" w:bidi="ar"/>
                    </w:rPr>
                  </w:pPr>
                  <w:bookmarkStart w:id="24" w:name="OLE_LINK35"/>
                  <w:r>
                    <w:rPr>
                      <w:rFonts w:hint="eastAsia" w:cs="宋体"/>
                      <w:color w:val="auto"/>
                      <w:kern w:val="0"/>
                      <w:sz w:val="18"/>
                      <w:szCs w:val="18"/>
                      <w:lang w:val="en-US" w:eastAsia="zh-CN" w:bidi="ar"/>
                    </w:rPr>
                    <w:t>2、设置1座一般固废暂存间，在4#厂房车间内的南侧，面积为1000m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；一般固废进行综合利用。</w:t>
                  </w:r>
                </w:p>
                <w:p w14:paraId="6C701A3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3、危废库位于园区内西侧，面积为50m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w:t>
                  </w:r>
                  <w:bookmarkEnd w:id="24"/>
                  <w:r>
                    <w:rPr>
                      <w:rFonts w:hint="eastAsia" w:cs="宋体"/>
                      <w:color w:val="auto"/>
                      <w:kern w:val="0"/>
                      <w:sz w:val="18"/>
                      <w:szCs w:val="18"/>
                      <w:lang w:val="en-US" w:eastAsia="zh-CN" w:bidi="ar"/>
                    </w:rPr>
                    <w:t>危废交由资质单位处置。</w:t>
                  </w:r>
                </w:p>
              </w:tc>
              <w:tc>
                <w:tcPr>
                  <w:tcW w:w="1056" w:type="pct"/>
                  <w:tcBorders>
                    <w:top w:val="single" w:color="auto" w:sz="2" w:space="0"/>
                    <w:bottom w:val="single" w:color="auto" w:sz="2" w:space="0"/>
                    <w:right w:val="single" w:color="auto" w:sz="4" w:space="0"/>
                  </w:tcBorders>
                  <w:shd w:val="clear" w:color="auto" w:fill="auto"/>
                  <w:vAlign w:val="center"/>
                </w:tcPr>
                <w:p w14:paraId="401F49F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1、依托现有生活垃圾桶；</w:t>
                  </w:r>
                </w:p>
                <w:p w14:paraId="044986A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2、依托现有1座1000m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一般固废暂存间；</w:t>
                  </w:r>
                </w:p>
                <w:p w14:paraId="17874385">
                  <w:pPr>
                    <w:widowControl/>
                    <w:spacing w:line="240" w:lineRule="auto"/>
                    <w:jc w:val="center"/>
                    <w:textAlignment w:val="center"/>
                    <w:rPr>
                      <w:rFonts w:hint="default" w:cs="宋体"/>
                      <w:color w:val="auto"/>
                      <w:kern w:val="0"/>
                      <w:sz w:val="18"/>
                      <w:szCs w:val="18"/>
                      <w:vertAlign w:val="baseline"/>
                      <w:lang w:val="en-US" w:eastAsia="zh-CN" w:bidi="ar"/>
                    </w:rPr>
                  </w:pPr>
                  <w:r>
                    <w:rPr>
                      <w:rFonts w:hint="eastAsia" w:cs="宋体"/>
                      <w:color w:val="auto"/>
                      <w:kern w:val="0"/>
                      <w:sz w:val="18"/>
                      <w:szCs w:val="18"/>
                      <w:lang w:val="en-US" w:eastAsia="zh-CN" w:bidi="ar"/>
                    </w:rPr>
                    <w:t>3、依托现有1座50m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危废库。</w:t>
                  </w:r>
                </w:p>
              </w:tc>
              <w:tc>
                <w:tcPr>
                  <w:tcW w:w="1257" w:type="pct"/>
                  <w:tcBorders>
                    <w:top w:val="single" w:color="auto" w:sz="2" w:space="0"/>
                    <w:bottom w:val="single" w:color="auto" w:sz="2" w:space="0"/>
                    <w:right w:val="single" w:color="auto" w:sz="4" w:space="0"/>
                  </w:tcBorders>
                  <w:shd w:val="clear" w:color="auto" w:fill="auto"/>
                  <w:vAlign w:val="center"/>
                </w:tcPr>
                <w:p w14:paraId="137EA8D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1、设置生活垃圾桶若干，并委托园区环卫部门集中处置；</w:t>
                  </w:r>
                </w:p>
                <w:p w14:paraId="3085D13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2、设置1座一般固废暂存间，在4#厂房车间内的南侧，面积为1000m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；一般固废进行综合利用。</w:t>
                  </w:r>
                </w:p>
                <w:p w14:paraId="562F9D9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3、危废库位于园区内西侧，面积为50m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。危废交由资质单位处置。</w:t>
                  </w:r>
                </w:p>
              </w:tc>
              <w:tc>
                <w:tcPr>
                  <w:tcW w:w="357" w:type="pct"/>
                  <w:tcBorders>
                    <w:top w:val="single" w:color="auto" w:sz="2" w:space="0"/>
                    <w:bottom w:val="single" w:color="auto" w:sz="2" w:space="0"/>
                    <w:right w:val="single" w:color="auto" w:sz="4" w:space="0"/>
                  </w:tcBorders>
                  <w:shd w:val="clear" w:color="auto" w:fill="auto"/>
                  <w:vAlign w:val="center"/>
                </w:tcPr>
                <w:p w14:paraId="2A58561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5B9A3150">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continue"/>
                  <w:tcBorders>
                    <w:top w:val="single" w:color="auto" w:sz="2" w:space="0"/>
                    <w:left w:val="single" w:color="auto" w:sz="4" w:space="0"/>
                    <w:bottom w:val="single" w:color="auto" w:sz="4" w:space="0"/>
                    <w:right w:val="single" w:color="auto" w:sz="4" w:space="0"/>
                  </w:tcBorders>
                  <w:shd w:val="clear" w:color="auto" w:fill="auto"/>
                  <w:vAlign w:val="center"/>
                </w:tcPr>
                <w:p w14:paraId="7E718D6A">
                  <w:pPr>
                    <w:widowControl/>
                    <w:spacing w:line="240" w:lineRule="auto"/>
                    <w:jc w:val="center"/>
                    <w:textAlignment w:val="center"/>
                    <w:rPr>
                      <w:rFonts w:hint="eastAsia" w:cs="宋体"/>
                      <w:color w:val="auto"/>
                      <w:kern w:val="0"/>
                      <w:sz w:val="18"/>
                      <w:szCs w:val="18"/>
                      <w:lang w:val="en-US" w:eastAsia="zh-CN" w:bidi="ar"/>
                    </w:rPr>
                  </w:pPr>
                </w:p>
              </w:tc>
              <w:tc>
                <w:tcPr>
                  <w:tcW w:w="557" w:type="pct"/>
                  <w:vMerge w:val="restart"/>
                  <w:tcBorders>
                    <w:top w:val="single" w:color="auto" w:sz="2" w:space="0"/>
                    <w:left w:val="single" w:color="auto" w:sz="4" w:space="0"/>
                  </w:tcBorders>
                  <w:shd w:val="clear" w:color="auto" w:fill="auto"/>
                  <w:vAlign w:val="center"/>
                </w:tcPr>
                <w:p w14:paraId="17B1EC2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地下水防渗</w:t>
                  </w:r>
                </w:p>
              </w:tc>
              <w:tc>
                <w:tcPr>
                  <w:tcW w:w="1389" w:type="pct"/>
                  <w:tcBorders>
                    <w:top w:val="single" w:color="auto" w:sz="2" w:space="0"/>
                    <w:right w:val="single" w:color="auto" w:sz="4" w:space="0"/>
                  </w:tcBorders>
                  <w:shd w:val="clear" w:color="auto" w:fill="auto"/>
                  <w:vAlign w:val="center"/>
                </w:tcPr>
                <w:p w14:paraId="569777C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一般防渗区为成品包装区、一般固废库，采用防渗混凝土作面层，防渗膜渗透系数应等效于黏土防渗层Mb≥1.5m，K≤10</w:t>
                  </w:r>
                  <w:r>
                    <w:rPr>
                      <w:rFonts w:hint="eastAsia" w:cs="宋体"/>
                      <w:color w:val="auto"/>
                      <w:kern w:val="0"/>
                      <w:sz w:val="18"/>
                      <w:szCs w:val="18"/>
                      <w:vertAlign w:val="superscript"/>
                      <w:lang w:val="en-US" w:eastAsia="zh-CN" w:bidi="ar"/>
                    </w:rPr>
                    <w:t>-7</w:t>
                  </w:r>
                  <w:r>
                    <w:rPr>
                      <w:rFonts w:hint="eastAsia" w:cs="宋体"/>
                      <w:color w:val="auto"/>
                      <w:kern w:val="0"/>
                      <w:sz w:val="18"/>
                      <w:szCs w:val="18"/>
                      <w:lang w:val="en-US" w:eastAsia="zh-CN" w:bidi="ar"/>
                    </w:rPr>
                    <w:t>cm/s。</w:t>
                  </w:r>
                </w:p>
              </w:tc>
              <w:tc>
                <w:tcPr>
                  <w:tcW w:w="1056" w:type="pct"/>
                  <w:tcBorders>
                    <w:top w:val="single" w:color="auto" w:sz="2" w:space="0"/>
                    <w:right w:val="single" w:color="auto" w:sz="4" w:space="0"/>
                  </w:tcBorders>
                  <w:shd w:val="clear" w:color="auto" w:fill="auto"/>
                  <w:vAlign w:val="center"/>
                </w:tcPr>
                <w:p w14:paraId="058E60D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新增打包区、质检区精加工、熔化区、压铸区等一般防渗区，采用防渗混凝土作面层，防渗膜渗透系数应等效于黏土防渗层Mb≥1.5m，K≤10</w:t>
                  </w:r>
                  <w:r>
                    <w:rPr>
                      <w:rFonts w:hint="eastAsia" w:cs="宋体"/>
                      <w:color w:val="auto"/>
                      <w:kern w:val="0"/>
                      <w:sz w:val="18"/>
                      <w:szCs w:val="18"/>
                      <w:vertAlign w:val="superscript"/>
                      <w:lang w:val="en-US" w:eastAsia="zh-CN" w:bidi="ar"/>
                    </w:rPr>
                    <w:t>-7</w:t>
                  </w:r>
                  <w:r>
                    <w:rPr>
                      <w:rFonts w:hint="eastAsia" w:cs="宋体"/>
                      <w:color w:val="auto"/>
                      <w:kern w:val="0"/>
                      <w:sz w:val="18"/>
                      <w:szCs w:val="18"/>
                      <w:lang w:val="en-US" w:eastAsia="zh-CN" w:bidi="ar"/>
                    </w:rPr>
                    <w:t>cm/s。</w:t>
                  </w:r>
                </w:p>
              </w:tc>
              <w:tc>
                <w:tcPr>
                  <w:tcW w:w="1257" w:type="pct"/>
                  <w:tcBorders>
                    <w:top w:val="single" w:color="auto" w:sz="2" w:space="0"/>
                    <w:right w:val="single" w:color="auto" w:sz="4" w:space="0"/>
                  </w:tcBorders>
                  <w:shd w:val="clear" w:color="auto" w:fill="auto"/>
                  <w:vAlign w:val="center"/>
                </w:tcPr>
                <w:p w14:paraId="7CBCE26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一般防渗区为成品包装区、一般固废库、打包区、质检区、精加工、熔化区、压铸区，采用防渗混凝土作面层，防渗膜渗透系数应等效于黏土防渗层Mb≥1.5m，K≤10</w:t>
                  </w:r>
                  <w:r>
                    <w:rPr>
                      <w:rFonts w:hint="eastAsia" w:cs="宋体"/>
                      <w:color w:val="auto"/>
                      <w:kern w:val="0"/>
                      <w:sz w:val="18"/>
                      <w:szCs w:val="18"/>
                      <w:vertAlign w:val="superscript"/>
                      <w:lang w:val="en-US" w:eastAsia="zh-CN" w:bidi="ar"/>
                    </w:rPr>
                    <w:t>-7</w:t>
                  </w:r>
                  <w:r>
                    <w:rPr>
                      <w:rFonts w:hint="eastAsia" w:cs="宋体"/>
                      <w:color w:val="auto"/>
                      <w:kern w:val="0"/>
                      <w:sz w:val="18"/>
                      <w:szCs w:val="18"/>
                      <w:lang w:val="en-US" w:eastAsia="zh-CN" w:bidi="ar"/>
                    </w:rPr>
                    <w:t>cm/s。</w:t>
                  </w:r>
                </w:p>
              </w:tc>
              <w:tc>
                <w:tcPr>
                  <w:tcW w:w="357" w:type="pct"/>
                  <w:tcBorders>
                    <w:top w:val="single" w:color="auto" w:sz="2" w:space="0"/>
                    <w:right w:val="single" w:color="auto" w:sz="4" w:space="0"/>
                  </w:tcBorders>
                  <w:shd w:val="clear" w:color="auto" w:fill="auto"/>
                  <w:vAlign w:val="center"/>
                </w:tcPr>
                <w:p w14:paraId="48A2C9F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33917085">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380" w:type="pct"/>
                  <w:vMerge w:val="continue"/>
                  <w:tcBorders>
                    <w:top w:val="single" w:color="auto" w:sz="2" w:space="0"/>
                    <w:left w:val="single" w:color="auto" w:sz="4" w:space="0"/>
                    <w:bottom w:val="single" w:color="auto" w:sz="4" w:space="0"/>
                    <w:right w:val="single" w:color="auto" w:sz="4" w:space="0"/>
                  </w:tcBorders>
                  <w:shd w:val="clear" w:color="auto" w:fill="auto"/>
                  <w:vAlign w:val="center"/>
                </w:tcPr>
                <w:p w14:paraId="474FB64D">
                  <w:pPr>
                    <w:widowControl/>
                    <w:spacing w:line="240" w:lineRule="auto"/>
                    <w:jc w:val="center"/>
                    <w:textAlignment w:val="center"/>
                    <w:rPr>
                      <w:rFonts w:hint="eastAsia" w:cs="宋体"/>
                      <w:color w:val="auto"/>
                      <w:kern w:val="0"/>
                      <w:sz w:val="18"/>
                      <w:szCs w:val="18"/>
                      <w:lang w:val="en-US" w:eastAsia="zh-CN" w:bidi="ar"/>
                    </w:rPr>
                  </w:pPr>
                </w:p>
              </w:tc>
              <w:tc>
                <w:tcPr>
                  <w:tcW w:w="557" w:type="pct"/>
                  <w:vMerge w:val="continue"/>
                  <w:tcBorders>
                    <w:left w:val="single" w:color="auto" w:sz="4" w:space="0"/>
                    <w:bottom w:val="single" w:color="auto" w:sz="4" w:space="0"/>
                  </w:tcBorders>
                  <w:shd w:val="clear" w:color="auto" w:fill="auto"/>
                  <w:vAlign w:val="center"/>
                </w:tcPr>
                <w:p w14:paraId="2BE7C8FC">
                  <w:pPr>
                    <w:widowControl/>
                    <w:spacing w:line="240" w:lineRule="auto"/>
                    <w:jc w:val="center"/>
                    <w:textAlignment w:val="center"/>
                    <w:rPr>
                      <w:rFonts w:hint="eastAsia" w:cs="宋体"/>
                      <w:color w:val="auto"/>
                      <w:kern w:val="0"/>
                      <w:sz w:val="18"/>
                      <w:szCs w:val="18"/>
                      <w:lang w:val="en-US" w:eastAsia="zh-CN" w:bidi="ar"/>
                    </w:rPr>
                  </w:pPr>
                </w:p>
              </w:tc>
              <w:tc>
                <w:tcPr>
                  <w:tcW w:w="1389" w:type="pct"/>
                  <w:tcBorders>
                    <w:bottom w:val="single" w:color="auto" w:sz="4" w:space="0"/>
                    <w:right w:val="single" w:color="auto" w:sz="4" w:space="0"/>
                  </w:tcBorders>
                  <w:shd w:val="clear" w:color="auto" w:fill="auto"/>
                  <w:vAlign w:val="center"/>
                </w:tcPr>
                <w:p w14:paraId="4EB6A6F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重点防渗区为污水处理站、危废库，按重点防渗要求施工，防渗膜渗透系数应等效于黏土防渗层Mb≥6.0m，K≤10</w:t>
                  </w:r>
                  <w:r>
                    <w:rPr>
                      <w:rFonts w:hint="eastAsia" w:cs="宋体"/>
                      <w:color w:val="auto"/>
                      <w:kern w:val="0"/>
                      <w:sz w:val="18"/>
                      <w:szCs w:val="18"/>
                      <w:vertAlign w:val="superscript"/>
                      <w:lang w:val="en-US" w:eastAsia="zh-CN" w:bidi="ar"/>
                    </w:rPr>
                    <w:t>-10</w:t>
                  </w:r>
                  <w:r>
                    <w:rPr>
                      <w:rFonts w:hint="eastAsia" w:cs="宋体"/>
                      <w:color w:val="auto"/>
                      <w:kern w:val="0"/>
                      <w:sz w:val="18"/>
                      <w:szCs w:val="18"/>
                      <w:lang w:val="en-US" w:eastAsia="zh-CN" w:bidi="ar"/>
                    </w:rPr>
                    <w:t>cm/s。</w:t>
                  </w:r>
                </w:p>
              </w:tc>
              <w:tc>
                <w:tcPr>
                  <w:tcW w:w="1056" w:type="pct"/>
                  <w:tcBorders>
                    <w:bottom w:val="single" w:color="auto" w:sz="4" w:space="0"/>
                    <w:right w:val="single" w:color="auto" w:sz="4" w:space="0"/>
                  </w:tcBorders>
                  <w:shd w:val="clear" w:color="auto" w:fill="auto"/>
                  <w:vAlign w:val="center"/>
                </w:tcPr>
                <w:p w14:paraId="52D2B78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57" w:type="pct"/>
                  <w:tcBorders>
                    <w:bottom w:val="single" w:color="auto" w:sz="4" w:space="0"/>
                    <w:right w:val="single" w:color="auto" w:sz="4" w:space="0"/>
                  </w:tcBorders>
                  <w:shd w:val="clear" w:color="auto" w:fill="auto"/>
                  <w:vAlign w:val="center"/>
                </w:tcPr>
                <w:p w14:paraId="1626650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重点防渗区为污水处理站、危废库，按重点防渗要求施工，防渗膜渗透系数应等效于黏土防渗层Mb≥6.0m，K≤10</w:t>
                  </w:r>
                  <w:r>
                    <w:rPr>
                      <w:rFonts w:hint="eastAsia" w:cs="宋体"/>
                      <w:color w:val="auto"/>
                      <w:kern w:val="0"/>
                      <w:sz w:val="18"/>
                      <w:szCs w:val="18"/>
                      <w:vertAlign w:val="superscript"/>
                      <w:lang w:val="en-US" w:eastAsia="zh-CN" w:bidi="ar"/>
                    </w:rPr>
                    <w:t>-10</w:t>
                  </w:r>
                  <w:r>
                    <w:rPr>
                      <w:rFonts w:hint="eastAsia" w:cs="宋体"/>
                      <w:color w:val="auto"/>
                      <w:kern w:val="0"/>
                      <w:sz w:val="18"/>
                      <w:szCs w:val="18"/>
                      <w:lang w:val="en-US" w:eastAsia="zh-CN" w:bidi="ar"/>
                    </w:rPr>
                    <w:t>cm/s。</w:t>
                  </w:r>
                </w:p>
              </w:tc>
              <w:tc>
                <w:tcPr>
                  <w:tcW w:w="357" w:type="pct"/>
                  <w:tcBorders>
                    <w:bottom w:val="single" w:color="auto" w:sz="4" w:space="0"/>
                    <w:right w:val="single" w:color="auto" w:sz="4" w:space="0"/>
                  </w:tcBorders>
                  <w:shd w:val="clear" w:color="auto" w:fill="auto"/>
                  <w:vAlign w:val="center"/>
                </w:tcPr>
                <w:p w14:paraId="06DACD0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r w14:paraId="04092083">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68" w:hRule="atLeast"/>
                <w:jc w:val="center"/>
              </w:trPr>
              <w:tc>
                <w:tcPr>
                  <w:tcW w:w="380" w:type="pct"/>
                  <w:vMerge w:val="continue"/>
                  <w:tcBorders>
                    <w:top w:val="single" w:color="auto" w:sz="2" w:space="0"/>
                    <w:left w:val="single" w:color="auto" w:sz="4" w:space="0"/>
                    <w:bottom w:val="single" w:color="auto" w:sz="4" w:space="0"/>
                    <w:right w:val="single" w:color="auto" w:sz="4" w:space="0"/>
                  </w:tcBorders>
                  <w:shd w:val="clear" w:color="auto" w:fill="auto"/>
                  <w:vAlign w:val="center"/>
                </w:tcPr>
                <w:p w14:paraId="35E5A82B">
                  <w:pPr>
                    <w:widowControl/>
                    <w:spacing w:line="240" w:lineRule="auto"/>
                    <w:jc w:val="center"/>
                    <w:textAlignment w:val="center"/>
                    <w:rPr>
                      <w:rFonts w:hint="eastAsia" w:cs="宋体"/>
                      <w:color w:val="auto"/>
                      <w:kern w:val="0"/>
                      <w:sz w:val="18"/>
                      <w:szCs w:val="18"/>
                      <w:lang w:val="en-US" w:eastAsia="zh-CN" w:bidi="ar"/>
                    </w:rPr>
                  </w:pPr>
                </w:p>
              </w:tc>
              <w:tc>
                <w:tcPr>
                  <w:tcW w:w="557" w:type="pct"/>
                  <w:tcBorders>
                    <w:top w:val="single" w:color="auto" w:sz="2" w:space="0"/>
                    <w:left w:val="single" w:color="auto" w:sz="4" w:space="0"/>
                    <w:bottom w:val="single" w:color="auto" w:sz="4" w:space="0"/>
                  </w:tcBorders>
                  <w:shd w:val="clear" w:color="auto" w:fill="auto"/>
                  <w:vAlign w:val="center"/>
                </w:tcPr>
                <w:p w14:paraId="600CEDF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风险防范</w:t>
                  </w:r>
                </w:p>
              </w:tc>
              <w:tc>
                <w:tcPr>
                  <w:tcW w:w="1389" w:type="pct"/>
                  <w:tcBorders>
                    <w:top w:val="single" w:color="auto" w:sz="2" w:space="0"/>
                    <w:bottom w:val="single" w:color="auto" w:sz="4" w:space="0"/>
                    <w:right w:val="single" w:color="auto" w:sz="4" w:space="0"/>
                  </w:tcBorders>
                  <w:shd w:val="clear" w:color="auto" w:fill="auto"/>
                  <w:vAlign w:val="center"/>
                </w:tcPr>
                <w:p w14:paraId="52989E1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应急事故池容积为270 m</w:t>
                  </w:r>
                  <w:r>
                    <w:rPr>
                      <w:rFonts w:hint="eastAsia" w:cs="宋体"/>
                      <w:color w:val="auto"/>
                      <w:kern w:val="0"/>
                      <w:sz w:val="18"/>
                      <w:szCs w:val="18"/>
                      <w:vertAlign w:val="superscript"/>
                      <w:lang w:val="en-US" w:eastAsia="zh-CN" w:bidi="ar"/>
                    </w:rPr>
                    <w:t>3</w:t>
                  </w:r>
                  <w:r>
                    <w:rPr>
                      <w:rFonts w:hint="eastAsia" w:cs="宋体"/>
                      <w:color w:val="auto"/>
                      <w:kern w:val="0"/>
                      <w:sz w:val="18"/>
                      <w:szCs w:val="18"/>
                      <w:lang w:val="en-US" w:eastAsia="zh-CN" w:bidi="ar"/>
                    </w:rPr>
                    <w:t>。</w:t>
                  </w:r>
                </w:p>
              </w:tc>
              <w:tc>
                <w:tcPr>
                  <w:tcW w:w="1056" w:type="pct"/>
                  <w:tcBorders>
                    <w:top w:val="single" w:color="auto" w:sz="2" w:space="0"/>
                    <w:bottom w:val="single" w:color="auto" w:sz="4" w:space="0"/>
                    <w:right w:val="single" w:color="auto" w:sz="4" w:space="0"/>
                  </w:tcBorders>
                  <w:shd w:val="clear" w:color="auto" w:fill="auto"/>
                  <w:vAlign w:val="center"/>
                </w:tcPr>
                <w:p w14:paraId="26B0D7A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57" w:type="pct"/>
                  <w:tcBorders>
                    <w:top w:val="single" w:color="auto" w:sz="2" w:space="0"/>
                    <w:bottom w:val="single" w:color="auto" w:sz="4" w:space="0"/>
                    <w:right w:val="single" w:color="auto" w:sz="4" w:space="0"/>
                  </w:tcBorders>
                  <w:shd w:val="clear" w:color="auto" w:fill="auto"/>
                  <w:vAlign w:val="center"/>
                </w:tcPr>
                <w:p w14:paraId="0E76240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应急事故池容积为270 m</w:t>
                  </w:r>
                  <w:r>
                    <w:rPr>
                      <w:rFonts w:hint="eastAsia" w:cs="宋体"/>
                      <w:color w:val="auto"/>
                      <w:kern w:val="0"/>
                      <w:sz w:val="18"/>
                      <w:szCs w:val="18"/>
                      <w:vertAlign w:val="superscript"/>
                      <w:lang w:val="en-US" w:eastAsia="zh-CN" w:bidi="ar"/>
                    </w:rPr>
                    <w:t>3</w:t>
                  </w:r>
                  <w:r>
                    <w:rPr>
                      <w:rFonts w:hint="eastAsia" w:cs="宋体"/>
                      <w:color w:val="auto"/>
                      <w:kern w:val="0"/>
                      <w:sz w:val="18"/>
                      <w:szCs w:val="18"/>
                      <w:lang w:val="en-US" w:eastAsia="zh-CN" w:bidi="ar"/>
                    </w:rPr>
                    <w:t>。</w:t>
                  </w:r>
                </w:p>
              </w:tc>
              <w:tc>
                <w:tcPr>
                  <w:tcW w:w="357" w:type="pct"/>
                  <w:tcBorders>
                    <w:top w:val="single" w:color="auto" w:sz="2" w:space="0"/>
                    <w:bottom w:val="single" w:color="auto" w:sz="4" w:space="0"/>
                    <w:right w:val="single" w:color="auto" w:sz="4" w:space="0"/>
                  </w:tcBorders>
                  <w:shd w:val="clear" w:color="auto" w:fill="auto"/>
                  <w:vAlign w:val="center"/>
                </w:tcPr>
                <w:p w14:paraId="1AE6A1A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w:t>
                  </w:r>
                </w:p>
              </w:tc>
            </w:tr>
          </w:tbl>
          <w:p w14:paraId="2FC53095">
            <w:pPr>
              <w:numPr>
                <w:ilvl w:val="0"/>
                <w:numId w:val="22"/>
              </w:numPr>
              <w:ind w:firstLine="480" w:firstLineChars="200"/>
              <w:rPr>
                <w:rFonts w:hint="eastAsia"/>
                <w:color w:val="auto"/>
                <w:szCs w:val="24"/>
                <w:lang w:val="en-US" w:eastAsia="zh-CN"/>
              </w:rPr>
            </w:pPr>
            <w:r>
              <w:rPr>
                <w:rFonts w:hint="eastAsia"/>
                <w:color w:val="auto"/>
                <w:szCs w:val="24"/>
                <w:lang w:val="en-US" w:eastAsia="zh-CN"/>
              </w:rPr>
              <w:t>项目依托工程可行性分析</w:t>
            </w:r>
          </w:p>
          <w:p w14:paraId="2F6FF566">
            <w:pPr>
              <w:ind w:firstLine="480" w:firstLineChars="200"/>
              <w:rPr>
                <w:rFonts w:hint="default"/>
                <w:color w:val="auto"/>
                <w:szCs w:val="24"/>
                <w:lang w:val="en-US" w:eastAsia="zh-CN"/>
              </w:rPr>
            </w:pPr>
            <w:r>
              <w:rPr>
                <w:rFonts w:hint="eastAsia"/>
                <w:color w:val="auto"/>
                <w:szCs w:val="24"/>
              </w:rPr>
              <w:t>本项目依托现有</w:t>
            </w:r>
            <w:r>
              <w:rPr>
                <w:rFonts w:hint="eastAsia"/>
                <w:color w:val="auto"/>
                <w:szCs w:val="24"/>
                <w:lang w:val="en-US" w:eastAsia="zh-CN"/>
              </w:rPr>
              <w:t>工程</w:t>
            </w:r>
            <w:r>
              <w:rPr>
                <w:rFonts w:hint="eastAsia"/>
                <w:color w:val="auto"/>
                <w:szCs w:val="24"/>
              </w:rPr>
              <w:t>的</w:t>
            </w:r>
            <w:r>
              <w:rPr>
                <w:rFonts w:hint="default"/>
                <w:color w:val="auto"/>
                <w:szCs w:val="24"/>
                <w:lang w:val="en-US" w:eastAsia="zh-CN"/>
              </w:rPr>
              <w:t>7#</w:t>
            </w:r>
            <w:r>
              <w:rPr>
                <w:rFonts w:hint="eastAsia"/>
                <w:color w:val="auto"/>
                <w:szCs w:val="24"/>
                <w:lang w:val="en-US" w:eastAsia="zh-CN"/>
              </w:rPr>
              <w:t>厂房、成品及原料仓库</w:t>
            </w:r>
            <w:r>
              <w:rPr>
                <w:rFonts w:hint="eastAsia"/>
                <w:color w:val="auto"/>
                <w:szCs w:val="24"/>
              </w:rPr>
              <w:t>、</w:t>
            </w:r>
            <w:r>
              <w:rPr>
                <w:rFonts w:hint="eastAsia"/>
                <w:color w:val="auto"/>
                <w:szCs w:val="24"/>
                <w:lang w:val="en-US" w:eastAsia="zh-CN"/>
              </w:rPr>
              <w:t>倒班宿舍</w:t>
            </w:r>
            <w:r>
              <w:rPr>
                <w:rFonts w:hint="eastAsia"/>
                <w:color w:val="auto"/>
                <w:szCs w:val="24"/>
                <w:lang w:eastAsia="zh-CN"/>
              </w:rPr>
              <w:t>、</w:t>
            </w:r>
            <w:r>
              <w:rPr>
                <w:rFonts w:hint="eastAsia"/>
                <w:color w:val="auto"/>
                <w:szCs w:val="24"/>
                <w:lang w:val="en-US" w:eastAsia="zh-CN"/>
              </w:rPr>
              <w:t>一般固废库、危废库等，依托可行性如下：</w:t>
            </w:r>
          </w:p>
          <w:p w14:paraId="0C9A08A4">
            <w:pPr>
              <w:bidi w:val="0"/>
              <w:jc w:val="center"/>
              <w:rPr>
                <w:rFonts w:hint="eastAsia" w:ascii="黑体" w:hAnsi="黑体" w:eastAsia="黑体"/>
                <w:color w:val="auto"/>
                <w:szCs w:val="24"/>
                <w:highlight w:val="yellow"/>
              </w:rPr>
            </w:pPr>
            <w:r>
              <w:rPr>
                <w:rFonts w:ascii="黑体" w:hAnsi="黑体" w:eastAsia="黑体"/>
                <w:color w:val="auto"/>
                <w:szCs w:val="24"/>
                <w:highlight w:val="none"/>
              </w:rPr>
              <w:t>表</w:t>
            </w:r>
            <w:r>
              <w:rPr>
                <w:rFonts w:eastAsia="黑体"/>
                <w:color w:val="auto"/>
                <w:szCs w:val="24"/>
                <w:highlight w:val="none"/>
              </w:rPr>
              <w:t>2-</w:t>
            </w:r>
            <w:r>
              <w:rPr>
                <w:rFonts w:hint="eastAsia" w:eastAsia="黑体"/>
                <w:color w:val="auto"/>
                <w:szCs w:val="24"/>
                <w:highlight w:val="none"/>
                <w:lang w:val="en-US" w:eastAsia="zh-CN"/>
              </w:rPr>
              <w:t>3</w:t>
            </w:r>
            <w:r>
              <w:rPr>
                <w:rFonts w:ascii="黑体" w:hAnsi="黑体" w:eastAsia="黑体"/>
                <w:color w:val="auto"/>
                <w:szCs w:val="24"/>
                <w:highlight w:val="none"/>
              </w:rPr>
              <w:t xml:space="preserve">  </w:t>
            </w:r>
            <w:r>
              <w:rPr>
                <w:rFonts w:hint="eastAsia" w:ascii="黑体" w:hAnsi="黑体" w:eastAsia="黑体"/>
                <w:color w:val="auto"/>
                <w:szCs w:val="24"/>
                <w:highlight w:val="none"/>
              </w:rPr>
              <w:t>拟建设项目</w:t>
            </w:r>
            <w:r>
              <w:rPr>
                <w:rFonts w:hint="eastAsia" w:ascii="黑体" w:hAnsi="黑体" w:eastAsia="黑体"/>
                <w:color w:val="auto"/>
                <w:szCs w:val="24"/>
                <w:highlight w:val="none"/>
                <w:lang w:val="en-US" w:eastAsia="zh-CN"/>
              </w:rPr>
              <w:t>与现有项目依托关系</w:t>
            </w:r>
            <w:r>
              <w:rPr>
                <w:rFonts w:hint="eastAsia" w:ascii="黑体" w:hAnsi="黑体" w:eastAsia="黑体"/>
                <w:color w:val="auto"/>
                <w:szCs w:val="24"/>
                <w:highlight w:val="none"/>
              </w:rPr>
              <w:t>表</w:t>
            </w:r>
          </w:p>
          <w:tbl>
            <w:tblPr>
              <w:tblStyle w:val="69"/>
              <w:tblW w:w="4997" w:type="pct"/>
              <w:tblInd w:w="0" w:type="dxa"/>
              <w:tblLayout w:type="fixed"/>
              <w:tblCellMar>
                <w:top w:w="0" w:type="dxa"/>
                <w:left w:w="108" w:type="dxa"/>
                <w:bottom w:w="0" w:type="dxa"/>
                <w:right w:w="108" w:type="dxa"/>
              </w:tblCellMar>
            </w:tblPr>
            <w:tblGrid>
              <w:gridCol w:w="701"/>
              <w:gridCol w:w="396"/>
              <w:gridCol w:w="743"/>
              <w:gridCol w:w="2133"/>
              <w:gridCol w:w="2271"/>
              <w:gridCol w:w="2193"/>
              <w:gridCol w:w="642"/>
            </w:tblGrid>
            <w:tr w14:paraId="4DD5D4BD">
              <w:tblPrEx>
                <w:tblCellMar>
                  <w:top w:w="0" w:type="dxa"/>
                  <w:left w:w="108" w:type="dxa"/>
                  <w:bottom w:w="0" w:type="dxa"/>
                  <w:right w:w="108" w:type="dxa"/>
                </w:tblCellMar>
              </w:tblPrEx>
              <w:trPr>
                <w:trHeight w:val="90" w:hRule="atLeast"/>
              </w:trPr>
              <w:tc>
                <w:tcPr>
                  <w:tcW w:w="386" w:type="pct"/>
                  <w:tcBorders>
                    <w:top w:val="single" w:color="auto" w:sz="4" w:space="0"/>
                    <w:left w:val="single" w:color="auto" w:sz="4" w:space="0"/>
                    <w:bottom w:val="single" w:color="auto" w:sz="4" w:space="0"/>
                    <w:right w:val="single" w:color="auto" w:sz="4" w:space="0"/>
                  </w:tcBorders>
                  <w:shd w:val="clear" w:color="auto" w:fill="auto"/>
                  <w:vAlign w:val="center"/>
                </w:tcPr>
                <w:p w14:paraId="092B035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工程类别</w:t>
                  </w:r>
                </w:p>
              </w:tc>
              <w:tc>
                <w:tcPr>
                  <w:tcW w:w="62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AB05E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单项工程名称</w:t>
                  </w:r>
                </w:p>
              </w:tc>
              <w:tc>
                <w:tcPr>
                  <w:tcW w:w="1174" w:type="pct"/>
                  <w:tcBorders>
                    <w:top w:val="single" w:color="auto" w:sz="4" w:space="0"/>
                    <w:left w:val="single" w:color="auto" w:sz="4" w:space="0"/>
                    <w:bottom w:val="single" w:color="auto" w:sz="4" w:space="0"/>
                    <w:right w:val="single" w:color="auto" w:sz="4" w:space="0"/>
                  </w:tcBorders>
                  <w:shd w:val="clear" w:color="auto" w:fill="auto"/>
                  <w:vAlign w:val="center"/>
                </w:tcPr>
                <w:p w14:paraId="56FFCB36">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现有设计规模</w:t>
                  </w:r>
                </w:p>
              </w:tc>
              <w:tc>
                <w:tcPr>
                  <w:tcW w:w="1250" w:type="pct"/>
                  <w:tcBorders>
                    <w:top w:val="single" w:color="auto" w:sz="4" w:space="0"/>
                    <w:left w:val="single" w:color="auto" w:sz="4" w:space="0"/>
                    <w:bottom w:val="single" w:color="auto" w:sz="4" w:space="0"/>
                    <w:right w:val="single" w:color="auto" w:sz="4" w:space="0"/>
                  </w:tcBorders>
                  <w:shd w:val="clear" w:color="auto" w:fill="auto"/>
                  <w:vAlign w:val="center"/>
                </w:tcPr>
                <w:p w14:paraId="7173EEF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现有使用规模及剩余规模</w:t>
                  </w:r>
                </w:p>
              </w:tc>
              <w:tc>
                <w:tcPr>
                  <w:tcW w:w="1207" w:type="pct"/>
                  <w:tcBorders>
                    <w:top w:val="single" w:color="auto" w:sz="4" w:space="0"/>
                    <w:left w:val="single" w:color="auto" w:sz="4" w:space="0"/>
                    <w:bottom w:val="single" w:color="auto" w:sz="4" w:space="0"/>
                    <w:right w:val="single" w:color="auto" w:sz="4" w:space="0"/>
                  </w:tcBorders>
                  <w:shd w:val="clear" w:color="auto" w:fill="auto"/>
                  <w:vAlign w:val="center"/>
                </w:tcPr>
                <w:p w14:paraId="5035D1AE">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本次新增规模</w:t>
                  </w:r>
                </w:p>
              </w:tc>
              <w:tc>
                <w:tcPr>
                  <w:tcW w:w="353" w:type="pct"/>
                  <w:tcBorders>
                    <w:top w:val="single" w:color="auto" w:sz="4" w:space="0"/>
                    <w:left w:val="single" w:color="auto" w:sz="4" w:space="0"/>
                    <w:bottom w:val="single" w:color="auto" w:sz="4" w:space="0"/>
                    <w:right w:val="single" w:color="auto" w:sz="4" w:space="0"/>
                  </w:tcBorders>
                  <w:shd w:val="clear" w:color="auto" w:fill="auto"/>
                  <w:vAlign w:val="center"/>
                </w:tcPr>
                <w:p w14:paraId="2C7D4547">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依托关系</w:t>
                  </w:r>
                </w:p>
              </w:tc>
            </w:tr>
            <w:tr w14:paraId="65C39073">
              <w:tblPrEx>
                <w:tblCellMar>
                  <w:top w:w="0" w:type="dxa"/>
                  <w:left w:w="108" w:type="dxa"/>
                  <w:bottom w:w="0" w:type="dxa"/>
                  <w:right w:w="108" w:type="dxa"/>
                </w:tblCellMar>
              </w:tblPrEx>
              <w:trPr>
                <w:trHeight w:val="340" w:hRule="atLeast"/>
              </w:trPr>
              <w:tc>
                <w:tcPr>
                  <w:tcW w:w="386" w:type="pct"/>
                  <w:tcBorders>
                    <w:top w:val="single" w:color="auto" w:sz="4" w:space="0"/>
                    <w:left w:val="single" w:color="000000" w:sz="4" w:space="0"/>
                    <w:bottom w:val="single" w:color="000000" w:sz="4" w:space="0"/>
                    <w:right w:val="single" w:color="000000" w:sz="4" w:space="0"/>
                  </w:tcBorders>
                  <w:shd w:val="clear" w:color="auto" w:fill="auto"/>
                  <w:vAlign w:val="center"/>
                </w:tcPr>
                <w:p w14:paraId="361B96E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主体工程</w:t>
                  </w:r>
                </w:p>
              </w:tc>
              <w:tc>
                <w:tcPr>
                  <w:tcW w:w="627" w:type="pct"/>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5CDF8076">
                  <w:pPr>
                    <w:widowControl/>
                    <w:spacing w:line="240" w:lineRule="auto"/>
                    <w:jc w:val="center"/>
                    <w:textAlignment w:val="center"/>
                    <w:rPr>
                      <w:rFonts w:cs="宋体"/>
                      <w:color w:val="auto"/>
                      <w:sz w:val="18"/>
                      <w:szCs w:val="18"/>
                    </w:rPr>
                  </w:pPr>
                  <w:r>
                    <w:rPr>
                      <w:rFonts w:hint="eastAsia" w:cs="宋体"/>
                      <w:color w:val="auto"/>
                      <w:kern w:val="0"/>
                      <w:sz w:val="18"/>
                      <w:szCs w:val="18"/>
                      <w:lang w:val="en-US" w:eastAsia="zh-CN" w:bidi="ar"/>
                    </w:rPr>
                    <w:t>7#厂房</w:t>
                  </w:r>
                </w:p>
              </w:tc>
              <w:tc>
                <w:tcPr>
                  <w:tcW w:w="1174" w:type="pct"/>
                  <w:tcBorders>
                    <w:top w:val="single" w:color="auto" w:sz="4" w:space="0"/>
                    <w:left w:val="single" w:color="000000" w:sz="4" w:space="0"/>
                    <w:bottom w:val="single" w:color="000000" w:sz="4" w:space="0"/>
                    <w:right w:val="single" w:color="000000" w:sz="4" w:space="0"/>
                  </w:tcBorders>
                  <w:shd w:val="clear" w:color="auto" w:fill="auto"/>
                  <w:vAlign w:val="center"/>
                </w:tcPr>
                <w:p w14:paraId="34DD18DF">
                  <w:pPr>
                    <w:widowControl/>
                    <w:spacing w:line="240" w:lineRule="auto"/>
                    <w:jc w:val="center"/>
                    <w:textAlignment w:val="center"/>
                    <w:rPr>
                      <w:rFonts w:cs="宋体"/>
                      <w:color w:val="auto"/>
                      <w:sz w:val="18"/>
                      <w:szCs w:val="18"/>
                    </w:rPr>
                  </w:pPr>
                  <w:r>
                    <w:rPr>
                      <w:rFonts w:hint="eastAsia" w:cs="宋体"/>
                      <w:color w:val="auto"/>
                      <w:kern w:val="0"/>
                      <w:sz w:val="18"/>
                      <w:szCs w:val="18"/>
                      <w:lang w:val="en-US" w:eastAsia="zh-CN" w:bidi="ar"/>
                    </w:rPr>
                    <w:t>1层</w:t>
                  </w:r>
                  <w:r>
                    <w:rPr>
                      <w:rFonts w:hint="eastAsia" w:cs="宋体"/>
                      <w:color w:val="auto"/>
                      <w:kern w:val="0"/>
                      <w:sz w:val="18"/>
                      <w:szCs w:val="18"/>
                      <w:lang w:bidi="ar"/>
                    </w:rPr>
                    <w:t>，</w:t>
                  </w:r>
                  <w:r>
                    <w:rPr>
                      <w:rFonts w:hint="eastAsia" w:cs="宋体"/>
                      <w:color w:val="auto"/>
                      <w:kern w:val="0"/>
                      <w:sz w:val="18"/>
                      <w:szCs w:val="18"/>
                      <w:lang w:val="en-US" w:eastAsia="zh-CN" w:bidi="ar"/>
                    </w:rPr>
                    <w:t>建筑面积31605m</w:t>
                  </w:r>
                  <w:r>
                    <w:rPr>
                      <w:rFonts w:hint="eastAsia" w:cs="宋体"/>
                      <w:color w:val="auto"/>
                      <w:kern w:val="0"/>
                      <w:sz w:val="18"/>
                      <w:szCs w:val="18"/>
                      <w:vertAlign w:val="superscript"/>
                      <w:lang w:val="en-US" w:eastAsia="zh-CN" w:bidi="ar"/>
                    </w:rPr>
                    <w:t>2</w:t>
                  </w:r>
                  <w:r>
                    <w:rPr>
                      <w:rFonts w:hint="eastAsia" w:cs="宋体"/>
                      <w:color w:val="auto"/>
                      <w:kern w:val="0"/>
                      <w:sz w:val="18"/>
                      <w:szCs w:val="18"/>
                      <w:lang w:bidi="ar"/>
                    </w:rPr>
                    <w:t>。</w:t>
                  </w:r>
                </w:p>
              </w:tc>
              <w:tc>
                <w:tcPr>
                  <w:tcW w:w="1250" w:type="pct"/>
                  <w:tcBorders>
                    <w:top w:val="single" w:color="auto" w:sz="4" w:space="0"/>
                    <w:left w:val="single" w:color="000000" w:sz="4" w:space="0"/>
                    <w:bottom w:val="single" w:color="000000" w:sz="4" w:space="0"/>
                    <w:right w:val="single" w:color="000000" w:sz="4" w:space="0"/>
                  </w:tcBorders>
                  <w:shd w:val="clear" w:color="auto" w:fill="auto"/>
                  <w:vAlign w:val="center"/>
                </w:tcPr>
                <w:p w14:paraId="02360E72">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1层</w:t>
                  </w:r>
                  <w:r>
                    <w:rPr>
                      <w:rFonts w:hint="eastAsia" w:cs="宋体"/>
                      <w:color w:val="auto"/>
                      <w:kern w:val="0"/>
                      <w:sz w:val="18"/>
                      <w:szCs w:val="18"/>
                      <w:lang w:bidi="ar"/>
                    </w:rPr>
                    <w:t>，</w:t>
                  </w:r>
                  <w:r>
                    <w:rPr>
                      <w:rFonts w:hint="eastAsia" w:cs="宋体"/>
                      <w:color w:val="auto"/>
                      <w:kern w:val="0"/>
                      <w:sz w:val="18"/>
                      <w:szCs w:val="18"/>
                      <w:lang w:val="en-US" w:eastAsia="zh-CN" w:bidi="ar"/>
                    </w:rPr>
                    <w:t>建筑面积31605</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s="宋体"/>
                      <w:color w:val="auto"/>
                      <w:kern w:val="0"/>
                      <w:sz w:val="18"/>
                      <w:szCs w:val="18"/>
                      <w:vertAlign w:val="baseline"/>
                      <w:lang w:val="en-US" w:eastAsia="zh-CN" w:bidi="ar"/>
                    </w:rPr>
                    <w:t>已使用面积18000</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s="宋体"/>
                      <w:color w:val="auto"/>
                      <w:kern w:val="0"/>
                      <w:sz w:val="18"/>
                      <w:szCs w:val="18"/>
                      <w:lang w:val="en-US" w:eastAsia="zh-CN" w:bidi="ar"/>
                    </w:rPr>
                    <w:t>车间西侧为成品包装区，中间为精加工生产区及仓库</w:t>
                  </w:r>
                  <w:r>
                    <w:rPr>
                      <w:rFonts w:hint="eastAsia" w:cs="宋体"/>
                      <w:color w:val="auto"/>
                      <w:kern w:val="0"/>
                      <w:sz w:val="18"/>
                      <w:szCs w:val="18"/>
                      <w:lang w:bidi="ar"/>
                    </w:rPr>
                    <w:t>。</w:t>
                  </w:r>
                  <w:r>
                    <w:rPr>
                      <w:rFonts w:hint="eastAsia" w:cs="宋体"/>
                      <w:color w:val="auto"/>
                      <w:kern w:val="0"/>
                      <w:sz w:val="18"/>
                      <w:szCs w:val="18"/>
                      <w:lang w:val="en-US" w:eastAsia="zh-CN" w:bidi="ar"/>
                    </w:rPr>
                    <w:t>厂房剩余面积12005</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lang w:bidi="ar"/>
                    </w:rPr>
                    <w:t>。</w:t>
                  </w:r>
                </w:p>
              </w:tc>
              <w:tc>
                <w:tcPr>
                  <w:tcW w:w="1207" w:type="pct"/>
                  <w:tcBorders>
                    <w:top w:val="single" w:color="auto" w:sz="4" w:space="0"/>
                    <w:left w:val="single" w:color="000000" w:sz="4" w:space="0"/>
                    <w:bottom w:val="single" w:color="000000" w:sz="4" w:space="0"/>
                    <w:right w:val="single" w:color="000000" w:sz="4" w:space="0"/>
                  </w:tcBorders>
                  <w:shd w:val="clear" w:color="auto" w:fill="auto"/>
                  <w:vAlign w:val="center"/>
                </w:tcPr>
                <w:p w14:paraId="5D9740DB">
                  <w:pPr>
                    <w:widowControl/>
                    <w:spacing w:line="240" w:lineRule="auto"/>
                    <w:jc w:val="center"/>
                    <w:textAlignment w:val="center"/>
                    <w:rPr>
                      <w:rFonts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本项目新增</w:t>
                  </w:r>
                  <w:r>
                    <w:rPr>
                      <w:rFonts w:hint="eastAsia" w:cs="宋体"/>
                      <w:color w:val="auto"/>
                      <w:kern w:val="0"/>
                      <w:sz w:val="18"/>
                      <w:szCs w:val="18"/>
                      <w:lang w:val="en-US" w:eastAsia="zh-CN" w:bidi="ar"/>
                    </w:rPr>
                    <w:t>高端工业铝材浇铸件生产线1条</w:t>
                  </w:r>
                  <w:r>
                    <w:rPr>
                      <w:rFonts w:hint="eastAsia" w:cs="宋体"/>
                      <w:color w:val="auto"/>
                      <w:kern w:val="0"/>
                      <w:sz w:val="18"/>
                      <w:szCs w:val="18"/>
                      <w:lang w:eastAsia="zh-CN" w:bidi="ar"/>
                    </w:rPr>
                    <w:t>，</w:t>
                  </w:r>
                  <w:r>
                    <w:rPr>
                      <w:rFonts w:hint="eastAsia" w:cs="宋体"/>
                      <w:color w:val="auto"/>
                      <w:kern w:val="0"/>
                      <w:sz w:val="18"/>
                      <w:szCs w:val="18"/>
                      <w:lang w:val="en-US" w:eastAsia="zh-CN" w:bidi="ar"/>
                    </w:rPr>
                    <w:t>需面积约5500</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s="宋体"/>
                      <w:color w:val="auto"/>
                      <w:kern w:val="0"/>
                      <w:sz w:val="18"/>
                      <w:szCs w:val="18"/>
                      <w:lang w:eastAsia="zh-CN" w:bidi="ar"/>
                    </w:rPr>
                    <w:t>该厂房面积可满足项目实施</w:t>
                  </w:r>
                  <w:r>
                    <w:rPr>
                      <w:rFonts w:hint="eastAsia" w:cs="宋体"/>
                      <w:color w:val="auto"/>
                      <w:kern w:val="0"/>
                      <w:sz w:val="18"/>
                      <w:szCs w:val="18"/>
                      <w:lang w:bidi="ar"/>
                    </w:rPr>
                    <w:t>。</w:t>
                  </w:r>
                </w:p>
              </w:tc>
              <w:tc>
                <w:tcPr>
                  <w:tcW w:w="353" w:type="pct"/>
                  <w:tcBorders>
                    <w:top w:val="single" w:color="auto" w:sz="4" w:space="0"/>
                    <w:left w:val="single" w:color="000000" w:sz="4" w:space="0"/>
                    <w:bottom w:val="single" w:color="000000" w:sz="4" w:space="0"/>
                    <w:right w:val="single" w:color="000000" w:sz="4" w:space="0"/>
                  </w:tcBorders>
                  <w:shd w:val="clear" w:color="auto" w:fill="auto"/>
                  <w:vAlign w:val="center"/>
                </w:tcPr>
                <w:p w14:paraId="3BC3B8A4">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0F7154C3">
              <w:tblPrEx>
                <w:tblCellMar>
                  <w:top w:w="0" w:type="dxa"/>
                  <w:left w:w="108" w:type="dxa"/>
                  <w:bottom w:w="0" w:type="dxa"/>
                  <w:right w:w="108" w:type="dxa"/>
                </w:tblCellMar>
              </w:tblPrEx>
              <w:trPr>
                <w:trHeight w:val="340" w:hRule="atLeast"/>
              </w:trPr>
              <w:tc>
                <w:tcPr>
                  <w:tcW w:w="386" w:type="pct"/>
                  <w:vMerge w:val="restart"/>
                  <w:tcBorders>
                    <w:top w:val="single" w:color="000000" w:sz="4" w:space="0"/>
                    <w:left w:val="single" w:color="000000" w:sz="4" w:space="0"/>
                    <w:right w:val="single" w:color="000000" w:sz="4" w:space="0"/>
                  </w:tcBorders>
                  <w:shd w:val="clear" w:color="auto" w:fill="auto"/>
                  <w:vAlign w:val="center"/>
                </w:tcPr>
                <w:p w14:paraId="5D772A6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辅助工程</w:t>
                  </w:r>
                </w:p>
              </w:tc>
              <w:tc>
                <w:tcPr>
                  <w:tcW w:w="62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C658E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门卫</w:t>
                  </w:r>
                  <w:bookmarkStart w:id="25" w:name="OLE_LINK11"/>
                  <w:r>
                    <w:rPr>
                      <w:rFonts w:hint="eastAsia" w:cs="宋体"/>
                      <w:color w:val="auto"/>
                      <w:kern w:val="0"/>
                      <w:sz w:val="18"/>
                      <w:szCs w:val="18"/>
                      <w:lang w:val="en-US" w:eastAsia="zh-CN" w:bidi="ar"/>
                    </w:rPr>
                    <w:t>室</w:t>
                  </w:r>
                  <w:bookmarkEnd w:id="25"/>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D4FA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1个，位于厂区南部中央位置（50m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21385">
                  <w:pPr>
                    <w:widowControl/>
                    <w:spacing w:line="240" w:lineRule="auto"/>
                    <w:jc w:val="center"/>
                    <w:textAlignment w:val="center"/>
                    <w:rPr>
                      <w:rFonts w:hint="eastAsia"/>
                      <w:color w:val="auto"/>
                      <w:kern w:val="0"/>
                      <w:sz w:val="18"/>
                      <w:szCs w:val="18"/>
                      <w:lang w:bidi="ar"/>
                    </w:rPr>
                  </w:pPr>
                  <w:r>
                    <w:rPr>
                      <w:rFonts w:hint="eastAsia" w:cs="宋体"/>
                      <w:color w:val="auto"/>
                      <w:kern w:val="0"/>
                      <w:sz w:val="18"/>
                      <w:szCs w:val="18"/>
                      <w:lang w:val="en-US" w:eastAsia="zh-CN" w:bidi="ar"/>
                    </w:rPr>
                    <w:t>/</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A2CF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olor w:val="auto"/>
                      <w:kern w:val="0"/>
                      <w:sz w:val="18"/>
                      <w:szCs w:val="18"/>
                      <w:lang w:bidi="ar"/>
                    </w:rPr>
                    <w:t>本项目</w:t>
                  </w:r>
                  <w:r>
                    <w:rPr>
                      <w:rFonts w:hint="eastAsia"/>
                      <w:color w:val="auto"/>
                      <w:kern w:val="0"/>
                      <w:sz w:val="18"/>
                      <w:szCs w:val="18"/>
                      <w:lang w:val="en-US" w:eastAsia="zh-CN" w:bidi="ar"/>
                    </w:rPr>
                    <w:t>可直接依托。</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C4590">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1733553D">
              <w:tblPrEx>
                <w:tblCellMar>
                  <w:top w:w="0" w:type="dxa"/>
                  <w:left w:w="108" w:type="dxa"/>
                  <w:bottom w:w="0" w:type="dxa"/>
                  <w:right w:w="108" w:type="dxa"/>
                </w:tblCellMar>
              </w:tblPrEx>
              <w:trPr>
                <w:trHeight w:val="340" w:hRule="atLeast"/>
              </w:trPr>
              <w:tc>
                <w:tcPr>
                  <w:tcW w:w="386" w:type="pct"/>
                  <w:vMerge w:val="continue"/>
                  <w:tcBorders>
                    <w:left w:val="single" w:color="000000" w:sz="4" w:space="0"/>
                    <w:bottom w:val="single" w:color="auto" w:sz="4" w:space="0"/>
                    <w:right w:val="single" w:color="000000" w:sz="4" w:space="0"/>
                  </w:tcBorders>
                  <w:shd w:val="clear" w:color="auto" w:fill="auto"/>
                  <w:vAlign w:val="center"/>
                </w:tcPr>
                <w:p w14:paraId="11411E4B">
                  <w:pPr>
                    <w:widowControl/>
                    <w:spacing w:line="240" w:lineRule="auto"/>
                    <w:jc w:val="center"/>
                    <w:textAlignment w:val="center"/>
                    <w:rPr>
                      <w:rFonts w:hint="eastAsia" w:cs="宋体"/>
                      <w:color w:val="auto"/>
                      <w:kern w:val="0"/>
                      <w:sz w:val="18"/>
                      <w:szCs w:val="18"/>
                      <w:lang w:bidi="ar"/>
                    </w:rPr>
                  </w:pPr>
                </w:p>
              </w:tc>
              <w:tc>
                <w:tcPr>
                  <w:tcW w:w="62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1AD96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倒班宿舍</w:t>
                  </w:r>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D0ED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位于厂区南角，共11层，1层为食堂；2层为活动室及阅览室；3~11层为倒班宿舍。</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14CE5">
                  <w:pPr>
                    <w:widowControl/>
                    <w:spacing w:line="240" w:lineRule="auto"/>
                    <w:jc w:val="center"/>
                    <w:textAlignment w:val="center"/>
                    <w:rPr>
                      <w:rFonts w:hint="eastAsia"/>
                      <w:color w:val="auto"/>
                      <w:kern w:val="0"/>
                      <w:sz w:val="18"/>
                      <w:szCs w:val="18"/>
                      <w:lang w:bidi="ar"/>
                    </w:rPr>
                  </w:pPr>
                  <w:r>
                    <w:rPr>
                      <w:rFonts w:hint="eastAsia" w:cs="宋体"/>
                      <w:color w:val="auto"/>
                      <w:kern w:val="0"/>
                      <w:sz w:val="18"/>
                      <w:szCs w:val="18"/>
                      <w:lang w:val="en-US" w:eastAsia="zh-CN" w:bidi="ar"/>
                    </w:rPr>
                    <w:t>本项目新增员工30人，可直接依托。</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366B4">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bidi="ar"/>
                    </w:rPr>
                    <w:t>本项目</w:t>
                  </w:r>
                  <w:r>
                    <w:rPr>
                      <w:rFonts w:hint="eastAsia"/>
                      <w:color w:val="auto"/>
                      <w:kern w:val="0"/>
                      <w:sz w:val="18"/>
                      <w:szCs w:val="18"/>
                      <w:lang w:val="en-US" w:eastAsia="zh-CN" w:bidi="ar"/>
                    </w:rPr>
                    <w:t>可直接依托</w:t>
                  </w:r>
                  <w:r>
                    <w:rPr>
                      <w:rFonts w:hint="eastAsia" w:cs="宋体"/>
                      <w:color w:val="auto"/>
                      <w:kern w:val="0"/>
                      <w:sz w:val="18"/>
                      <w:szCs w:val="18"/>
                      <w:lang w:val="en-US" w:eastAsia="zh-CN" w:bidi="ar"/>
                    </w:rPr>
                    <w:t>。</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A7F0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依托可行</w:t>
                  </w:r>
                </w:p>
              </w:tc>
            </w:tr>
            <w:tr w14:paraId="2EE921E9">
              <w:tblPrEx>
                <w:tblCellMar>
                  <w:top w:w="0" w:type="dxa"/>
                  <w:left w:w="108" w:type="dxa"/>
                  <w:bottom w:w="0" w:type="dxa"/>
                  <w:right w:w="108" w:type="dxa"/>
                </w:tblCellMar>
              </w:tblPrEx>
              <w:trPr>
                <w:trHeight w:val="340" w:hRule="atLeast"/>
              </w:trPr>
              <w:tc>
                <w:tcPr>
                  <w:tcW w:w="3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EC594B">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公用工程</w:t>
                  </w:r>
                </w:p>
              </w:tc>
              <w:tc>
                <w:tcPr>
                  <w:tcW w:w="62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706898B">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供水</w:t>
                  </w:r>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E6705">
                  <w:pPr>
                    <w:widowControl/>
                    <w:spacing w:line="240" w:lineRule="auto"/>
                    <w:jc w:val="center"/>
                    <w:textAlignment w:val="center"/>
                    <w:rPr>
                      <w:rFonts w:hint="eastAsia" w:eastAsia="宋体" w:cs="宋体"/>
                      <w:color w:val="auto"/>
                      <w:sz w:val="18"/>
                      <w:szCs w:val="18"/>
                      <w:lang w:eastAsia="zh-CN"/>
                    </w:rPr>
                  </w:pPr>
                  <w:r>
                    <w:rPr>
                      <w:rFonts w:hint="eastAsia" w:cs="宋体"/>
                      <w:color w:val="auto"/>
                      <w:kern w:val="0"/>
                      <w:sz w:val="18"/>
                      <w:szCs w:val="18"/>
                      <w:lang w:bidi="ar"/>
                    </w:rPr>
                    <w:t>由市政供水管网供给</w:t>
                  </w:r>
                  <w:r>
                    <w:rPr>
                      <w:rFonts w:hint="eastAsia" w:cs="宋体"/>
                      <w:color w:val="auto"/>
                      <w:kern w:val="0"/>
                      <w:sz w:val="18"/>
                      <w:szCs w:val="18"/>
                      <w:lang w:eastAsia="zh-CN" w:bidi="ar"/>
                    </w:rPr>
                    <w:t>，</w:t>
                  </w:r>
                  <w:r>
                    <w:rPr>
                      <w:rFonts w:hint="eastAsia" w:cs="宋体"/>
                      <w:color w:val="auto"/>
                      <w:kern w:val="0"/>
                      <w:sz w:val="18"/>
                      <w:szCs w:val="18"/>
                      <w:lang w:val="en-US" w:eastAsia="zh-CN" w:bidi="ar"/>
                    </w:rPr>
                    <w:t>用水量2000</w:t>
                  </w:r>
                  <w:r>
                    <w:rPr>
                      <w:color w:val="auto"/>
                      <w:kern w:val="0"/>
                      <w:sz w:val="18"/>
                      <w:szCs w:val="18"/>
                      <w:lang w:bidi="ar"/>
                    </w:rPr>
                    <w:t>m</w:t>
                  </w:r>
                  <w:r>
                    <w:rPr>
                      <w:color w:val="auto"/>
                      <w:kern w:val="0"/>
                      <w:sz w:val="18"/>
                      <w:szCs w:val="18"/>
                      <w:vertAlign w:val="superscript"/>
                      <w:lang w:bidi="ar"/>
                    </w:rPr>
                    <w:t>3</w:t>
                  </w:r>
                  <w:r>
                    <w:rPr>
                      <w:color w:val="auto"/>
                      <w:kern w:val="0"/>
                      <w:sz w:val="18"/>
                      <w:szCs w:val="18"/>
                      <w:lang w:bidi="ar"/>
                    </w:rPr>
                    <w:t>/d</w:t>
                  </w:r>
                  <w:r>
                    <w:rPr>
                      <w:rFonts w:hint="eastAsia"/>
                      <w:color w:val="auto"/>
                      <w:kern w:val="0"/>
                      <w:sz w:val="18"/>
                      <w:szCs w:val="18"/>
                      <w:lang w:val="en-US" w:eastAsia="zh-CN" w:bidi="ar"/>
                    </w:rPr>
                    <w:t>。</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BDD27">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bidi="ar"/>
                    </w:rPr>
                    <w:t>由市政供水管网供给，</w:t>
                  </w:r>
                  <w:r>
                    <w:rPr>
                      <w:rFonts w:hint="eastAsia" w:cs="宋体"/>
                      <w:color w:val="auto"/>
                      <w:kern w:val="0"/>
                      <w:sz w:val="18"/>
                      <w:szCs w:val="18"/>
                      <w:lang w:val="en-US" w:eastAsia="zh-CN" w:bidi="ar"/>
                    </w:rPr>
                    <w:t>现有新鲜水用水量1568.86</w:t>
                  </w:r>
                  <w:r>
                    <w:rPr>
                      <w:color w:val="auto"/>
                      <w:kern w:val="0"/>
                      <w:sz w:val="18"/>
                      <w:szCs w:val="18"/>
                      <w:lang w:bidi="ar"/>
                    </w:rPr>
                    <w:t>m</w:t>
                  </w:r>
                  <w:r>
                    <w:rPr>
                      <w:color w:val="auto"/>
                      <w:kern w:val="0"/>
                      <w:sz w:val="18"/>
                      <w:szCs w:val="18"/>
                      <w:vertAlign w:val="superscript"/>
                      <w:lang w:bidi="ar"/>
                    </w:rPr>
                    <w:t>3</w:t>
                  </w:r>
                  <w:r>
                    <w:rPr>
                      <w:color w:val="auto"/>
                      <w:kern w:val="0"/>
                      <w:sz w:val="18"/>
                      <w:szCs w:val="18"/>
                      <w:lang w:bidi="ar"/>
                    </w:rPr>
                    <w:t>/d</w:t>
                  </w:r>
                  <w:r>
                    <w:rPr>
                      <w:rFonts w:hint="eastAsia"/>
                      <w:color w:val="auto"/>
                      <w:kern w:val="0"/>
                      <w:sz w:val="18"/>
                      <w:szCs w:val="18"/>
                      <w:lang w:val="en-US" w:eastAsia="zh-CN" w:bidi="ar"/>
                    </w:rPr>
                    <w:t>。</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21FF1">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本项目新增新鲜水使用量</w:t>
                  </w:r>
                  <w:r>
                    <w:rPr>
                      <w:rFonts w:hint="eastAsia" w:cs="宋体"/>
                      <w:color w:val="auto"/>
                      <w:kern w:val="0"/>
                      <w:sz w:val="18"/>
                      <w:szCs w:val="18"/>
                      <w:lang w:val="en-US" w:eastAsia="zh-CN" w:bidi="ar"/>
                    </w:rPr>
                    <w:t>3.1</w:t>
                  </w:r>
                  <w:r>
                    <w:rPr>
                      <w:color w:val="auto"/>
                      <w:kern w:val="0"/>
                      <w:sz w:val="18"/>
                      <w:szCs w:val="18"/>
                      <w:lang w:bidi="ar"/>
                    </w:rPr>
                    <w:t>m</w:t>
                  </w:r>
                  <w:r>
                    <w:rPr>
                      <w:color w:val="auto"/>
                      <w:kern w:val="0"/>
                      <w:sz w:val="18"/>
                      <w:szCs w:val="18"/>
                      <w:vertAlign w:val="superscript"/>
                      <w:lang w:bidi="ar"/>
                    </w:rPr>
                    <w:t>3</w:t>
                  </w:r>
                  <w:r>
                    <w:rPr>
                      <w:color w:val="auto"/>
                      <w:kern w:val="0"/>
                      <w:sz w:val="18"/>
                      <w:szCs w:val="18"/>
                      <w:lang w:bidi="ar"/>
                    </w:rPr>
                    <w:t>/d</w:t>
                  </w:r>
                  <w:r>
                    <w:rPr>
                      <w:rFonts w:hint="eastAsia"/>
                      <w:color w:val="auto"/>
                      <w:kern w:val="0"/>
                      <w:sz w:val="18"/>
                      <w:szCs w:val="18"/>
                      <w:lang w:eastAsia="zh-CN" w:bidi="ar"/>
                    </w:rPr>
                    <w:t>，</w:t>
                  </w:r>
                  <w:r>
                    <w:rPr>
                      <w:rFonts w:hint="eastAsia"/>
                      <w:color w:val="auto"/>
                      <w:kern w:val="0"/>
                      <w:sz w:val="18"/>
                      <w:szCs w:val="18"/>
                      <w:lang w:val="en-US" w:eastAsia="zh-CN" w:bidi="ar"/>
                    </w:rPr>
                    <w:t>用水量较小，现有供水管网可满足要求。</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1BB9B">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5D345B8B">
              <w:tblPrEx>
                <w:tblCellMar>
                  <w:top w:w="0" w:type="dxa"/>
                  <w:left w:w="108" w:type="dxa"/>
                  <w:bottom w:w="0" w:type="dxa"/>
                  <w:right w:w="108" w:type="dxa"/>
                </w:tblCellMar>
              </w:tblPrEx>
              <w:trPr>
                <w:trHeight w:val="840"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EA05EE">
                  <w:pPr>
                    <w:widowControl/>
                    <w:spacing w:line="240" w:lineRule="auto"/>
                    <w:jc w:val="center"/>
                    <w:rPr>
                      <w:rFonts w:cs="宋体"/>
                      <w:color w:val="auto"/>
                      <w:sz w:val="18"/>
                      <w:szCs w:val="18"/>
                    </w:rPr>
                  </w:pPr>
                </w:p>
              </w:tc>
              <w:tc>
                <w:tcPr>
                  <w:tcW w:w="62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F08008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供电</w:t>
                  </w:r>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28C8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由市政供电网供给，配电电压为380/220v，设计</w:t>
                  </w:r>
                  <w:r>
                    <w:rPr>
                      <w:rFonts w:hint="eastAsia" w:cs="宋体"/>
                      <w:color w:val="auto"/>
                      <w:kern w:val="0"/>
                      <w:sz w:val="18"/>
                      <w:szCs w:val="18"/>
                      <w:lang w:val="en-US" w:eastAsia="zh-CN" w:bidi="ar"/>
                    </w:rPr>
                    <w:t>规模100万</w:t>
                  </w:r>
                  <w:r>
                    <w:rPr>
                      <w:color w:val="auto"/>
                      <w:kern w:val="0"/>
                      <w:sz w:val="18"/>
                      <w:szCs w:val="18"/>
                      <w:lang w:bidi="ar"/>
                    </w:rPr>
                    <w:t>kWh</w:t>
                  </w:r>
                  <w:r>
                    <w:rPr>
                      <w:rFonts w:hint="eastAsia"/>
                      <w:color w:val="auto"/>
                      <w:kern w:val="0"/>
                      <w:sz w:val="18"/>
                      <w:szCs w:val="18"/>
                      <w:lang w:val="en-US" w:eastAsia="zh-CN" w:bidi="ar"/>
                    </w:rPr>
                    <w:t>。</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05A5F">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现有</w:t>
                  </w:r>
                  <w:r>
                    <w:rPr>
                      <w:rFonts w:hint="eastAsia" w:cs="宋体"/>
                      <w:color w:val="auto"/>
                      <w:kern w:val="0"/>
                      <w:sz w:val="18"/>
                      <w:szCs w:val="18"/>
                      <w:lang w:bidi="ar"/>
                    </w:rPr>
                    <w:t>年用电量</w:t>
                  </w:r>
                  <w:r>
                    <w:rPr>
                      <w:rFonts w:hint="eastAsia" w:cs="宋体"/>
                      <w:color w:val="auto"/>
                      <w:kern w:val="0"/>
                      <w:sz w:val="18"/>
                      <w:szCs w:val="18"/>
                      <w:lang w:val="en-US" w:eastAsia="zh-CN" w:bidi="ar"/>
                    </w:rPr>
                    <w:t>50万</w:t>
                  </w:r>
                  <w:r>
                    <w:rPr>
                      <w:color w:val="auto"/>
                      <w:kern w:val="0"/>
                      <w:sz w:val="18"/>
                      <w:szCs w:val="18"/>
                      <w:lang w:bidi="ar"/>
                    </w:rPr>
                    <w:t>kWh</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C82C8">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本项目新增年用电量</w:t>
                  </w:r>
                  <w:r>
                    <w:rPr>
                      <w:rFonts w:hint="eastAsia" w:cs="宋体"/>
                      <w:color w:val="auto"/>
                      <w:kern w:val="0"/>
                      <w:sz w:val="18"/>
                      <w:szCs w:val="18"/>
                      <w:lang w:val="en-US" w:eastAsia="zh-CN" w:bidi="ar"/>
                    </w:rPr>
                    <w:t>3</w:t>
                  </w:r>
                  <w:r>
                    <w:rPr>
                      <w:rFonts w:hint="eastAsia" w:cs="宋体"/>
                      <w:color w:val="auto"/>
                      <w:kern w:val="0"/>
                      <w:sz w:val="18"/>
                      <w:szCs w:val="18"/>
                      <w:lang w:bidi="ar"/>
                    </w:rPr>
                    <w:t>0</w:t>
                  </w:r>
                  <w:r>
                    <w:rPr>
                      <w:rFonts w:hint="eastAsia" w:cs="宋体"/>
                      <w:color w:val="auto"/>
                      <w:kern w:val="0"/>
                      <w:sz w:val="18"/>
                      <w:szCs w:val="18"/>
                      <w:lang w:val="en-US" w:eastAsia="zh-CN" w:bidi="ar"/>
                    </w:rPr>
                    <w:t>万</w:t>
                  </w:r>
                  <w:r>
                    <w:rPr>
                      <w:color w:val="auto"/>
                      <w:kern w:val="0"/>
                      <w:sz w:val="18"/>
                      <w:szCs w:val="18"/>
                      <w:lang w:bidi="ar"/>
                    </w:rPr>
                    <w:t>kWh</w:t>
                  </w:r>
                  <w:r>
                    <w:rPr>
                      <w:rFonts w:hint="eastAsia"/>
                      <w:color w:val="auto"/>
                      <w:kern w:val="0"/>
                      <w:sz w:val="18"/>
                      <w:szCs w:val="18"/>
                      <w:lang w:eastAsia="zh-CN" w:bidi="ar"/>
                    </w:rPr>
                    <w:t>，</w:t>
                  </w:r>
                  <w:r>
                    <w:rPr>
                      <w:rFonts w:hint="eastAsia"/>
                      <w:color w:val="auto"/>
                      <w:kern w:val="0"/>
                      <w:sz w:val="18"/>
                      <w:szCs w:val="18"/>
                      <w:lang w:val="en-US" w:eastAsia="zh-CN" w:bidi="ar"/>
                    </w:rPr>
                    <w:t>现有变配电设施可满足用电要求。</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010BE">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311D052B">
              <w:tblPrEx>
                <w:tblCellMar>
                  <w:top w:w="0" w:type="dxa"/>
                  <w:left w:w="108" w:type="dxa"/>
                  <w:bottom w:w="0" w:type="dxa"/>
                  <w:right w:w="108" w:type="dxa"/>
                </w:tblCellMar>
              </w:tblPrEx>
              <w:trPr>
                <w:trHeight w:val="700"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F0BBC9">
                  <w:pPr>
                    <w:widowControl/>
                    <w:spacing w:line="240" w:lineRule="auto"/>
                    <w:jc w:val="center"/>
                    <w:rPr>
                      <w:rFonts w:cs="宋体"/>
                      <w:color w:val="auto"/>
                      <w:sz w:val="18"/>
                      <w:szCs w:val="18"/>
                    </w:rPr>
                  </w:pPr>
                </w:p>
              </w:tc>
              <w:tc>
                <w:tcPr>
                  <w:tcW w:w="62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06EB6C7">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供气</w:t>
                  </w:r>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466BF">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现有</w:t>
                  </w:r>
                  <w:r>
                    <w:rPr>
                      <w:rFonts w:hint="default" w:cs="宋体"/>
                      <w:color w:val="auto"/>
                      <w:kern w:val="0"/>
                      <w:sz w:val="18"/>
                      <w:szCs w:val="18"/>
                      <w:lang w:val="en-US" w:eastAsia="zh-CN" w:bidi="ar"/>
                    </w:rPr>
                    <w:t>项目用</w:t>
                  </w:r>
                  <w:r>
                    <w:rPr>
                      <w:rFonts w:hint="eastAsia" w:cs="宋体"/>
                      <w:color w:val="auto"/>
                      <w:kern w:val="0"/>
                      <w:sz w:val="18"/>
                      <w:szCs w:val="18"/>
                      <w:lang w:val="en-US" w:eastAsia="zh-CN" w:bidi="ar"/>
                    </w:rPr>
                    <w:t>天然气</w:t>
                  </w:r>
                  <w:r>
                    <w:rPr>
                      <w:rFonts w:hint="default" w:cs="宋体"/>
                      <w:color w:val="auto"/>
                      <w:kern w:val="0"/>
                      <w:sz w:val="18"/>
                      <w:szCs w:val="18"/>
                      <w:lang w:val="en-US" w:eastAsia="zh-CN" w:bidi="ar"/>
                    </w:rPr>
                    <w:t>由江南集中区</w:t>
                  </w:r>
                  <w:r>
                    <w:rPr>
                      <w:rFonts w:hint="eastAsia" w:cs="宋体"/>
                      <w:color w:val="auto"/>
                      <w:kern w:val="0"/>
                      <w:sz w:val="18"/>
                      <w:szCs w:val="18"/>
                      <w:lang w:val="en-US" w:eastAsia="zh-CN" w:bidi="ar"/>
                    </w:rPr>
                    <w:t>燃气管网提供</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6452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现有天然气用量190万m</w:t>
                  </w:r>
                  <w:r>
                    <w:rPr>
                      <w:rFonts w:hint="eastAsia" w:cs="宋体"/>
                      <w:color w:val="auto"/>
                      <w:kern w:val="0"/>
                      <w:sz w:val="18"/>
                      <w:szCs w:val="18"/>
                      <w:vertAlign w:val="superscript"/>
                      <w:lang w:val="en-US" w:eastAsia="zh-CN" w:bidi="ar"/>
                    </w:rPr>
                    <w:t>3</w:t>
                  </w:r>
                  <w:r>
                    <w:rPr>
                      <w:rFonts w:hint="eastAsia" w:cs="宋体"/>
                      <w:color w:val="auto"/>
                      <w:kern w:val="0"/>
                      <w:sz w:val="18"/>
                      <w:szCs w:val="18"/>
                      <w:vertAlign w:val="baseline"/>
                      <w:lang w:val="en-US" w:eastAsia="zh-CN" w:bidi="ar"/>
                    </w:rPr>
                    <w:t>/a</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28A65">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本项目新增天然气用量39万m</w:t>
                  </w:r>
                  <w:r>
                    <w:rPr>
                      <w:rFonts w:hint="eastAsia" w:cs="宋体"/>
                      <w:color w:val="auto"/>
                      <w:kern w:val="0"/>
                      <w:sz w:val="18"/>
                      <w:szCs w:val="18"/>
                      <w:vertAlign w:val="superscript"/>
                      <w:lang w:val="en-US" w:eastAsia="zh-CN" w:bidi="ar"/>
                    </w:rPr>
                    <w:t>3</w:t>
                  </w:r>
                  <w:r>
                    <w:rPr>
                      <w:rFonts w:hint="eastAsia" w:cs="宋体"/>
                      <w:color w:val="auto"/>
                      <w:kern w:val="0"/>
                      <w:sz w:val="18"/>
                      <w:szCs w:val="18"/>
                      <w:vertAlign w:val="baseline"/>
                      <w:lang w:val="en-US" w:eastAsia="zh-CN" w:bidi="ar"/>
                    </w:rPr>
                    <w:t>/a</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1D61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依托可行</w:t>
                  </w:r>
                </w:p>
              </w:tc>
            </w:tr>
            <w:tr w14:paraId="7CEBE34A">
              <w:tblPrEx>
                <w:tblCellMar>
                  <w:top w:w="0" w:type="dxa"/>
                  <w:left w:w="108" w:type="dxa"/>
                  <w:bottom w:w="0" w:type="dxa"/>
                  <w:right w:w="108" w:type="dxa"/>
                </w:tblCellMar>
              </w:tblPrEx>
              <w:trPr>
                <w:trHeight w:val="769" w:hRule="atLeast"/>
              </w:trPr>
              <w:tc>
                <w:tcPr>
                  <w:tcW w:w="386" w:type="pct"/>
                  <w:vMerge w:val="restart"/>
                  <w:tcBorders>
                    <w:top w:val="single" w:color="auto" w:sz="4" w:space="0"/>
                    <w:left w:val="single" w:color="auto" w:sz="4" w:space="0"/>
                    <w:right w:val="single" w:color="auto" w:sz="4" w:space="0"/>
                  </w:tcBorders>
                  <w:shd w:val="clear" w:color="auto" w:fill="auto"/>
                  <w:vAlign w:val="center"/>
                </w:tcPr>
                <w:p w14:paraId="1EF646D4">
                  <w:pPr>
                    <w:widowControl/>
                    <w:spacing w:line="240" w:lineRule="auto"/>
                    <w:jc w:val="center"/>
                    <w:rPr>
                      <w:rFonts w:hint="default" w:eastAsia="宋体" w:cs="宋体"/>
                      <w:color w:val="auto"/>
                      <w:sz w:val="18"/>
                      <w:szCs w:val="18"/>
                      <w:lang w:val="en-US" w:eastAsia="zh-CN"/>
                    </w:rPr>
                  </w:pPr>
                  <w:r>
                    <w:rPr>
                      <w:rFonts w:hint="eastAsia" w:cs="宋体"/>
                      <w:color w:val="auto"/>
                      <w:sz w:val="18"/>
                      <w:szCs w:val="18"/>
                      <w:lang w:val="en-US" w:eastAsia="zh-CN"/>
                    </w:rPr>
                    <w:t>储运工程</w:t>
                  </w:r>
                </w:p>
              </w:tc>
              <w:tc>
                <w:tcPr>
                  <w:tcW w:w="62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F63F170">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原料仓库</w:t>
                  </w:r>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7BE27">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位于8#厂房北侧，占地面积500m</w:t>
                  </w:r>
                  <w:r>
                    <w:rPr>
                      <w:rFonts w:hint="default" w:ascii="Times New Roman" w:hAnsi="Times New Roman" w:eastAsia="宋体" w:cs="宋体"/>
                      <w:color w:val="auto"/>
                      <w:kern w:val="0"/>
                      <w:sz w:val="18"/>
                      <w:szCs w:val="18"/>
                      <w:vertAlign w:val="superscript"/>
                      <w:lang w:val="en-US" w:eastAsia="zh-CN" w:bidi="ar"/>
                    </w:rPr>
                    <w:t>2</w:t>
                  </w:r>
                  <w:r>
                    <w:rPr>
                      <w:rFonts w:hint="default" w:ascii="Times New Roman" w:hAnsi="Times New Roman" w:eastAsia="宋体" w:cs="宋体"/>
                      <w:color w:val="auto"/>
                      <w:kern w:val="0"/>
                      <w:sz w:val="18"/>
                      <w:szCs w:val="18"/>
                      <w:lang w:val="en-US" w:eastAsia="zh-CN" w:bidi="ar"/>
                    </w:rPr>
                    <w:t>，用于存储原辅材料。</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0397E">
                  <w:pPr>
                    <w:widowControl/>
                    <w:spacing w:line="240" w:lineRule="auto"/>
                    <w:jc w:val="center"/>
                    <w:textAlignment w:val="center"/>
                    <w:rPr>
                      <w:rFonts w:hint="eastAsia"/>
                      <w:color w:val="auto"/>
                      <w:kern w:val="0"/>
                      <w:sz w:val="18"/>
                      <w:szCs w:val="18"/>
                      <w:lang w:val="en-US" w:eastAsia="zh-CN" w:bidi="ar"/>
                    </w:rPr>
                  </w:pPr>
                  <w:r>
                    <w:rPr>
                      <w:rFonts w:hint="eastAsia" w:cs="宋体"/>
                      <w:color w:val="auto"/>
                      <w:kern w:val="0"/>
                      <w:sz w:val="18"/>
                      <w:szCs w:val="18"/>
                      <w:lang w:val="en-US" w:eastAsia="zh-CN" w:bidi="ar"/>
                    </w:rPr>
                    <w:t>现有工程已</w:t>
                  </w:r>
                  <w:r>
                    <w:rPr>
                      <w:rFonts w:hint="eastAsia" w:cs="宋体"/>
                      <w:color w:val="auto"/>
                      <w:kern w:val="0"/>
                      <w:sz w:val="18"/>
                      <w:szCs w:val="18"/>
                      <w:lang w:bidi="ar"/>
                    </w:rPr>
                    <w:t>占地面积</w:t>
                  </w:r>
                  <w:r>
                    <w:rPr>
                      <w:rFonts w:hint="eastAsia" w:cs="宋体"/>
                      <w:color w:val="auto"/>
                      <w:kern w:val="0"/>
                      <w:sz w:val="18"/>
                      <w:szCs w:val="18"/>
                      <w:lang w:val="en-US" w:eastAsia="zh-CN" w:bidi="ar"/>
                    </w:rPr>
                    <w:t>20</w:t>
                  </w:r>
                  <w:r>
                    <w:rPr>
                      <w:rFonts w:hint="eastAsia" w:cs="宋体"/>
                      <w:color w:val="auto"/>
                      <w:kern w:val="0"/>
                      <w:sz w:val="18"/>
                      <w:szCs w:val="18"/>
                      <w:lang w:bidi="ar"/>
                    </w:rPr>
                    <w:t>0m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s="宋体"/>
                      <w:color w:val="auto"/>
                      <w:kern w:val="0"/>
                      <w:sz w:val="18"/>
                      <w:szCs w:val="18"/>
                      <w:vertAlign w:val="baseline"/>
                      <w:lang w:val="en-US" w:eastAsia="zh-CN" w:bidi="ar"/>
                    </w:rPr>
                    <w:t>剩余300</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lang w:bidi="ar"/>
                    </w:rPr>
                    <w:t>。</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BDB77">
                  <w:pPr>
                    <w:widowControl/>
                    <w:spacing w:line="240" w:lineRule="auto"/>
                    <w:jc w:val="center"/>
                    <w:textAlignment w:val="center"/>
                    <w:rPr>
                      <w:rFonts w:ascii="Times New Roman" w:hAnsi="Times New Roman" w:eastAsia="宋体" w:cs="宋体"/>
                      <w:color w:val="auto"/>
                      <w:kern w:val="0"/>
                      <w:sz w:val="18"/>
                      <w:szCs w:val="18"/>
                      <w:lang w:val="en-US" w:eastAsia="zh-CN" w:bidi="ar"/>
                    </w:rPr>
                  </w:pPr>
                  <w:r>
                    <w:rPr>
                      <w:rFonts w:hint="eastAsia"/>
                      <w:color w:val="auto"/>
                      <w:kern w:val="0"/>
                      <w:sz w:val="18"/>
                      <w:szCs w:val="18"/>
                      <w:lang w:bidi="ar"/>
                    </w:rPr>
                    <w:t>本项目</w:t>
                  </w:r>
                  <w:r>
                    <w:rPr>
                      <w:rFonts w:hint="default" w:ascii="Times New Roman" w:hAnsi="Times New Roman" w:eastAsia="宋体" w:cs="宋体"/>
                      <w:color w:val="auto"/>
                      <w:kern w:val="0"/>
                      <w:sz w:val="18"/>
                      <w:szCs w:val="18"/>
                      <w:lang w:val="en-US" w:eastAsia="zh-CN" w:bidi="ar"/>
                    </w:rPr>
                    <w:t>原辅材料</w:t>
                  </w:r>
                  <w:r>
                    <w:rPr>
                      <w:rFonts w:hint="eastAsia" w:cs="宋体"/>
                      <w:color w:val="auto"/>
                      <w:kern w:val="0"/>
                      <w:sz w:val="18"/>
                      <w:szCs w:val="18"/>
                      <w:lang w:val="en-US" w:eastAsia="zh-CN" w:bidi="ar"/>
                    </w:rPr>
                    <w:t>占地面积约150</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olor w:val="auto"/>
                      <w:kern w:val="0"/>
                      <w:sz w:val="18"/>
                      <w:szCs w:val="18"/>
                      <w:lang w:val="en-US" w:eastAsia="zh-CN" w:bidi="ar"/>
                    </w:rPr>
                    <w:t>可满足存放要求。</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0A908">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6E52E9D9">
              <w:tblPrEx>
                <w:tblCellMar>
                  <w:top w:w="0" w:type="dxa"/>
                  <w:left w:w="108" w:type="dxa"/>
                  <w:bottom w:w="0" w:type="dxa"/>
                  <w:right w:w="108" w:type="dxa"/>
                </w:tblCellMar>
              </w:tblPrEx>
              <w:trPr>
                <w:trHeight w:val="340" w:hRule="atLeast"/>
              </w:trPr>
              <w:tc>
                <w:tcPr>
                  <w:tcW w:w="386" w:type="pct"/>
                  <w:vMerge w:val="continue"/>
                  <w:tcBorders>
                    <w:left w:val="single" w:color="auto" w:sz="4" w:space="0"/>
                    <w:bottom w:val="single" w:color="auto" w:sz="4" w:space="0"/>
                    <w:right w:val="single" w:color="auto" w:sz="4" w:space="0"/>
                  </w:tcBorders>
                  <w:shd w:val="clear" w:color="auto" w:fill="auto"/>
                  <w:vAlign w:val="center"/>
                </w:tcPr>
                <w:p w14:paraId="75DC2255">
                  <w:pPr>
                    <w:widowControl/>
                    <w:spacing w:line="240" w:lineRule="auto"/>
                    <w:jc w:val="center"/>
                    <w:rPr>
                      <w:rFonts w:cs="宋体"/>
                      <w:color w:val="auto"/>
                      <w:sz w:val="18"/>
                      <w:szCs w:val="18"/>
                    </w:rPr>
                  </w:pPr>
                </w:p>
              </w:tc>
              <w:tc>
                <w:tcPr>
                  <w:tcW w:w="627"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76A9F799">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成品品库</w:t>
                  </w:r>
                </w:p>
              </w:tc>
              <w:tc>
                <w:tcPr>
                  <w:tcW w:w="1174" w:type="pct"/>
                  <w:tcBorders>
                    <w:top w:val="single" w:color="000000" w:sz="4" w:space="0"/>
                    <w:left w:val="single" w:color="000000" w:sz="4" w:space="0"/>
                    <w:bottom w:val="single" w:color="auto" w:sz="4" w:space="0"/>
                    <w:right w:val="single" w:color="000000" w:sz="4" w:space="0"/>
                  </w:tcBorders>
                  <w:shd w:val="clear" w:color="auto" w:fill="auto"/>
                  <w:vAlign w:val="center"/>
                </w:tcPr>
                <w:p w14:paraId="350F4B39">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位于7#厂房</w:t>
                  </w:r>
                  <w:r>
                    <w:rPr>
                      <w:rFonts w:hint="eastAsia" w:cs="宋体"/>
                      <w:color w:val="auto"/>
                      <w:kern w:val="0"/>
                      <w:sz w:val="18"/>
                      <w:szCs w:val="18"/>
                      <w:lang w:val="en-US" w:eastAsia="zh-CN" w:bidi="ar"/>
                    </w:rPr>
                    <w:t>中部</w:t>
                  </w:r>
                  <w:r>
                    <w:rPr>
                      <w:rFonts w:hint="default" w:ascii="Times New Roman" w:hAnsi="Times New Roman" w:eastAsia="宋体" w:cs="宋体"/>
                      <w:color w:val="auto"/>
                      <w:kern w:val="0"/>
                      <w:sz w:val="18"/>
                      <w:szCs w:val="18"/>
                      <w:lang w:val="en-US" w:eastAsia="zh-CN" w:bidi="ar"/>
                    </w:rPr>
                    <w:t>，占地面积2500m</w:t>
                  </w:r>
                  <w:r>
                    <w:rPr>
                      <w:rFonts w:hint="default" w:ascii="Times New Roman" w:hAnsi="Times New Roman" w:eastAsia="宋体" w:cs="宋体"/>
                      <w:color w:val="auto"/>
                      <w:kern w:val="0"/>
                      <w:sz w:val="18"/>
                      <w:szCs w:val="18"/>
                      <w:vertAlign w:val="superscript"/>
                      <w:lang w:val="en-US" w:eastAsia="zh-CN" w:bidi="ar"/>
                    </w:rPr>
                    <w:t>2</w:t>
                  </w:r>
                  <w:r>
                    <w:rPr>
                      <w:rFonts w:hint="default" w:ascii="Times New Roman" w:hAnsi="Times New Roman" w:eastAsia="宋体" w:cs="宋体"/>
                      <w:color w:val="auto"/>
                      <w:kern w:val="0"/>
                      <w:sz w:val="18"/>
                      <w:szCs w:val="18"/>
                      <w:lang w:val="en-US" w:eastAsia="zh-CN" w:bidi="ar"/>
                    </w:rPr>
                    <w:t>，用于存储铝棒等</w:t>
                  </w:r>
                  <w:r>
                    <w:rPr>
                      <w:rFonts w:hint="eastAsia" w:ascii="Times New Roman" w:hAnsi="Times New Roman" w:eastAsia="宋体" w:cs="宋体"/>
                      <w:color w:val="auto"/>
                      <w:kern w:val="0"/>
                      <w:sz w:val="18"/>
                      <w:szCs w:val="18"/>
                      <w:lang w:val="en-US" w:eastAsia="zh-CN" w:bidi="ar"/>
                    </w:rPr>
                    <w:t>成品</w:t>
                  </w:r>
                  <w:r>
                    <w:rPr>
                      <w:rFonts w:hint="default" w:ascii="Times New Roman" w:hAnsi="Times New Roman" w:eastAsia="宋体" w:cs="宋体"/>
                      <w:color w:val="auto"/>
                      <w:kern w:val="0"/>
                      <w:sz w:val="18"/>
                      <w:szCs w:val="18"/>
                      <w:lang w:val="en-US" w:eastAsia="zh-CN" w:bidi="ar"/>
                    </w:rPr>
                    <w:t>。</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6D9E5">
                  <w:pPr>
                    <w:widowControl/>
                    <w:spacing w:line="240" w:lineRule="auto"/>
                    <w:jc w:val="center"/>
                    <w:textAlignment w:val="center"/>
                    <w:rPr>
                      <w:rFonts w:hint="eastAsia"/>
                      <w:color w:val="auto"/>
                      <w:kern w:val="0"/>
                      <w:sz w:val="18"/>
                      <w:szCs w:val="18"/>
                      <w:lang w:val="en-US" w:eastAsia="zh-CN" w:bidi="ar"/>
                    </w:rPr>
                  </w:pPr>
                  <w:r>
                    <w:rPr>
                      <w:rFonts w:hint="eastAsia" w:cs="宋体"/>
                      <w:color w:val="auto"/>
                      <w:kern w:val="0"/>
                      <w:sz w:val="18"/>
                      <w:szCs w:val="18"/>
                      <w:lang w:val="en-US" w:eastAsia="zh-CN" w:bidi="ar"/>
                    </w:rPr>
                    <w:t>现有工程成品已</w:t>
                  </w:r>
                  <w:r>
                    <w:rPr>
                      <w:rFonts w:hint="eastAsia" w:cs="宋体"/>
                      <w:color w:val="auto"/>
                      <w:kern w:val="0"/>
                      <w:sz w:val="18"/>
                      <w:szCs w:val="18"/>
                      <w:lang w:bidi="ar"/>
                    </w:rPr>
                    <w:t>占地面积</w:t>
                  </w:r>
                  <w:r>
                    <w:rPr>
                      <w:rFonts w:hint="eastAsia" w:cs="宋体"/>
                      <w:color w:val="auto"/>
                      <w:kern w:val="0"/>
                      <w:sz w:val="18"/>
                      <w:szCs w:val="18"/>
                      <w:lang w:val="en-US" w:eastAsia="zh-CN" w:bidi="ar"/>
                    </w:rPr>
                    <w:t>100</w:t>
                  </w:r>
                  <w:r>
                    <w:rPr>
                      <w:rFonts w:hint="eastAsia" w:cs="宋体"/>
                      <w:color w:val="auto"/>
                      <w:kern w:val="0"/>
                      <w:sz w:val="18"/>
                      <w:szCs w:val="18"/>
                      <w:lang w:bidi="ar"/>
                    </w:rPr>
                    <w:t>0m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s="宋体"/>
                      <w:color w:val="auto"/>
                      <w:kern w:val="0"/>
                      <w:sz w:val="18"/>
                      <w:szCs w:val="18"/>
                      <w:vertAlign w:val="baseline"/>
                      <w:lang w:val="en-US" w:eastAsia="zh-CN" w:bidi="ar"/>
                    </w:rPr>
                    <w:t>剩余1500</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lang w:bidi="ar"/>
                    </w:rPr>
                    <w:t>。</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C3FAB">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bidi="ar"/>
                    </w:rPr>
                    <w:t>本项目</w:t>
                  </w:r>
                  <w:r>
                    <w:rPr>
                      <w:rFonts w:hint="eastAsia"/>
                      <w:color w:val="auto"/>
                      <w:kern w:val="0"/>
                      <w:sz w:val="18"/>
                      <w:szCs w:val="18"/>
                      <w:lang w:val="en-US" w:eastAsia="zh-CN" w:bidi="ar"/>
                    </w:rPr>
                    <w:t>成品</w:t>
                  </w:r>
                  <w:r>
                    <w:rPr>
                      <w:rFonts w:hint="eastAsia" w:cs="宋体"/>
                      <w:color w:val="auto"/>
                      <w:kern w:val="0"/>
                      <w:sz w:val="18"/>
                      <w:szCs w:val="18"/>
                      <w:lang w:val="en-US" w:eastAsia="zh-CN" w:bidi="ar"/>
                    </w:rPr>
                    <w:t>铝件占地面积约500</w:t>
                  </w:r>
                  <w:r>
                    <w:rPr>
                      <w:rFonts w:hint="eastAsia" w:cs="宋体"/>
                      <w:color w:val="auto"/>
                      <w:kern w:val="0"/>
                      <w:sz w:val="18"/>
                      <w:szCs w:val="18"/>
                      <w:lang w:bidi="ar"/>
                    </w:rPr>
                    <w:t>m</w:t>
                  </w:r>
                  <w:r>
                    <w:rPr>
                      <w:rFonts w:hint="eastAsia" w:cs="宋体"/>
                      <w:color w:val="auto"/>
                      <w:kern w:val="0"/>
                      <w:sz w:val="18"/>
                      <w:szCs w:val="18"/>
                      <w:vertAlign w:val="superscript"/>
                      <w:lang w:bidi="ar"/>
                    </w:rPr>
                    <w:t>2</w:t>
                  </w:r>
                  <w:r>
                    <w:rPr>
                      <w:rFonts w:hint="eastAsia" w:cs="宋体"/>
                      <w:color w:val="auto"/>
                      <w:kern w:val="0"/>
                      <w:sz w:val="18"/>
                      <w:szCs w:val="18"/>
                      <w:vertAlign w:val="baseline"/>
                      <w:lang w:eastAsia="zh-CN" w:bidi="ar"/>
                    </w:rPr>
                    <w:t>，</w:t>
                  </w:r>
                  <w:r>
                    <w:rPr>
                      <w:rFonts w:hint="eastAsia"/>
                      <w:color w:val="auto"/>
                      <w:kern w:val="0"/>
                      <w:sz w:val="18"/>
                      <w:szCs w:val="18"/>
                      <w:lang w:val="en-US" w:eastAsia="zh-CN" w:bidi="ar"/>
                    </w:rPr>
                    <w:t>可满足存放要求。</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F695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依托可行</w:t>
                  </w:r>
                </w:p>
              </w:tc>
            </w:tr>
            <w:tr w14:paraId="0476886F">
              <w:tblPrEx>
                <w:tblCellMar>
                  <w:top w:w="0" w:type="dxa"/>
                  <w:left w:w="108" w:type="dxa"/>
                  <w:bottom w:w="0" w:type="dxa"/>
                  <w:right w:w="108" w:type="dxa"/>
                </w:tblCellMar>
              </w:tblPrEx>
              <w:trPr>
                <w:trHeight w:val="90" w:hRule="atLeast"/>
              </w:trPr>
              <w:tc>
                <w:tcPr>
                  <w:tcW w:w="38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1FC2A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环保工程</w:t>
                  </w:r>
                </w:p>
              </w:tc>
              <w:tc>
                <w:tcPr>
                  <w:tcW w:w="218" w:type="pct"/>
                  <w:tcBorders>
                    <w:top w:val="single" w:color="auto" w:sz="4" w:space="0"/>
                    <w:left w:val="single" w:color="auto" w:sz="4" w:space="0"/>
                    <w:bottom w:val="single" w:color="auto" w:sz="4" w:space="0"/>
                    <w:right w:val="single" w:color="auto" w:sz="4" w:space="0"/>
                  </w:tcBorders>
                  <w:shd w:val="clear" w:color="auto" w:fill="auto"/>
                  <w:vAlign w:val="center"/>
                </w:tcPr>
                <w:p w14:paraId="30A5C3EA">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废水</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14:paraId="301620E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生活污水</w:t>
                  </w:r>
                </w:p>
              </w:tc>
              <w:tc>
                <w:tcPr>
                  <w:tcW w:w="1174" w:type="pct"/>
                  <w:tcBorders>
                    <w:top w:val="single" w:color="auto" w:sz="4" w:space="0"/>
                    <w:left w:val="single" w:color="auto" w:sz="4" w:space="0"/>
                    <w:bottom w:val="single" w:color="auto" w:sz="4" w:space="0"/>
                    <w:right w:val="single" w:color="auto" w:sz="4" w:space="0"/>
                  </w:tcBorders>
                  <w:shd w:val="clear" w:color="auto" w:fill="auto"/>
                  <w:vAlign w:val="center"/>
                </w:tcPr>
                <w:p w14:paraId="69520829">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化粪池</w:t>
                  </w:r>
                  <w:r>
                    <w:rPr>
                      <w:rFonts w:hint="eastAsia" w:cs="宋体"/>
                      <w:color w:val="auto"/>
                      <w:kern w:val="0"/>
                      <w:sz w:val="18"/>
                      <w:szCs w:val="18"/>
                      <w:lang w:eastAsia="zh-CN" w:bidi="ar"/>
                    </w:rPr>
                    <w:t>、</w:t>
                  </w:r>
                  <w:r>
                    <w:rPr>
                      <w:rFonts w:hint="eastAsia"/>
                      <w:color w:val="auto"/>
                      <w:kern w:val="0"/>
                      <w:sz w:val="18"/>
                      <w:szCs w:val="18"/>
                      <w:lang w:val="en-US" w:eastAsia="zh-CN" w:bidi="ar"/>
                    </w:rPr>
                    <w:t>隔油池</w:t>
                  </w:r>
                  <w:r>
                    <w:rPr>
                      <w:rFonts w:hint="eastAsia" w:cs="宋体"/>
                      <w:color w:val="auto"/>
                      <w:kern w:val="0"/>
                      <w:sz w:val="18"/>
                      <w:szCs w:val="18"/>
                      <w:lang w:val="en-US" w:eastAsia="zh-CN" w:bidi="ar"/>
                    </w:rPr>
                    <w:t>设计处理能力为150t/d。</w:t>
                  </w:r>
                </w:p>
              </w:tc>
              <w:tc>
                <w:tcPr>
                  <w:tcW w:w="1250" w:type="pct"/>
                  <w:tcBorders>
                    <w:top w:val="single" w:color="000000" w:sz="4" w:space="0"/>
                    <w:left w:val="single" w:color="auto" w:sz="4" w:space="0"/>
                    <w:bottom w:val="single" w:color="auto" w:sz="4" w:space="0"/>
                    <w:right w:val="single" w:color="000000" w:sz="4" w:space="0"/>
                  </w:tcBorders>
                  <w:shd w:val="clear" w:color="auto" w:fill="auto"/>
                  <w:vAlign w:val="center"/>
                </w:tcPr>
                <w:p w14:paraId="49E77E9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现有项目生活污水排放量137.2t/d，剩余12.8t/d</w:t>
                  </w:r>
                  <w:r>
                    <w:rPr>
                      <w:rFonts w:hint="eastAsia" w:cs="宋体"/>
                      <w:color w:val="auto"/>
                      <w:kern w:val="0"/>
                      <w:sz w:val="18"/>
                      <w:szCs w:val="18"/>
                      <w:lang w:bidi="ar"/>
                    </w:rPr>
                    <w:t>。</w:t>
                  </w:r>
                </w:p>
              </w:tc>
              <w:tc>
                <w:tcPr>
                  <w:tcW w:w="1207" w:type="pct"/>
                  <w:tcBorders>
                    <w:top w:val="single" w:color="000000" w:sz="4" w:space="0"/>
                    <w:left w:val="single" w:color="000000" w:sz="4" w:space="0"/>
                    <w:bottom w:val="single" w:color="auto" w:sz="4" w:space="0"/>
                    <w:right w:val="single" w:color="000000" w:sz="4" w:space="0"/>
                  </w:tcBorders>
                  <w:shd w:val="clear" w:color="auto" w:fill="auto"/>
                  <w:vAlign w:val="center"/>
                </w:tcPr>
                <w:p w14:paraId="322C685D">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本项目</w:t>
                  </w:r>
                  <w:r>
                    <w:rPr>
                      <w:rFonts w:hint="eastAsia" w:cs="宋体"/>
                      <w:color w:val="auto"/>
                      <w:kern w:val="0"/>
                      <w:sz w:val="18"/>
                      <w:szCs w:val="18"/>
                      <w:lang w:val="en-US" w:eastAsia="zh-CN" w:bidi="ar"/>
                    </w:rPr>
                    <w:t>生活污水、食堂废水排放量共2.16</w:t>
                  </w:r>
                  <w:r>
                    <w:rPr>
                      <w:rFonts w:hint="eastAsia" w:cs="宋体"/>
                      <w:color w:val="auto"/>
                      <w:kern w:val="0"/>
                      <w:sz w:val="18"/>
                      <w:szCs w:val="18"/>
                      <w:lang w:bidi="ar"/>
                    </w:rPr>
                    <w:t>t/d</w:t>
                  </w:r>
                  <w:r>
                    <w:rPr>
                      <w:rFonts w:hint="eastAsia" w:cs="宋体"/>
                      <w:color w:val="auto"/>
                      <w:kern w:val="0"/>
                      <w:sz w:val="18"/>
                      <w:szCs w:val="18"/>
                      <w:lang w:eastAsia="zh-CN" w:bidi="ar"/>
                    </w:rPr>
                    <w:t>，</w:t>
                  </w:r>
                  <w:r>
                    <w:rPr>
                      <w:rFonts w:hint="eastAsia"/>
                      <w:color w:val="auto"/>
                      <w:kern w:val="0"/>
                      <w:sz w:val="18"/>
                      <w:szCs w:val="18"/>
                      <w:lang w:val="en-US" w:eastAsia="zh-CN" w:bidi="ar"/>
                    </w:rPr>
                    <w:t>可满足处理要求</w:t>
                  </w:r>
                  <w:r>
                    <w:rPr>
                      <w:rFonts w:hint="eastAsia" w:cs="宋体"/>
                      <w:color w:val="auto"/>
                      <w:kern w:val="0"/>
                      <w:sz w:val="18"/>
                      <w:szCs w:val="18"/>
                      <w:lang w:bidi="ar"/>
                    </w:rPr>
                    <w:t>。</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FD5A0">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73AA2CE0">
              <w:tblPrEx>
                <w:tblCellMar>
                  <w:top w:w="0" w:type="dxa"/>
                  <w:left w:w="108" w:type="dxa"/>
                  <w:bottom w:w="0" w:type="dxa"/>
                  <w:right w:w="108" w:type="dxa"/>
                </w:tblCellMar>
              </w:tblPrEx>
              <w:trPr>
                <w:trHeight w:val="923"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E24954">
                  <w:pPr>
                    <w:widowControl/>
                    <w:spacing w:line="240" w:lineRule="auto"/>
                    <w:jc w:val="center"/>
                    <w:rPr>
                      <w:rFonts w:cs="宋体"/>
                      <w:color w:val="auto"/>
                      <w:sz w:val="18"/>
                      <w:szCs w:val="18"/>
                    </w:rPr>
                  </w:pPr>
                </w:p>
              </w:tc>
              <w:tc>
                <w:tcPr>
                  <w:tcW w:w="627" w:type="pct"/>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240F5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固废</w:t>
                  </w:r>
                </w:p>
              </w:tc>
              <w:tc>
                <w:tcPr>
                  <w:tcW w:w="1174" w:type="pct"/>
                  <w:tcBorders>
                    <w:top w:val="single" w:color="auto" w:sz="4" w:space="0"/>
                    <w:left w:val="single" w:color="auto" w:sz="4" w:space="0"/>
                    <w:bottom w:val="single" w:color="auto" w:sz="4" w:space="0"/>
                    <w:right w:val="single" w:color="auto" w:sz="4" w:space="0"/>
                  </w:tcBorders>
                  <w:shd w:val="clear" w:color="auto" w:fill="auto"/>
                  <w:vAlign w:val="center"/>
                </w:tcPr>
                <w:p w14:paraId="78FC1320">
                  <w:pPr>
                    <w:widowControl/>
                    <w:spacing w:line="240" w:lineRule="auto"/>
                    <w:jc w:val="center"/>
                    <w:textAlignment w:val="center"/>
                    <w:rPr>
                      <w:rFonts w:hint="default" w:eastAsia="宋体"/>
                      <w:color w:val="auto"/>
                      <w:lang w:val="en-US" w:eastAsia="zh-CN"/>
                    </w:rPr>
                  </w:pPr>
                  <w:r>
                    <w:rPr>
                      <w:rFonts w:hint="eastAsia" w:cs="宋体"/>
                      <w:color w:val="auto"/>
                      <w:kern w:val="0"/>
                      <w:sz w:val="18"/>
                      <w:szCs w:val="18"/>
                      <w:lang w:val="en-US" w:eastAsia="zh-CN" w:bidi="ar"/>
                    </w:rPr>
                    <w:t>一般固废暂存间位于4#厂房内南侧，面积为1000m</w:t>
                  </w:r>
                  <w:r>
                    <w:rPr>
                      <w:rFonts w:hint="eastAsia" w:cs="宋体"/>
                      <w:color w:val="auto"/>
                      <w:kern w:val="0"/>
                      <w:sz w:val="18"/>
                      <w:szCs w:val="18"/>
                      <w:vertAlign w:val="superscript"/>
                      <w:lang w:val="en-US" w:eastAsia="zh-CN" w:bidi="ar"/>
                    </w:rPr>
                    <w:t>2</w:t>
                  </w:r>
                  <w:r>
                    <w:rPr>
                      <w:rFonts w:hint="eastAsia"/>
                      <w:color w:val="auto"/>
                      <w:kern w:val="0"/>
                      <w:sz w:val="18"/>
                      <w:szCs w:val="18"/>
                      <w:lang w:val="en-US" w:eastAsia="zh-CN" w:bidi="ar"/>
                    </w:rPr>
                    <w:t>。</w:t>
                  </w:r>
                </w:p>
              </w:tc>
              <w:tc>
                <w:tcPr>
                  <w:tcW w:w="1250" w:type="pct"/>
                  <w:tcBorders>
                    <w:top w:val="single" w:color="auto" w:sz="4" w:space="0"/>
                    <w:left w:val="single" w:color="auto" w:sz="4" w:space="0"/>
                    <w:bottom w:val="single" w:color="auto" w:sz="4" w:space="0"/>
                    <w:right w:val="single" w:color="auto" w:sz="4" w:space="0"/>
                  </w:tcBorders>
                  <w:shd w:val="clear" w:color="auto" w:fill="auto"/>
                  <w:vAlign w:val="center"/>
                </w:tcPr>
                <w:p w14:paraId="154931A1">
                  <w:pPr>
                    <w:widowControl/>
                    <w:spacing w:line="240" w:lineRule="auto"/>
                    <w:jc w:val="center"/>
                    <w:textAlignment w:val="center"/>
                    <w:rPr>
                      <w:rFonts w:hint="default" w:eastAsia="宋体"/>
                      <w:color w:val="auto"/>
                      <w:kern w:val="0"/>
                      <w:sz w:val="18"/>
                      <w:szCs w:val="18"/>
                      <w:lang w:val="en-US" w:eastAsia="zh-CN" w:bidi="ar"/>
                    </w:rPr>
                  </w:pPr>
                  <w:r>
                    <w:rPr>
                      <w:rFonts w:hint="eastAsia" w:cs="宋体"/>
                      <w:color w:val="auto"/>
                      <w:kern w:val="0"/>
                      <w:sz w:val="18"/>
                      <w:szCs w:val="18"/>
                      <w:vertAlign w:val="baseline"/>
                      <w:lang w:val="en-US" w:eastAsia="zh-CN" w:bidi="ar"/>
                    </w:rPr>
                    <w:t>现有项目固废已占用面积500</w:t>
                  </w:r>
                  <w:r>
                    <w:rPr>
                      <w:rFonts w:cs="宋体"/>
                      <w:color w:val="auto"/>
                      <w:kern w:val="0"/>
                      <w:sz w:val="18"/>
                      <w:szCs w:val="18"/>
                      <w:lang w:bidi="ar"/>
                    </w:rPr>
                    <w:t>m</w:t>
                  </w:r>
                  <w:r>
                    <w:rPr>
                      <w:rFonts w:cs="宋体"/>
                      <w:color w:val="auto"/>
                      <w:kern w:val="0"/>
                      <w:sz w:val="18"/>
                      <w:szCs w:val="18"/>
                      <w:vertAlign w:val="superscript"/>
                      <w:lang w:bidi="ar"/>
                    </w:rPr>
                    <w:t>2</w:t>
                  </w:r>
                  <w:r>
                    <w:rPr>
                      <w:rFonts w:hint="eastAsia" w:cs="宋体"/>
                      <w:color w:val="auto"/>
                      <w:kern w:val="0"/>
                      <w:sz w:val="18"/>
                      <w:szCs w:val="18"/>
                      <w:vertAlign w:val="baseline"/>
                      <w:lang w:val="en-US" w:eastAsia="zh-CN" w:bidi="ar"/>
                    </w:rPr>
                    <w:t>。</w:t>
                  </w:r>
                </w:p>
              </w:tc>
              <w:tc>
                <w:tcPr>
                  <w:tcW w:w="1207" w:type="pct"/>
                  <w:tcBorders>
                    <w:top w:val="single" w:color="auto" w:sz="4" w:space="0"/>
                    <w:left w:val="single" w:color="auto" w:sz="4" w:space="0"/>
                    <w:bottom w:val="single" w:color="auto" w:sz="4" w:space="0"/>
                    <w:right w:val="single" w:color="auto" w:sz="4" w:space="0"/>
                  </w:tcBorders>
                  <w:shd w:val="clear" w:color="auto" w:fill="auto"/>
                  <w:vAlign w:val="center"/>
                </w:tcPr>
                <w:p w14:paraId="38030424">
                  <w:pPr>
                    <w:widowControl/>
                    <w:spacing w:line="240" w:lineRule="auto"/>
                    <w:jc w:val="center"/>
                    <w:textAlignment w:val="center"/>
                    <w:rPr>
                      <w:rFonts w:hint="eastAsia" w:ascii="Times New Roman" w:hAnsi="Times New Roman" w:eastAsia="宋体" w:cs="宋体"/>
                      <w:color w:val="auto"/>
                      <w:kern w:val="0"/>
                      <w:sz w:val="18"/>
                      <w:szCs w:val="18"/>
                      <w:vertAlign w:val="baseline"/>
                      <w:lang w:val="en-US" w:eastAsia="zh-CN" w:bidi="ar"/>
                    </w:rPr>
                  </w:pPr>
                  <w:r>
                    <w:rPr>
                      <w:rFonts w:hint="eastAsia"/>
                      <w:color w:val="auto"/>
                      <w:kern w:val="0"/>
                      <w:sz w:val="18"/>
                      <w:szCs w:val="18"/>
                      <w:lang w:bidi="ar"/>
                    </w:rPr>
                    <w:t>本项目新增</w:t>
                  </w:r>
                  <w:r>
                    <w:rPr>
                      <w:rFonts w:hint="eastAsia" w:cs="宋体"/>
                      <w:color w:val="auto"/>
                      <w:kern w:val="0"/>
                      <w:sz w:val="18"/>
                      <w:szCs w:val="18"/>
                      <w:lang w:bidi="ar"/>
                    </w:rPr>
                    <w:t>固废</w:t>
                  </w:r>
                  <w:r>
                    <w:rPr>
                      <w:rFonts w:hint="eastAsia" w:cs="宋体"/>
                      <w:color w:val="auto"/>
                      <w:kern w:val="0"/>
                      <w:sz w:val="18"/>
                      <w:szCs w:val="18"/>
                      <w:lang w:val="en-US" w:eastAsia="zh-CN" w:bidi="ar"/>
                    </w:rPr>
                    <w:t>需要面积为300</w:t>
                  </w:r>
                  <w:r>
                    <w:rPr>
                      <w:rFonts w:cs="宋体"/>
                      <w:color w:val="auto"/>
                      <w:kern w:val="0"/>
                      <w:sz w:val="18"/>
                      <w:szCs w:val="18"/>
                      <w:lang w:bidi="ar"/>
                    </w:rPr>
                    <w:t>m</w:t>
                  </w:r>
                  <w:r>
                    <w:rPr>
                      <w:rFonts w:cs="宋体"/>
                      <w:color w:val="auto"/>
                      <w:kern w:val="0"/>
                      <w:sz w:val="18"/>
                      <w:szCs w:val="18"/>
                      <w:vertAlign w:val="superscript"/>
                      <w:lang w:bidi="ar"/>
                    </w:rPr>
                    <w:t>2</w:t>
                  </w:r>
                  <w:r>
                    <w:rPr>
                      <w:rFonts w:hint="eastAsia" w:cs="宋体"/>
                      <w:color w:val="auto"/>
                      <w:kern w:val="0"/>
                      <w:sz w:val="18"/>
                      <w:szCs w:val="18"/>
                      <w:lang w:val="en-US" w:eastAsia="zh-CN" w:bidi="ar"/>
                    </w:rPr>
                    <w:t>，</w:t>
                  </w:r>
                  <w:r>
                    <w:rPr>
                      <w:rFonts w:hint="eastAsia"/>
                      <w:color w:val="auto"/>
                      <w:kern w:val="0"/>
                      <w:sz w:val="18"/>
                      <w:szCs w:val="18"/>
                      <w:lang w:bidi="ar"/>
                    </w:rPr>
                    <w:t>依托现有</w:t>
                  </w:r>
                  <w:r>
                    <w:rPr>
                      <w:rFonts w:hint="eastAsia" w:cs="宋体"/>
                      <w:color w:val="auto"/>
                      <w:kern w:val="0"/>
                      <w:sz w:val="18"/>
                      <w:szCs w:val="18"/>
                      <w:lang w:bidi="ar"/>
                    </w:rPr>
                    <w:t>一般固废暂存间</w:t>
                  </w:r>
                  <w:r>
                    <w:rPr>
                      <w:rFonts w:hint="eastAsia" w:cs="宋体"/>
                      <w:color w:val="auto"/>
                      <w:kern w:val="0"/>
                      <w:sz w:val="18"/>
                      <w:szCs w:val="18"/>
                      <w:vertAlign w:val="baseline"/>
                      <w:lang w:val="en-US" w:eastAsia="zh-CN" w:bidi="ar"/>
                    </w:rPr>
                    <w:t>可行。</w:t>
                  </w:r>
                </w:p>
              </w:tc>
              <w:tc>
                <w:tcPr>
                  <w:tcW w:w="353" w:type="pct"/>
                  <w:tcBorders>
                    <w:top w:val="single" w:color="000000" w:sz="4" w:space="0"/>
                    <w:left w:val="single" w:color="auto" w:sz="4" w:space="0"/>
                    <w:bottom w:val="single" w:color="000000" w:sz="4" w:space="0"/>
                    <w:right w:val="single" w:color="000000" w:sz="4" w:space="0"/>
                  </w:tcBorders>
                  <w:shd w:val="clear" w:color="auto" w:fill="auto"/>
                  <w:vAlign w:val="center"/>
                </w:tcPr>
                <w:p w14:paraId="5A18EC31">
                  <w:pPr>
                    <w:widowControl/>
                    <w:spacing w:line="240" w:lineRule="auto"/>
                    <w:jc w:val="center"/>
                    <w:textAlignment w:val="center"/>
                    <w:rPr>
                      <w:rFonts w:cs="宋体"/>
                      <w:color w:val="auto"/>
                      <w:kern w:val="0"/>
                      <w:sz w:val="18"/>
                      <w:szCs w:val="18"/>
                      <w:lang w:bidi="ar"/>
                    </w:rPr>
                  </w:pPr>
                  <w:bookmarkStart w:id="26" w:name="OLE_LINK41"/>
                  <w:r>
                    <w:rPr>
                      <w:rFonts w:hint="eastAsia" w:cs="宋体"/>
                      <w:color w:val="auto"/>
                      <w:kern w:val="0"/>
                      <w:sz w:val="18"/>
                      <w:szCs w:val="18"/>
                      <w:lang w:val="en-US" w:eastAsia="zh-CN" w:bidi="ar"/>
                    </w:rPr>
                    <w:t>依托可行</w:t>
                  </w:r>
                  <w:bookmarkEnd w:id="26"/>
                </w:p>
              </w:tc>
            </w:tr>
            <w:tr w14:paraId="4466E6A5">
              <w:tblPrEx>
                <w:tblCellMar>
                  <w:top w:w="0" w:type="dxa"/>
                  <w:left w:w="108" w:type="dxa"/>
                  <w:bottom w:w="0" w:type="dxa"/>
                  <w:right w:w="108" w:type="dxa"/>
                </w:tblCellMar>
              </w:tblPrEx>
              <w:trPr>
                <w:trHeight w:val="923" w:hRule="atLeast"/>
              </w:trPr>
              <w:tc>
                <w:tcPr>
                  <w:tcW w:w="38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206CD8">
                  <w:pPr>
                    <w:widowControl/>
                    <w:spacing w:line="240" w:lineRule="auto"/>
                    <w:jc w:val="center"/>
                    <w:rPr>
                      <w:rFonts w:cs="宋体"/>
                      <w:color w:val="auto"/>
                      <w:sz w:val="18"/>
                      <w:szCs w:val="18"/>
                    </w:rPr>
                  </w:pPr>
                </w:p>
              </w:tc>
              <w:tc>
                <w:tcPr>
                  <w:tcW w:w="627" w:type="pct"/>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9C7B62">
                  <w:pPr>
                    <w:widowControl/>
                    <w:spacing w:line="240" w:lineRule="auto"/>
                    <w:jc w:val="center"/>
                    <w:textAlignment w:val="center"/>
                    <w:rPr>
                      <w:rFonts w:hint="eastAsia" w:cs="宋体"/>
                      <w:color w:val="auto"/>
                      <w:kern w:val="0"/>
                      <w:sz w:val="18"/>
                      <w:szCs w:val="18"/>
                      <w:lang w:bidi="ar"/>
                    </w:rPr>
                  </w:pPr>
                </w:p>
              </w:tc>
              <w:tc>
                <w:tcPr>
                  <w:tcW w:w="1174" w:type="pct"/>
                  <w:tcBorders>
                    <w:top w:val="single" w:color="auto" w:sz="4" w:space="0"/>
                    <w:left w:val="single" w:color="auto" w:sz="4" w:space="0"/>
                    <w:bottom w:val="single" w:color="auto" w:sz="4" w:space="0"/>
                    <w:right w:val="single" w:color="auto" w:sz="4" w:space="0"/>
                  </w:tcBorders>
                  <w:shd w:val="clear" w:color="auto" w:fill="auto"/>
                  <w:vAlign w:val="center"/>
                </w:tcPr>
                <w:p w14:paraId="1831BC6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危废库位于园区内西侧，面积为50m</w:t>
                  </w:r>
                  <w:r>
                    <w:rPr>
                      <w:rFonts w:hint="eastAsia" w:cs="宋体"/>
                      <w:color w:val="auto"/>
                      <w:kern w:val="0"/>
                      <w:sz w:val="18"/>
                      <w:szCs w:val="18"/>
                      <w:vertAlign w:val="superscript"/>
                      <w:lang w:val="en-US" w:eastAsia="zh-CN" w:bidi="ar"/>
                    </w:rPr>
                    <w:t>2</w:t>
                  </w:r>
                  <w:r>
                    <w:rPr>
                      <w:rFonts w:hint="eastAsia" w:cs="宋体"/>
                      <w:color w:val="auto"/>
                      <w:kern w:val="0"/>
                      <w:sz w:val="18"/>
                      <w:szCs w:val="18"/>
                      <w:lang w:val="en-US" w:eastAsia="zh-CN" w:bidi="ar"/>
                    </w:rPr>
                    <w:t>。</w:t>
                  </w:r>
                </w:p>
              </w:tc>
              <w:tc>
                <w:tcPr>
                  <w:tcW w:w="1250" w:type="pct"/>
                  <w:tcBorders>
                    <w:top w:val="single" w:color="auto" w:sz="4" w:space="0"/>
                    <w:left w:val="single" w:color="auto" w:sz="4" w:space="0"/>
                    <w:bottom w:val="single" w:color="auto" w:sz="4" w:space="0"/>
                    <w:right w:val="single" w:color="auto" w:sz="4" w:space="0"/>
                  </w:tcBorders>
                  <w:shd w:val="clear" w:color="auto" w:fill="auto"/>
                  <w:vAlign w:val="center"/>
                </w:tcPr>
                <w:p w14:paraId="0C4B91C5">
                  <w:pPr>
                    <w:widowControl/>
                    <w:spacing w:line="240" w:lineRule="auto"/>
                    <w:jc w:val="center"/>
                    <w:textAlignment w:val="center"/>
                    <w:rPr>
                      <w:rFonts w:hint="eastAsia" w:cs="宋体"/>
                      <w:color w:val="auto"/>
                      <w:kern w:val="0"/>
                      <w:sz w:val="18"/>
                      <w:szCs w:val="18"/>
                      <w:vertAlign w:val="baseline"/>
                      <w:lang w:val="en-US" w:eastAsia="zh-CN" w:bidi="ar"/>
                    </w:rPr>
                  </w:pPr>
                  <w:r>
                    <w:rPr>
                      <w:rFonts w:hint="eastAsia" w:cs="宋体"/>
                      <w:color w:val="auto"/>
                      <w:kern w:val="0"/>
                      <w:sz w:val="18"/>
                      <w:szCs w:val="18"/>
                      <w:vertAlign w:val="baseline"/>
                      <w:lang w:val="en-US" w:eastAsia="zh-CN" w:bidi="ar"/>
                    </w:rPr>
                    <w:t>现有项目危废已占用面积20</w:t>
                  </w:r>
                  <w:r>
                    <w:rPr>
                      <w:rFonts w:cs="宋体"/>
                      <w:color w:val="auto"/>
                      <w:kern w:val="0"/>
                      <w:sz w:val="18"/>
                      <w:szCs w:val="18"/>
                      <w:lang w:bidi="ar"/>
                    </w:rPr>
                    <w:t>m</w:t>
                  </w:r>
                  <w:r>
                    <w:rPr>
                      <w:rFonts w:cs="宋体"/>
                      <w:color w:val="auto"/>
                      <w:kern w:val="0"/>
                      <w:sz w:val="18"/>
                      <w:szCs w:val="18"/>
                      <w:vertAlign w:val="superscript"/>
                      <w:lang w:bidi="ar"/>
                    </w:rPr>
                    <w:t>2</w:t>
                  </w:r>
                  <w:r>
                    <w:rPr>
                      <w:rFonts w:hint="eastAsia" w:cs="宋体"/>
                      <w:color w:val="auto"/>
                      <w:kern w:val="0"/>
                      <w:sz w:val="18"/>
                      <w:szCs w:val="18"/>
                      <w:vertAlign w:val="baseline"/>
                      <w:lang w:val="en-US" w:eastAsia="zh-CN" w:bidi="ar"/>
                    </w:rPr>
                    <w:t>。</w:t>
                  </w:r>
                </w:p>
              </w:tc>
              <w:tc>
                <w:tcPr>
                  <w:tcW w:w="1207" w:type="pct"/>
                  <w:tcBorders>
                    <w:top w:val="single" w:color="auto" w:sz="4" w:space="0"/>
                    <w:left w:val="single" w:color="auto" w:sz="4" w:space="0"/>
                    <w:bottom w:val="single" w:color="auto" w:sz="4" w:space="0"/>
                    <w:right w:val="single" w:color="auto" w:sz="4" w:space="0"/>
                  </w:tcBorders>
                  <w:shd w:val="clear" w:color="auto" w:fill="auto"/>
                  <w:vAlign w:val="center"/>
                </w:tcPr>
                <w:p w14:paraId="12150A89">
                  <w:pPr>
                    <w:widowControl/>
                    <w:spacing w:line="240" w:lineRule="auto"/>
                    <w:jc w:val="center"/>
                    <w:textAlignment w:val="center"/>
                    <w:rPr>
                      <w:rFonts w:hint="eastAsia"/>
                      <w:color w:val="auto"/>
                      <w:kern w:val="0"/>
                      <w:sz w:val="18"/>
                      <w:szCs w:val="18"/>
                      <w:lang w:bidi="ar"/>
                    </w:rPr>
                  </w:pPr>
                  <w:r>
                    <w:rPr>
                      <w:rFonts w:hint="eastAsia"/>
                      <w:color w:val="auto"/>
                      <w:kern w:val="0"/>
                      <w:sz w:val="18"/>
                      <w:szCs w:val="18"/>
                      <w:lang w:bidi="ar"/>
                    </w:rPr>
                    <w:t>本项目新增</w:t>
                  </w:r>
                  <w:r>
                    <w:rPr>
                      <w:rFonts w:hint="eastAsia" w:cs="宋体"/>
                      <w:color w:val="auto"/>
                      <w:kern w:val="0"/>
                      <w:sz w:val="18"/>
                      <w:szCs w:val="18"/>
                      <w:lang w:val="en-US" w:eastAsia="zh-CN" w:bidi="ar"/>
                    </w:rPr>
                    <w:t>危废需要面积为12</w:t>
                  </w:r>
                  <w:r>
                    <w:rPr>
                      <w:rFonts w:cs="宋体"/>
                      <w:color w:val="auto"/>
                      <w:kern w:val="0"/>
                      <w:sz w:val="18"/>
                      <w:szCs w:val="18"/>
                      <w:lang w:bidi="ar"/>
                    </w:rPr>
                    <w:t>m</w:t>
                  </w:r>
                  <w:r>
                    <w:rPr>
                      <w:rFonts w:cs="宋体"/>
                      <w:color w:val="auto"/>
                      <w:kern w:val="0"/>
                      <w:sz w:val="18"/>
                      <w:szCs w:val="18"/>
                      <w:vertAlign w:val="superscript"/>
                      <w:lang w:bidi="ar"/>
                    </w:rPr>
                    <w:t>2</w:t>
                  </w:r>
                  <w:r>
                    <w:rPr>
                      <w:rFonts w:hint="eastAsia" w:cs="宋体"/>
                      <w:color w:val="auto"/>
                      <w:kern w:val="0"/>
                      <w:sz w:val="18"/>
                      <w:szCs w:val="18"/>
                      <w:lang w:val="en-US" w:eastAsia="zh-CN" w:bidi="ar"/>
                    </w:rPr>
                    <w:t>，</w:t>
                  </w:r>
                  <w:r>
                    <w:rPr>
                      <w:rFonts w:hint="eastAsia"/>
                      <w:color w:val="auto"/>
                      <w:kern w:val="0"/>
                      <w:sz w:val="18"/>
                      <w:szCs w:val="18"/>
                      <w:lang w:bidi="ar"/>
                    </w:rPr>
                    <w:t>依托现有</w:t>
                  </w:r>
                  <w:r>
                    <w:rPr>
                      <w:rFonts w:hint="eastAsia" w:cs="宋体"/>
                      <w:color w:val="auto"/>
                      <w:kern w:val="0"/>
                      <w:sz w:val="18"/>
                      <w:szCs w:val="18"/>
                      <w:lang w:val="en-US" w:eastAsia="zh-CN" w:bidi="ar"/>
                    </w:rPr>
                    <w:t>危废库</w:t>
                  </w:r>
                  <w:r>
                    <w:rPr>
                      <w:rFonts w:hint="eastAsia" w:cs="宋体"/>
                      <w:color w:val="auto"/>
                      <w:kern w:val="0"/>
                      <w:sz w:val="18"/>
                      <w:szCs w:val="18"/>
                      <w:vertAlign w:val="baseline"/>
                      <w:lang w:val="en-US" w:eastAsia="zh-CN" w:bidi="ar"/>
                    </w:rPr>
                    <w:t>可行。</w:t>
                  </w:r>
                </w:p>
              </w:tc>
              <w:tc>
                <w:tcPr>
                  <w:tcW w:w="353" w:type="pct"/>
                  <w:tcBorders>
                    <w:top w:val="single" w:color="000000" w:sz="4" w:space="0"/>
                    <w:left w:val="single" w:color="auto" w:sz="4" w:space="0"/>
                    <w:bottom w:val="single" w:color="000000" w:sz="4" w:space="0"/>
                    <w:right w:val="single" w:color="000000" w:sz="4" w:space="0"/>
                  </w:tcBorders>
                  <w:shd w:val="clear" w:color="auto" w:fill="auto"/>
                  <w:vAlign w:val="center"/>
                </w:tcPr>
                <w:p w14:paraId="375C7F5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依托可行</w:t>
                  </w:r>
                </w:p>
              </w:tc>
            </w:tr>
            <w:tr w14:paraId="38D76DB5">
              <w:tblPrEx>
                <w:tblCellMar>
                  <w:top w:w="0" w:type="dxa"/>
                  <w:left w:w="108" w:type="dxa"/>
                  <w:bottom w:w="0" w:type="dxa"/>
                  <w:right w:w="108" w:type="dxa"/>
                </w:tblCellMar>
              </w:tblPrEx>
              <w:trPr>
                <w:trHeight w:val="340" w:hRule="atLeast"/>
              </w:trPr>
              <w:tc>
                <w:tcPr>
                  <w:tcW w:w="386" w:type="pct"/>
                  <w:vMerge w:val="continue"/>
                  <w:tcBorders>
                    <w:top w:val="single" w:color="auto" w:sz="4" w:space="0"/>
                    <w:left w:val="single" w:color="auto" w:sz="4" w:space="0"/>
                    <w:right w:val="single" w:color="000000" w:sz="4" w:space="0"/>
                  </w:tcBorders>
                  <w:shd w:val="clear" w:color="auto" w:fill="auto"/>
                  <w:vAlign w:val="center"/>
                </w:tcPr>
                <w:p w14:paraId="4A100197">
                  <w:pPr>
                    <w:widowControl/>
                    <w:spacing w:line="240" w:lineRule="auto"/>
                    <w:jc w:val="center"/>
                    <w:rPr>
                      <w:rFonts w:cs="宋体"/>
                      <w:color w:val="auto"/>
                      <w:sz w:val="18"/>
                      <w:szCs w:val="18"/>
                    </w:rPr>
                  </w:pPr>
                </w:p>
              </w:tc>
              <w:tc>
                <w:tcPr>
                  <w:tcW w:w="627" w:type="pct"/>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206CCB7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地下水</w:t>
                  </w:r>
                </w:p>
              </w:tc>
              <w:tc>
                <w:tcPr>
                  <w:tcW w:w="1174" w:type="pct"/>
                  <w:tcBorders>
                    <w:top w:val="single" w:color="auto" w:sz="4" w:space="0"/>
                    <w:left w:val="single" w:color="000000" w:sz="4" w:space="0"/>
                    <w:bottom w:val="single" w:color="000000" w:sz="4" w:space="0"/>
                    <w:right w:val="single" w:color="000000" w:sz="4" w:space="0"/>
                  </w:tcBorders>
                  <w:shd w:val="clear" w:color="auto" w:fill="auto"/>
                  <w:vAlign w:val="center"/>
                </w:tcPr>
                <w:p w14:paraId="3A6263A7">
                  <w:pPr>
                    <w:widowControl/>
                    <w:spacing w:line="240" w:lineRule="auto"/>
                    <w:jc w:val="center"/>
                    <w:textAlignment w:val="center"/>
                    <w:rPr>
                      <w:rFonts w:cs="宋体"/>
                      <w:color w:val="auto"/>
                      <w:sz w:val="18"/>
                      <w:szCs w:val="18"/>
                    </w:rPr>
                  </w:pPr>
                  <w:r>
                    <w:rPr>
                      <w:rFonts w:hint="eastAsia" w:cs="宋体"/>
                      <w:color w:val="auto"/>
                      <w:kern w:val="0"/>
                      <w:sz w:val="18"/>
                      <w:szCs w:val="18"/>
                      <w:lang w:val="en-US" w:eastAsia="zh-CN" w:bidi="ar"/>
                    </w:rPr>
                    <w:t>污水处理站、危废库</w:t>
                  </w:r>
                  <w:r>
                    <w:rPr>
                      <w:rFonts w:hint="eastAsia" w:cs="宋体"/>
                      <w:color w:val="auto"/>
                      <w:kern w:val="0"/>
                      <w:sz w:val="18"/>
                      <w:szCs w:val="18"/>
                      <w:lang w:bidi="ar"/>
                    </w:rPr>
                    <w:t>等重点防渗区域满足等效黏土防渗层</w:t>
                  </w:r>
                  <w:r>
                    <w:rPr>
                      <w:color w:val="auto"/>
                      <w:kern w:val="0"/>
                      <w:sz w:val="18"/>
                      <w:szCs w:val="18"/>
                      <w:lang w:bidi="ar"/>
                    </w:rPr>
                    <w:t>Mb≥6.0m</w:t>
                  </w:r>
                  <w:r>
                    <w:rPr>
                      <w:rFonts w:hint="eastAsia" w:cs="宋体"/>
                      <w:color w:val="auto"/>
                      <w:kern w:val="0"/>
                      <w:sz w:val="18"/>
                      <w:szCs w:val="18"/>
                      <w:lang w:bidi="ar"/>
                    </w:rPr>
                    <w:t>，</w:t>
                  </w:r>
                  <w:r>
                    <w:rPr>
                      <w:color w:val="auto"/>
                      <w:kern w:val="0"/>
                      <w:sz w:val="18"/>
                      <w:szCs w:val="18"/>
                      <w:lang w:bidi="ar"/>
                    </w:rPr>
                    <w:t>K≤10</w:t>
                  </w:r>
                  <w:r>
                    <w:rPr>
                      <w:color w:val="auto"/>
                      <w:kern w:val="0"/>
                      <w:sz w:val="18"/>
                      <w:szCs w:val="18"/>
                      <w:vertAlign w:val="superscript"/>
                      <w:lang w:bidi="ar"/>
                    </w:rPr>
                    <w:t>-</w:t>
                  </w:r>
                  <w:r>
                    <w:rPr>
                      <w:rFonts w:hint="eastAsia"/>
                      <w:color w:val="auto"/>
                      <w:kern w:val="0"/>
                      <w:sz w:val="18"/>
                      <w:szCs w:val="18"/>
                      <w:vertAlign w:val="superscript"/>
                      <w:lang w:val="en-US" w:eastAsia="zh-CN" w:bidi="ar"/>
                    </w:rPr>
                    <w:t>10</w:t>
                  </w:r>
                  <w:r>
                    <w:rPr>
                      <w:color w:val="auto"/>
                      <w:kern w:val="0"/>
                      <w:sz w:val="18"/>
                      <w:szCs w:val="18"/>
                      <w:lang w:bidi="ar"/>
                    </w:rPr>
                    <w:t>cm/s</w:t>
                  </w:r>
                  <w:r>
                    <w:rPr>
                      <w:rFonts w:hint="eastAsia" w:cs="宋体"/>
                      <w:color w:val="auto"/>
                      <w:kern w:val="0"/>
                      <w:sz w:val="18"/>
                      <w:szCs w:val="18"/>
                      <w:lang w:bidi="ar"/>
                    </w:rPr>
                    <w:t>要求；一般固废库等一般防渗区域满足等效黏土防渗层</w:t>
                  </w:r>
                  <w:r>
                    <w:rPr>
                      <w:color w:val="auto"/>
                      <w:kern w:val="0"/>
                      <w:sz w:val="18"/>
                      <w:szCs w:val="18"/>
                      <w:lang w:bidi="ar"/>
                    </w:rPr>
                    <w:t>Mb≥1.5m</w:t>
                  </w:r>
                  <w:r>
                    <w:rPr>
                      <w:rFonts w:hint="eastAsia" w:cs="宋体"/>
                      <w:color w:val="auto"/>
                      <w:kern w:val="0"/>
                      <w:sz w:val="18"/>
                      <w:szCs w:val="18"/>
                      <w:lang w:bidi="ar"/>
                    </w:rPr>
                    <w:t>，</w:t>
                  </w:r>
                  <w:r>
                    <w:rPr>
                      <w:color w:val="auto"/>
                      <w:kern w:val="0"/>
                      <w:sz w:val="18"/>
                      <w:szCs w:val="18"/>
                      <w:lang w:bidi="ar"/>
                    </w:rPr>
                    <w:t>K≤10</w:t>
                  </w:r>
                  <w:r>
                    <w:rPr>
                      <w:color w:val="auto"/>
                      <w:kern w:val="0"/>
                      <w:sz w:val="18"/>
                      <w:szCs w:val="18"/>
                      <w:vertAlign w:val="superscript"/>
                      <w:lang w:bidi="ar"/>
                    </w:rPr>
                    <w:t>-7</w:t>
                  </w:r>
                  <w:r>
                    <w:rPr>
                      <w:color w:val="auto"/>
                      <w:kern w:val="0"/>
                      <w:sz w:val="18"/>
                      <w:szCs w:val="18"/>
                      <w:lang w:bidi="ar"/>
                    </w:rPr>
                    <w:t>cm/s</w:t>
                  </w:r>
                  <w:r>
                    <w:rPr>
                      <w:rFonts w:hint="eastAsia" w:cs="宋体"/>
                      <w:color w:val="auto"/>
                      <w:kern w:val="0"/>
                      <w:sz w:val="18"/>
                      <w:szCs w:val="18"/>
                      <w:lang w:bidi="ar"/>
                    </w:rPr>
                    <w:t>要求</w:t>
                  </w:r>
                  <w:r>
                    <w:rPr>
                      <w:rFonts w:hint="eastAsia" w:cs="宋体"/>
                      <w:color w:val="auto"/>
                      <w:kern w:val="0"/>
                      <w:sz w:val="18"/>
                      <w:szCs w:val="18"/>
                      <w:lang w:val="en-US" w:eastAsia="zh-CN" w:bidi="ar"/>
                    </w:rPr>
                    <w:t>。</w:t>
                  </w:r>
                </w:p>
              </w:tc>
              <w:tc>
                <w:tcPr>
                  <w:tcW w:w="1250" w:type="pct"/>
                  <w:tcBorders>
                    <w:top w:val="single" w:color="auto" w:sz="4" w:space="0"/>
                    <w:left w:val="single" w:color="000000" w:sz="4" w:space="0"/>
                    <w:bottom w:val="single" w:color="000000" w:sz="4" w:space="0"/>
                    <w:right w:val="single" w:color="000000" w:sz="4" w:space="0"/>
                  </w:tcBorders>
                  <w:shd w:val="clear" w:color="auto" w:fill="auto"/>
                  <w:vAlign w:val="center"/>
                </w:tcPr>
                <w:p w14:paraId="4F14FEDE">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w:t>
                  </w:r>
                </w:p>
              </w:tc>
              <w:tc>
                <w:tcPr>
                  <w:tcW w:w="1207" w:type="pct"/>
                  <w:tcBorders>
                    <w:top w:val="single" w:color="auto" w:sz="4" w:space="0"/>
                    <w:left w:val="single" w:color="000000" w:sz="4" w:space="0"/>
                    <w:bottom w:val="single" w:color="000000" w:sz="4" w:space="0"/>
                    <w:right w:val="single" w:color="000000" w:sz="4" w:space="0"/>
                  </w:tcBorders>
                  <w:shd w:val="clear" w:color="auto" w:fill="auto"/>
                  <w:vAlign w:val="center"/>
                </w:tcPr>
                <w:p w14:paraId="260A881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本项目依托现有重点防渗区为污水处理站、危废库，已按重点防渗要求施工，防渗膜渗透系数应等效于黏土防渗层Mb≥6.0m，K≤10</w:t>
                  </w:r>
                  <w:r>
                    <w:rPr>
                      <w:rFonts w:hint="eastAsia" w:cs="宋体"/>
                      <w:color w:val="auto"/>
                      <w:kern w:val="0"/>
                      <w:sz w:val="18"/>
                      <w:szCs w:val="18"/>
                      <w:vertAlign w:val="superscript"/>
                      <w:lang w:val="en-US" w:eastAsia="zh-CN" w:bidi="ar"/>
                    </w:rPr>
                    <w:t>-10</w:t>
                  </w:r>
                  <w:r>
                    <w:rPr>
                      <w:rFonts w:hint="eastAsia" w:cs="宋体"/>
                      <w:color w:val="auto"/>
                      <w:kern w:val="0"/>
                      <w:sz w:val="18"/>
                      <w:szCs w:val="18"/>
                      <w:lang w:val="en-US" w:eastAsia="zh-CN" w:bidi="ar"/>
                    </w:rPr>
                    <w:t>cm/s。本项目依托现有7#车间，一般固废库，采用防渗混凝土作面层，防渗膜渗透系数应等效于黏土防渗层Mb≥1.5m，K≤10</w:t>
                  </w:r>
                  <w:r>
                    <w:rPr>
                      <w:rFonts w:hint="eastAsia" w:cs="宋体"/>
                      <w:color w:val="auto"/>
                      <w:kern w:val="0"/>
                      <w:sz w:val="18"/>
                      <w:szCs w:val="18"/>
                      <w:vertAlign w:val="superscript"/>
                      <w:lang w:val="en-US" w:eastAsia="zh-CN" w:bidi="ar"/>
                    </w:rPr>
                    <w:t>-7</w:t>
                  </w:r>
                  <w:r>
                    <w:rPr>
                      <w:rFonts w:hint="eastAsia" w:cs="宋体"/>
                      <w:color w:val="auto"/>
                      <w:kern w:val="0"/>
                      <w:sz w:val="18"/>
                      <w:szCs w:val="18"/>
                      <w:lang w:val="en-US" w:eastAsia="zh-CN" w:bidi="ar"/>
                    </w:rPr>
                    <w:t>cm/s。</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FEB39">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r w14:paraId="260C54F2">
              <w:tblPrEx>
                <w:tblCellMar>
                  <w:top w:w="0" w:type="dxa"/>
                  <w:left w:w="108" w:type="dxa"/>
                  <w:bottom w:w="0" w:type="dxa"/>
                  <w:right w:w="108" w:type="dxa"/>
                </w:tblCellMar>
              </w:tblPrEx>
              <w:trPr>
                <w:trHeight w:val="1292" w:hRule="atLeast"/>
              </w:trPr>
              <w:tc>
                <w:tcPr>
                  <w:tcW w:w="386" w:type="pct"/>
                  <w:vMerge w:val="continue"/>
                  <w:tcBorders>
                    <w:left w:val="single" w:color="auto" w:sz="4" w:space="0"/>
                    <w:bottom w:val="single" w:color="auto" w:sz="4" w:space="0"/>
                    <w:right w:val="single" w:color="000000" w:sz="4" w:space="0"/>
                  </w:tcBorders>
                  <w:shd w:val="clear" w:color="auto" w:fill="auto"/>
                  <w:vAlign w:val="center"/>
                </w:tcPr>
                <w:p w14:paraId="4ED441E8">
                  <w:pPr>
                    <w:widowControl/>
                    <w:spacing w:line="240" w:lineRule="auto"/>
                    <w:jc w:val="center"/>
                    <w:rPr>
                      <w:rFonts w:cs="宋体"/>
                      <w:color w:val="auto"/>
                      <w:sz w:val="18"/>
                      <w:szCs w:val="18"/>
                    </w:rPr>
                  </w:pPr>
                </w:p>
              </w:tc>
              <w:tc>
                <w:tcPr>
                  <w:tcW w:w="62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79A30">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环境风险</w:t>
                  </w:r>
                </w:p>
              </w:tc>
              <w:tc>
                <w:tcPr>
                  <w:tcW w:w="11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8018F">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现有应急事故池容积为270m</w:t>
                  </w:r>
                  <w:r>
                    <w:rPr>
                      <w:rFonts w:hint="eastAsia" w:cs="宋体"/>
                      <w:color w:val="auto"/>
                      <w:kern w:val="0"/>
                      <w:sz w:val="18"/>
                      <w:szCs w:val="18"/>
                      <w:vertAlign w:val="superscript"/>
                      <w:lang w:val="en-US" w:eastAsia="zh-CN" w:bidi="ar"/>
                    </w:rPr>
                    <w:t>3</w:t>
                  </w:r>
                  <w:r>
                    <w:rPr>
                      <w:rFonts w:hint="eastAsia" w:cs="宋体"/>
                      <w:color w:val="auto"/>
                      <w:kern w:val="0"/>
                      <w:sz w:val="18"/>
                      <w:szCs w:val="18"/>
                      <w:vertAlign w:val="baseline"/>
                      <w:lang w:val="en-US" w:eastAsia="zh-CN" w:bidi="ar"/>
                    </w:rPr>
                    <w:t>，现有事故池容积根据全厂汇水面积计算，</w:t>
                  </w:r>
                  <w:r>
                    <w:rPr>
                      <w:rFonts w:hint="eastAsia" w:cs="宋体"/>
                      <w:color w:val="auto"/>
                      <w:kern w:val="0"/>
                      <w:sz w:val="18"/>
                      <w:szCs w:val="18"/>
                      <w:lang w:bidi="ar"/>
                    </w:rPr>
                    <w:t>可满足</w:t>
                  </w:r>
                  <w:r>
                    <w:rPr>
                      <w:rFonts w:hint="eastAsia" w:cs="宋体"/>
                      <w:color w:val="auto"/>
                      <w:kern w:val="0"/>
                      <w:sz w:val="18"/>
                      <w:szCs w:val="18"/>
                      <w:lang w:val="en-US" w:eastAsia="zh-CN" w:bidi="ar"/>
                    </w:rPr>
                    <w:t>安安厂区</w:t>
                  </w:r>
                  <w:r>
                    <w:rPr>
                      <w:rFonts w:hint="eastAsia" w:cs="宋体"/>
                      <w:color w:val="auto"/>
                      <w:kern w:val="0"/>
                      <w:sz w:val="18"/>
                      <w:szCs w:val="18"/>
                      <w:lang w:bidi="ar"/>
                    </w:rPr>
                    <w:t>事故状态的废水、废液的收集</w:t>
                  </w:r>
                  <w:r>
                    <w:rPr>
                      <w:rFonts w:hint="eastAsia" w:cs="宋体"/>
                      <w:color w:val="auto"/>
                      <w:kern w:val="0"/>
                      <w:sz w:val="18"/>
                      <w:szCs w:val="18"/>
                      <w:lang w:val="en-US" w:eastAsia="zh-CN" w:bidi="ar"/>
                    </w:rPr>
                    <w:t>。</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4D30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37232">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本项目可直接</w:t>
                  </w:r>
                  <w:r>
                    <w:rPr>
                      <w:rFonts w:hint="eastAsia" w:cs="宋体"/>
                      <w:color w:val="auto"/>
                      <w:kern w:val="0"/>
                      <w:sz w:val="18"/>
                      <w:szCs w:val="18"/>
                      <w:lang w:bidi="ar"/>
                    </w:rPr>
                    <w:t>依托现有一座容积为</w:t>
                  </w:r>
                  <w:r>
                    <w:rPr>
                      <w:rFonts w:hint="eastAsia" w:cs="宋体"/>
                      <w:color w:val="auto"/>
                      <w:kern w:val="0"/>
                      <w:sz w:val="18"/>
                      <w:szCs w:val="18"/>
                      <w:lang w:val="en-US" w:eastAsia="zh-CN" w:bidi="ar"/>
                    </w:rPr>
                    <w:t>27</w:t>
                  </w:r>
                  <w:r>
                    <w:rPr>
                      <w:rFonts w:hint="eastAsia" w:cs="宋体"/>
                      <w:color w:val="auto"/>
                      <w:kern w:val="0"/>
                      <w:sz w:val="18"/>
                      <w:szCs w:val="18"/>
                      <w:lang w:bidi="ar"/>
                    </w:rPr>
                    <w:t>0m</w:t>
                  </w:r>
                  <w:r>
                    <w:rPr>
                      <w:rFonts w:hint="eastAsia" w:cs="宋体"/>
                      <w:color w:val="auto"/>
                      <w:kern w:val="0"/>
                      <w:sz w:val="18"/>
                      <w:szCs w:val="18"/>
                      <w:vertAlign w:val="superscript"/>
                      <w:lang w:bidi="ar"/>
                    </w:rPr>
                    <w:t>3</w:t>
                  </w:r>
                  <w:r>
                    <w:rPr>
                      <w:rFonts w:hint="eastAsia" w:cs="宋体"/>
                      <w:color w:val="auto"/>
                      <w:kern w:val="0"/>
                      <w:sz w:val="18"/>
                      <w:szCs w:val="18"/>
                      <w:lang w:bidi="ar"/>
                    </w:rPr>
                    <w:t>的事故池。</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B85B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依托可行</w:t>
                  </w:r>
                </w:p>
              </w:tc>
            </w:tr>
          </w:tbl>
          <w:p w14:paraId="54E323FA">
            <w:pPr>
              <w:numPr>
                <w:ilvl w:val="0"/>
                <w:numId w:val="23"/>
              </w:numPr>
              <w:rPr>
                <w:b/>
                <w:color w:val="auto"/>
                <w:szCs w:val="24"/>
              </w:rPr>
            </w:pPr>
            <w:r>
              <w:rPr>
                <w:rFonts w:hint="eastAsia"/>
                <w:b/>
                <w:color w:val="auto"/>
                <w:szCs w:val="24"/>
              </w:rPr>
              <w:t>产品方案</w:t>
            </w:r>
          </w:p>
          <w:p w14:paraId="0B47AC05">
            <w:pPr>
              <w:ind w:firstLine="480" w:firstLineChars="200"/>
              <w:rPr>
                <w:color w:val="auto"/>
              </w:rPr>
            </w:pPr>
            <w:r>
              <w:rPr>
                <w:rFonts w:hint="eastAsia"/>
                <w:color w:val="auto"/>
              </w:rPr>
              <w:t>本项目</w:t>
            </w:r>
            <w:r>
              <w:rPr>
                <w:rFonts w:hint="eastAsia"/>
                <w:color w:val="auto"/>
                <w:lang w:val="en-US" w:eastAsia="zh-CN"/>
              </w:rPr>
              <w:t>建设高端工业铝材浇铸件生产线1条</w:t>
            </w:r>
            <w:r>
              <w:rPr>
                <w:rFonts w:hint="eastAsia"/>
                <w:color w:val="auto"/>
                <w:lang w:eastAsia="zh-CN"/>
              </w:rPr>
              <w:t>，</w:t>
            </w:r>
            <w:r>
              <w:rPr>
                <w:rFonts w:hint="eastAsia"/>
                <w:color w:val="auto"/>
                <w:highlight w:val="none"/>
                <w:lang w:val="en-US" w:eastAsia="zh-CN"/>
              </w:rPr>
              <w:t>设计能力为80000件/a，</w:t>
            </w:r>
            <w:r>
              <w:rPr>
                <w:rFonts w:hint="eastAsia"/>
                <w:color w:val="auto"/>
              </w:rPr>
              <w:t>具体产品情况见下表。</w:t>
            </w:r>
          </w:p>
          <w:p w14:paraId="535C6835">
            <w:pPr>
              <w:jc w:val="center"/>
              <w:rPr>
                <w:rFonts w:ascii="黑体" w:hAnsi="黑体" w:eastAsia="黑体"/>
                <w:color w:val="auto"/>
                <w:szCs w:val="24"/>
              </w:rPr>
            </w:pPr>
          </w:p>
          <w:p w14:paraId="068B1E7F">
            <w:pPr>
              <w:jc w:val="center"/>
              <w:rPr>
                <w:rFonts w:ascii="黑体" w:hAnsi="黑体" w:eastAsia="黑体"/>
                <w:color w:val="auto"/>
                <w:szCs w:val="24"/>
              </w:rPr>
            </w:pPr>
          </w:p>
          <w:p w14:paraId="2ED7031E">
            <w:pPr>
              <w:jc w:val="center"/>
              <w:rPr>
                <w:rFonts w:hint="eastAsia" w:ascii="黑体" w:hAnsi="黑体" w:eastAsia="黑体"/>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4</w:t>
            </w:r>
            <w:r>
              <w:rPr>
                <w:rFonts w:hint="eastAsia" w:ascii="黑体" w:hAnsi="黑体" w:eastAsia="黑体"/>
                <w:color w:val="auto"/>
                <w:szCs w:val="24"/>
              </w:rPr>
              <w:t xml:space="preserve"> </w:t>
            </w:r>
            <w:r>
              <w:rPr>
                <w:rFonts w:ascii="黑体" w:hAnsi="黑体" w:eastAsia="黑体"/>
                <w:color w:val="auto"/>
                <w:szCs w:val="24"/>
              </w:rPr>
              <w:t xml:space="preserve"> </w:t>
            </w:r>
            <w:r>
              <w:rPr>
                <w:rFonts w:hint="eastAsia" w:ascii="黑体" w:hAnsi="黑体" w:eastAsia="黑体"/>
                <w:color w:val="auto"/>
                <w:szCs w:val="24"/>
                <w:lang w:val="en-US" w:eastAsia="zh-CN"/>
              </w:rPr>
              <w:t>本项目</w:t>
            </w:r>
            <w:r>
              <w:rPr>
                <w:rFonts w:hint="eastAsia" w:ascii="黑体" w:hAnsi="黑体" w:eastAsia="黑体"/>
                <w:color w:val="auto"/>
                <w:szCs w:val="24"/>
              </w:rPr>
              <w:t>产品方案</w:t>
            </w:r>
          </w:p>
          <w:tbl>
            <w:tblPr>
              <w:tblStyle w:val="69"/>
              <w:tblW w:w="9079" w:type="dxa"/>
              <w:tblInd w:w="0" w:type="dxa"/>
              <w:tblLayout w:type="fixed"/>
              <w:tblCellMar>
                <w:top w:w="0" w:type="dxa"/>
                <w:left w:w="108" w:type="dxa"/>
                <w:bottom w:w="0" w:type="dxa"/>
                <w:right w:w="108" w:type="dxa"/>
              </w:tblCellMar>
            </w:tblPr>
            <w:tblGrid>
              <w:gridCol w:w="572"/>
              <w:gridCol w:w="928"/>
              <w:gridCol w:w="750"/>
              <w:gridCol w:w="882"/>
              <w:gridCol w:w="854"/>
              <w:gridCol w:w="2446"/>
              <w:gridCol w:w="1027"/>
              <w:gridCol w:w="831"/>
              <w:gridCol w:w="789"/>
            </w:tblGrid>
            <w:tr w14:paraId="21528338">
              <w:tblPrEx>
                <w:tblCellMar>
                  <w:top w:w="0" w:type="dxa"/>
                  <w:left w:w="108" w:type="dxa"/>
                  <w:bottom w:w="0" w:type="dxa"/>
                  <w:right w:w="108" w:type="dxa"/>
                </w:tblCellMar>
              </w:tblPrEx>
              <w:trPr>
                <w:trHeight w:val="641" w:hRule="atLeast"/>
              </w:trPr>
              <w:tc>
                <w:tcPr>
                  <w:tcW w:w="5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9CCB14">
                  <w:pPr>
                    <w:widowControl/>
                    <w:spacing w:line="240" w:lineRule="auto"/>
                    <w:jc w:val="center"/>
                    <w:textAlignment w:val="center"/>
                    <w:rPr>
                      <w:rFonts w:cs="等线"/>
                      <w:color w:val="auto"/>
                      <w:kern w:val="0"/>
                      <w:sz w:val="18"/>
                      <w:szCs w:val="22"/>
                      <w:lang w:bidi="ar"/>
                    </w:rPr>
                  </w:pPr>
                  <w:r>
                    <w:rPr>
                      <w:rFonts w:hint="eastAsia" w:cs="等线"/>
                      <w:color w:val="auto"/>
                      <w:kern w:val="0"/>
                      <w:sz w:val="18"/>
                      <w:szCs w:val="22"/>
                      <w:lang w:bidi="ar"/>
                    </w:rPr>
                    <w:t>序号</w:t>
                  </w:r>
                </w:p>
              </w:tc>
              <w:tc>
                <w:tcPr>
                  <w:tcW w:w="92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545DB8">
                  <w:pPr>
                    <w:widowControl/>
                    <w:spacing w:line="240" w:lineRule="auto"/>
                    <w:jc w:val="center"/>
                    <w:textAlignment w:val="center"/>
                    <w:rPr>
                      <w:rFonts w:cs="等线"/>
                      <w:color w:val="auto"/>
                      <w:sz w:val="18"/>
                      <w:szCs w:val="22"/>
                    </w:rPr>
                  </w:pPr>
                  <w:r>
                    <w:rPr>
                      <w:rFonts w:hint="eastAsia" w:cs="等线"/>
                      <w:color w:val="auto"/>
                      <w:kern w:val="0"/>
                      <w:sz w:val="18"/>
                      <w:szCs w:val="22"/>
                      <w:lang w:bidi="ar"/>
                    </w:rPr>
                    <w:t>产品名称</w:t>
                  </w:r>
                </w:p>
              </w:tc>
              <w:tc>
                <w:tcPr>
                  <w:tcW w:w="7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96B49C">
                  <w:pPr>
                    <w:widowControl/>
                    <w:spacing w:line="240" w:lineRule="auto"/>
                    <w:jc w:val="center"/>
                    <w:textAlignment w:val="center"/>
                    <w:rPr>
                      <w:rFonts w:hint="eastAsia" w:eastAsia="宋体" w:cs="等线"/>
                      <w:color w:val="auto"/>
                      <w:kern w:val="0"/>
                      <w:sz w:val="18"/>
                      <w:szCs w:val="22"/>
                      <w:lang w:val="en-US" w:eastAsia="zh-CN" w:bidi="ar"/>
                    </w:rPr>
                  </w:pPr>
                  <w:r>
                    <w:rPr>
                      <w:rFonts w:hint="eastAsia" w:cs="等线"/>
                      <w:color w:val="auto"/>
                      <w:kern w:val="0"/>
                      <w:sz w:val="18"/>
                      <w:szCs w:val="22"/>
                      <w:lang w:val="en-US" w:eastAsia="zh-CN" w:bidi="ar"/>
                    </w:rPr>
                    <w:t>生产线</w:t>
                  </w:r>
                </w:p>
              </w:tc>
              <w:tc>
                <w:tcPr>
                  <w:tcW w:w="88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551EB">
                  <w:pPr>
                    <w:widowControl/>
                    <w:spacing w:line="240" w:lineRule="auto"/>
                    <w:jc w:val="center"/>
                    <w:textAlignment w:val="center"/>
                    <w:rPr>
                      <w:rFonts w:hint="eastAsia" w:eastAsia="宋体" w:cs="等线"/>
                      <w:color w:val="auto"/>
                      <w:kern w:val="0"/>
                      <w:sz w:val="18"/>
                      <w:szCs w:val="22"/>
                      <w:lang w:eastAsia="zh-CN" w:bidi="ar"/>
                    </w:rPr>
                  </w:pPr>
                  <w:r>
                    <w:rPr>
                      <w:rFonts w:hint="eastAsia" w:cs="等线"/>
                      <w:color w:val="auto"/>
                      <w:kern w:val="0"/>
                      <w:sz w:val="18"/>
                      <w:szCs w:val="22"/>
                      <w:lang w:bidi="ar"/>
                    </w:rPr>
                    <w:t>产品</w:t>
                  </w:r>
                  <w:r>
                    <w:rPr>
                      <w:rFonts w:hint="eastAsia" w:cs="等线"/>
                      <w:color w:val="auto"/>
                      <w:kern w:val="0"/>
                      <w:sz w:val="18"/>
                      <w:szCs w:val="22"/>
                      <w:lang w:val="en-US" w:eastAsia="zh-CN" w:bidi="ar"/>
                    </w:rPr>
                    <w:t>形态</w:t>
                  </w:r>
                </w:p>
              </w:tc>
              <w:tc>
                <w:tcPr>
                  <w:tcW w:w="8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F89EEF">
                  <w:pPr>
                    <w:widowControl/>
                    <w:spacing w:line="240" w:lineRule="auto"/>
                    <w:jc w:val="center"/>
                    <w:textAlignment w:val="center"/>
                    <w:rPr>
                      <w:rFonts w:hint="eastAsia" w:cs="等线"/>
                      <w:color w:val="auto"/>
                      <w:kern w:val="0"/>
                      <w:sz w:val="18"/>
                      <w:szCs w:val="22"/>
                      <w:lang w:bidi="ar"/>
                    </w:rPr>
                  </w:pPr>
                  <w:r>
                    <w:rPr>
                      <w:rFonts w:hint="eastAsia" w:cs="等线"/>
                      <w:color w:val="auto"/>
                      <w:kern w:val="0"/>
                      <w:sz w:val="18"/>
                      <w:szCs w:val="22"/>
                      <w:lang w:val="en-US" w:eastAsia="zh-CN" w:bidi="ar"/>
                    </w:rPr>
                    <w:t>成分</w:t>
                  </w:r>
                </w:p>
              </w:tc>
              <w:tc>
                <w:tcPr>
                  <w:tcW w:w="24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B5C426">
                  <w:pPr>
                    <w:widowControl/>
                    <w:spacing w:line="240" w:lineRule="auto"/>
                    <w:jc w:val="center"/>
                    <w:textAlignment w:val="center"/>
                    <w:rPr>
                      <w:rFonts w:hint="default" w:cs="等线"/>
                      <w:color w:val="auto"/>
                      <w:sz w:val="18"/>
                      <w:szCs w:val="22"/>
                      <w:lang w:val="en-US" w:eastAsia="zh-CN"/>
                    </w:rPr>
                  </w:pPr>
                  <w:r>
                    <w:rPr>
                      <w:rFonts w:hint="eastAsia" w:cs="等线"/>
                      <w:color w:val="auto"/>
                      <w:sz w:val="18"/>
                      <w:szCs w:val="22"/>
                      <w:lang w:val="en-US" w:eastAsia="zh-CN"/>
                    </w:rPr>
                    <w:t>产品规格</w:t>
                  </w:r>
                </w:p>
              </w:tc>
              <w:tc>
                <w:tcPr>
                  <w:tcW w:w="10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57BCEA">
                  <w:pPr>
                    <w:widowControl/>
                    <w:spacing w:line="240" w:lineRule="auto"/>
                    <w:jc w:val="center"/>
                    <w:textAlignment w:val="center"/>
                    <w:rPr>
                      <w:rFonts w:hint="eastAsia" w:cs="等线"/>
                      <w:color w:val="auto"/>
                      <w:sz w:val="18"/>
                      <w:szCs w:val="22"/>
                    </w:rPr>
                  </w:pPr>
                  <w:r>
                    <w:rPr>
                      <w:rFonts w:hint="eastAsia" w:cs="等线"/>
                      <w:color w:val="auto"/>
                      <w:sz w:val="18"/>
                      <w:szCs w:val="22"/>
                    </w:rPr>
                    <w:t>设计能力（</w:t>
                  </w:r>
                  <w:r>
                    <w:rPr>
                      <w:rFonts w:hint="eastAsia" w:cs="等线"/>
                      <w:color w:val="auto"/>
                      <w:sz w:val="18"/>
                      <w:szCs w:val="22"/>
                      <w:lang w:val="en-US" w:eastAsia="zh-CN"/>
                    </w:rPr>
                    <w:t>件</w:t>
                  </w:r>
                  <w:r>
                    <w:rPr>
                      <w:rFonts w:hint="eastAsia" w:cs="等线"/>
                      <w:color w:val="auto"/>
                      <w:sz w:val="18"/>
                      <w:szCs w:val="22"/>
                    </w:rPr>
                    <w:t>/</w:t>
                  </w:r>
                  <w:r>
                    <w:rPr>
                      <w:rFonts w:hint="eastAsia" w:cs="等线"/>
                      <w:color w:val="auto"/>
                      <w:sz w:val="18"/>
                      <w:szCs w:val="22"/>
                      <w:lang w:val="en-US" w:eastAsia="zh-CN"/>
                    </w:rPr>
                    <w:t>a</w:t>
                  </w:r>
                  <w:r>
                    <w:rPr>
                      <w:rFonts w:hint="eastAsia" w:cs="等线"/>
                      <w:color w:val="auto"/>
                      <w:sz w:val="18"/>
                      <w:szCs w:val="22"/>
                    </w:rPr>
                    <w:t>）</w:t>
                  </w:r>
                </w:p>
              </w:tc>
              <w:tc>
                <w:tcPr>
                  <w:tcW w:w="83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9A5A2C">
                  <w:pPr>
                    <w:widowControl/>
                    <w:spacing w:line="240" w:lineRule="auto"/>
                    <w:jc w:val="center"/>
                    <w:textAlignment w:val="center"/>
                    <w:rPr>
                      <w:rFonts w:hint="default"/>
                      <w:color w:val="auto"/>
                      <w:lang w:val="en-US" w:eastAsia="zh-CN"/>
                    </w:rPr>
                  </w:pPr>
                  <w:r>
                    <w:rPr>
                      <w:rFonts w:hint="eastAsia" w:cs="等线"/>
                      <w:color w:val="auto"/>
                      <w:sz w:val="18"/>
                      <w:szCs w:val="22"/>
                      <w:lang w:val="en-US" w:eastAsia="zh-CN"/>
                    </w:rPr>
                    <w:t>总重量（t）</w:t>
                  </w:r>
                </w:p>
              </w:tc>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05BD9">
                  <w:pPr>
                    <w:widowControl/>
                    <w:spacing w:line="240" w:lineRule="auto"/>
                    <w:jc w:val="center"/>
                    <w:textAlignment w:val="center"/>
                    <w:rPr>
                      <w:rFonts w:cs="等线"/>
                      <w:color w:val="auto"/>
                      <w:sz w:val="18"/>
                      <w:szCs w:val="22"/>
                    </w:rPr>
                  </w:pPr>
                  <w:r>
                    <w:rPr>
                      <w:rFonts w:hint="eastAsia" w:cs="等线"/>
                      <w:color w:val="auto"/>
                      <w:kern w:val="0"/>
                      <w:sz w:val="18"/>
                      <w:szCs w:val="22"/>
                      <w:lang w:bidi="ar"/>
                    </w:rPr>
                    <w:t>年运行时间（h）</w:t>
                  </w:r>
                </w:p>
              </w:tc>
            </w:tr>
            <w:tr w14:paraId="425D1B4E">
              <w:tblPrEx>
                <w:tblCellMar>
                  <w:top w:w="0" w:type="dxa"/>
                  <w:left w:w="108" w:type="dxa"/>
                  <w:bottom w:w="0" w:type="dxa"/>
                  <w:right w:w="108" w:type="dxa"/>
                </w:tblCellMar>
              </w:tblPrEx>
              <w:trPr>
                <w:trHeight w:val="90" w:hRule="atLeast"/>
              </w:trPr>
              <w:tc>
                <w:tcPr>
                  <w:tcW w:w="572" w:type="dxa"/>
                  <w:vMerge w:val="restart"/>
                  <w:tcBorders>
                    <w:top w:val="single" w:color="auto" w:sz="4" w:space="0"/>
                    <w:left w:val="single" w:color="auto" w:sz="4" w:space="0"/>
                    <w:right w:val="single" w:color="auto" w:sz="4" w:space="0"/>
                  </w:tcBorders>
                  <w:shd w:val="clear" w:color="auto" w:fill="auto"/>
                  <w:vAlign w:val="center"/>
                </w:tcPr>
                <w:p w14:paraId="3E47691E">
                  <w:pPr>
                    <w:widowControl/>
                    <w:spacing w:line="240" w:lineRule="auto"/>
                    <w:jc w:val="center"/>
                    <w:textAlignment w:val="center"/>
                    <w:rPr>
                      <w:rFonts w:hint="eastAsia" w:eastAsia="宋体" w:cs="宋体"/>
                      <w:color w:val="auto"/>
                      <w:kern w:val="0"/>
                      <w:sz w:val="18"/>
                      <w:lang w:eastAsia="zh-CN" w:bidi="ar"/>
                    </w:rPr>
                  </w:pPr>
                  <w:r>
                    <w:rPr>
                      <w:rFonts w:hint="eastAsia" w:cs="宋体"/>
                      <w:color w:val="auto"/>
                      <w:kern w:val="0"/>
                      <w:sz w:val="18"/>
                      <w:lang w:val="en-US" w:eastAsia="zh-CN" w:bidi="ar"/>
                    </w:rPr>
                    <w:t>1</w:t>
                  </w:r>
                </w:p>
              </w:tc>
              <w:tc>
                <w:tcPr>
                  <w:tcW w:w="928" w:type="dxa"/>
                  <w:vMerge w:val="restart"/>
                  <w:tcBorders>
                    <w:top w:val="single" w:color="auto" w:sz="4" w:space="0"/>
                    <w:left w:val="single" w:color="auto" w:sz="4" w:space="0"/>
                    <w:right w:val="single" w:color="auto" w:sz="4" w:space="0"/>
                  </w:tcBorders>
                  <w:shd w:val="clear" w:color="auto" w:fill="auto"/>
                  <w:vAlign w:val="center"/>
                </w:tcPr>
                <w:p w14:paraId="01479031">
                  <w:pPr>
                    <w:widowControl/>
                    <w:spacing w:line="240" w:lineRule="auto"/>
                    <w:jc w:val="center"/>
                    <w:textAlignment w:val="center"/>
                    <w:rPr>
                      <w:rFonts w:hint="default" w:eastAsia="宋体" w:cs="宋体"/>
                      <w:color w:val="auto"/>
                      <w:sz w:val="18"/>
                      <w:lang w:val="en-US" w:eastAsia="zh-CN"/>
                    </w:rPr>
                  </w:pPr>
                  <w:r>
                    <w:rPr>
                      <w:rFonts w:hint="eastAsia" w:cs="宋体"/>
                      <w:color w:val="auto"/>
                      <w:sz w:val="18"/>
                      <w:lang w:val="en-US" w:eastAsia="zh-CN"/>
                    </w:rPr>
                    <w:t>高端工业铝材浇铸件</w:t>
                  </w:r>
                </w:p>
              </w:tc>
              <w:tc>
                <w:tcPr>
                  <w:tcW w:w="750" w:type="dxa"/>
                  <w:vMerge w:val="restart"/>
                  <w:tcBorders>
                    <w:top w:val="single" w:color="auto" w:sz="4" w:space="0"/>
                    <w:left w:val="single" w:color="auto" w:sz="4" w:space="0"/>
                    <w:right w:val="single" w:color="000000" w:sz="4" w:space="0"/>
                  </w:tcBorders>
                  <w:shd w:val="clear" w:color="auto" w:fill="auto"/>
                  <w:vAlign w:val="center"/>
                </w:tcPr>
                <w:p w14:paraId="3652CA5C">
                  <w:pPr>
                    <w:widowControl/>
                    <w:spacing w:line="240" w:lineRule="auto"/>
                    <w:jc w:val="center"/>
                    <w:textAlignment w:val="center"/>
                    <w:rPr>
                      <w:rFonts w:hint="eastAsia" w:cs="宋体"/>
                      <w:color w:val="auto"/>
                      <w:sz w:val="18"/>
                    </w:rPr>
                  </w:pPr>
                  <w:r>
                    <w:rPr>
                      <w:rFonts w:hint="eastAsia" w:cs="宋体"/>
                      <w:color w:val="auto"/>
                      <w:sz w:val="18"/>
                      <w:lang w:val="en-US" w:eastAsia="zh-CN"/>
                    </w:rPr>
                    <w:t>1条</w:t>
                  </w:r>
                </w:p>
              </w:tc>
              <w:tc>
                <w:tcPr>
                  <w:tcW w:w="882" w:type="dxa"/>
                  <w:vMerge w:val="restart"/>
                  <w:tcBorders>
                    <w:top w:val="single" w:color="auto" w:sz="4" w:space="0"/>
                    <w:left w:val="single" w:color="auto" w:sz="4" w:space="0"/>
                    <w:right w:val="single" w:color="000000" w:sz="4" w:space="0"/>
                  </w:tcBorders>
                  <w:shd w:val="clear" w:color="auto" w:fill="auto"/>
                  <w:vAlign w:val="center"/>
                </w:tcPr>
                <w:p w14:paraId="61B30069">
                  <w:pPr>
                    <w:widowControl/>
                    <w:spacing w:line="240" w:lineRule="auto"/>
                    <w:jc w:val="center"/>
                    <w:textAlignment w:val="center"/>
                    <w:rPr>
                      <w:rFonts w:cs="宋体"/>
                      <w:color w:val="auto"/>
                      <w:sz w:val="18"/>
                    </w:rPr>
                  </w:pPr>
                  <w:r>
                    <w:rPr>
                      <w:rFonts w:hint="eastAsia" w:cs="宋体"/>
                      <w:color w:val="auto"/>
                      <w:sz w:val="18"/>
                      <w:lang w:val="en-US" w:eastAsia="zh-CN"/>
                    </w:rPr>
                    <w:t>圆形浇铸件</w:t>
                  </w:r>
                </w:p>
              </w:tc>
              <w:tc>
                <w:tcPr>
                  <w:tcW w:w="854" w:type="dxa"/>
                  <w:vMerge w:val="restart"/>
                  <w:tcBorders>
                    <w:top w:val="single" w:color="auto" w:sz="4" w:space="0"/>
                    <w:left w:val="single" w:color="auto" w:sz="4" w:space="0"/>
                    <w:right w:val="single" w:color="000000" w:sz="4" w:space="0"/>
                  </w:tcBorders>
                  <w:shd w:val="clear" w:color="auto" w:fill="auto"/>
                  <w:vAlign w:val="center"/>
                </w:tcPr>
                <w:p w14:paraId="1374A908">
                  <w:pPr>
                    <w:widowControl/>
                    <w:spacing w:line="240" w:lineRule="auto"/>
                    <w:jc w:val="center"/>
                    <w:textAlignment w:val="center"/>
                    <w:rPr>
                      <w:rFonts w:hint="eastAsia" w:cs="宋体"/>
                      <w:color w:val="auto"/>
                      <w:sz w:val="18"/>
                      <w:lang w:val="en-US" w:eastAsia="zh-CN"/>
                    </w:rPr>
                  </w:pPr>
                  <w:r>
                    <w:rPr>
                      <w:rFonts w:hint="eastAsia" w:cs="宋体"/>
                      <w:color w:val="auto"/>
                      <w:sz w:val="18"/>
                      <w:lang w:val="en-US" w:eastAsia="zh-CN"/>
                    </w:rPr>
                    <w:t>铝、镁、硅</w:t>
                  </w:r>
                </w:p>
              </w:tc>
              <w:tc>
                <w:tcPr>
                  <w:tcW w:w="2446" w:type="dxa"/>
                  <w:tcBorders>
                    <w:top w:val="single" w:color="auto" w:sz="4" w:space="0"/>
                    <w:left w:val="single" w:color="000000" w:sz="4" w:space="0"/>
                    <w:bottom w:val="single" w:color="auto" w:sz="4" w:space="0"/>
                    <w:right w:val="single" w:color="auto" w:sz="4" w:space="0"/>
                  </w:tcBorders>
                  <w:shd w:val="clear" w:color="auto" w:fill="auto"/>
                  <w:vAlign w:val="center"/>
                </w:tcPr>
                <w:p w14:paraId="77C16B9D">
                  <w:pPr>
                    <w:widowControl/>
                    <w:spacing w:line="240" w:lineRule="auto"/>
                    <w:jc w:val="center"/>
                    <w:textAlignment w:val="center"/>
                    <w:rPr>
                      <w:rFonts w:hint="default" w:cs="宋体"/>
                      <w:color w:val="auto"/>
                      <w:sz w:val="18"/>
                      <w:lang w:val="en-US" w:eastAsia="zh-CN"/>
                    </w:rPr>
                  </w:pPr>
                  <w:r>
                    <w:rPr>
                      <w:rFonts w:hint="eastAsia" w:cs="宋体"/>
                      <w:color w:val="auto"/>
                      <w:sz w:val="18"/>
                      <w:lang w:val="en-US" w:eastAsia="zh-CN"/>
                    </w:rPr>
                    <w:t>低压压铸件，直径222~1000mm，厚度27~45mm，单件重量80~120kg</w:t>
                  </w:r>
                </w:p>
              </w:tc>
              <w:tc>
                <w:tcPr>
                  <w:tcW w:w="1027" w:type="dxa"/>
                  <w:tcBorders>
                    <w:top w:val="single" w:color="auto" w:sz="4" w:space="0"/>
                    <w:left w:val="single" w:color="000000" w:sz="4" w:space="0"/>
                    <w:bottom w:val="single" w:color="auto" w:sz="4" w:space="0"/>
                    <w:right w:val="single" w:color="auto" w:sz="4" w:space="0"/>
                  </w:tcBorders>
                  <w:shd w:val="clear" w:color="auto" w:fill="auto"/>
                  <w:vAlign w:val="center"/>
                </w:tcPr>
                <w:p w14:paraId="072B63AB">
                  <w:pPr>
                    <w:widowControl/>
                    <w:spacing w:line="240" w:lineRule="auto"/>
                    <w:jc w:val="center"/>
                    <w:textAlignment w:val="center"/>
                    <w:rPr>
                      <w:rFonts w:hint="eastAsia" w:cs="宋体"/>
                      <w:color w:val="auto"/>
                      <w:sz w:val="18"/>
                      <w:lang w:val="en-US" w:eastAsia="zh-CN"/>
                    </w:rPr>
                  </w:pPr>
                  <w:r>
                    <w:rPr>
                      <w:rFonts w:hint="eastAsia" w:cs="宋体"/>
                      <w:color w:val="auto"/>
                      <w:sz w:val="18"/>
                      <w:lang w:val="en-US" w:eastAsia="zh-CN"/>
                    </w:rPr>
                    <w:t>68000</w:t>
                  </w:r>
                </w:p>
              </w:tc>
              <w:tc>
                <w:tcPr>
                  <w:tcW w:w="831" w:type="dxa"/>
                  <w:tcBorders>
                    <w:top w:val="single" w:color="auto" w:sz="4" w:space="0"/>
                    <w:left w:val="single" w:color="000000" w:sz="4" w:space="0"/>
                    <w:bottom w:val="single" w:color="auto" w:sz="4" w:space="0"/>
                    <w:right w:val="single" w:color="auto" w:sz="4" w:space="0"/>
                  </w:tcBorders>
                  <w:shd w:val="clear" w:color="auto" w:fill="auto"/>
                  <w:vAlign w:val="center"/>
                </w:tcPr>
                <w:p w14:paraId="10E8A715">
                  <w:pPr>
                    <w:widowControl/>
                    <w:spacing w:line="240" w:lineRule="auto"/>
                    <w:jc w:val="center"/>
                    <w:textAlignment w:val="center"/>
                    <w:rPr>
                      <w:rFonts w:hint="default" w:cs="宋体"/>
                      <w:color w:val="auto"/>
                      <w:sz w:val="18"/>
                      <w:lang w:val="en-US" w:eastAsia="zh-CN"/>
                    </w:rPr>
                  </w:pPr>
                  <w:r>
                    <w:rPr>
                      <w:rFonts w:hint="eastAsia" w:cs="宋体"/>
                      <w:color w:val="auto"/>
                      <w:sz w:val="18"/>
                      <w:lang w:val="en-US" w:eastAsia="zh-CN"/>
                    </w:rPr>
                    <w:t>约6800t</w:t>
                  </w:r>
                </w:p>
              </w:tc>
              <w:tc>
                <w:tcPr>
                  <w:tcW w:w="789" w:type="dxa"/>
                  <w:vMerge w:val="restart"/>
                  <w:tcBorders>
                    <w:top w:val="single" w:color="auto" w:sz="4" w:space="0"/>
                    <w:left w:val="single" w:color="auto" w:sz="4" w:space="0"/>
                    <w:right w:val="single" w:color="auto" w:sz="4" w:space="0"/>
                  </w:tcBorders>
                  <w:shd w:val="clear" w:color="auto" w:fill="auto"/>
                  <w:noWrap/>
                  <w:vAlign w:val="center"/>
                </w:tcPr>
                <w:p w14:paraId="555608C6">
                  <w:pPr>
                    <w:widowControl/>
                    <w:spacing w:line="240" w:lineRule="auto"/>
                    <w:jc w:val="center"/>
                    <w:rPr>
                      <w:rFonts w:hint="default" w:eastAsia="宋体" w:cs="等线"/>
                      <w:color w:val="auto"/>
                      <w:sz w:val="18"/>
                      <w:szCs w:val="22"/>
                      <w:lang w:val="en-US" w:eastAsia="zh-CN"/>
                    </w:rPr>
                  </w:pPr>
                  <w:r>
                    <w:rPr>
                      <w:rFonts w:hint="eastAsia" w:cs="等线"/>
                      <w:color w:val="auto"/>
                      <w:sz w:val="18"/>
                      <w:szCs w:val="22"/>
                      <w:lang w:val="en-US" w:eastAsia="zh-CN"/>
                    </w:rPr>
                    <w:t>4800</w:t>
                  </w:r>
                </w:p>
              </w:tc>
            </w:tr>
            <w:tr w14:paraId="213E00A2">
              <w:tblPrEx>
                <w:tblCellMar>
                  <w:top w:w="0" w:type="dxa"/>
                  <w:left w:w="108" w:type="dxa"/>
                  <w:bottom w:w="0" w:type="dxa"/>
                  <w:right w:w="108" w:type="dxa"/>
                </w:tblCellMar>
              </w:tblPrEx>
              <w:trPr>
                <w:trHeight w:val="306" w:hRule="atLeast"/>
              </w:trPr>
              <w:tc>
                <w:tcPr>
                  <w:tcW w:w="572" w:type="dxa"/>
                  <w:vMerge w:val="continue"/>
                  <w:tcBorders>
                    <w:left w:val="single" w:color="auto" w:sz="4" w:space="0"/>
                    <w:bottom w:val="single" w:color="auto" w:sz="4" w:space="0"/>
                    <w:right w:val="single" w:color="auto" w:sz="4" w:space="0"/>
                  </w:tcBorders>
                  <w:shd w:val="clear" w:color="auto" w:fill="auto"/>
                  <w:vAlign w:val="center"/>
                </w:tcPr>
                <w:p w14:paraId="5D46A96C">
                  <w:pPr>
                    <w:widowControl/>
                    <w:spacing w:line="240" w:lineRule="auto"/>
                    <w:jc w:val="center"/>
                    <w:textAlignment w:val="center"/>
                    <w:rPr>
                      <w:rFonts w:hint="eastAsia" w:cs="宋体"/>
                      <w:color w:val="auto"/>
                      <w:kern w:val="0"/>
                      <w:sz w:val="18"/>
                      <w:lang w:val="en-US" w:eastAsia="zh-CN" w:bidi="ar"/>
                    </w:rPr>
                  </w:pPr>
                </w:p>
              </w:tc>
              <w:tc>
                <w:tcPr>
                  <w:tcW w:w="928" w:type="dxa"/>
                  <w:vMerge w:val="continue"/>
                  <w:tcBorders>
                    <w:left w:val="single" w:color="auto" w:sz="4" w:space="0"/>
                    <w:bottom w:val="single" w:color="auto" w:sz="4" w:space="0"/>
                    <w:right w:val="single" w:color="auto" w:sz="4" w:space="0"/>
                  </w:tcBorders>
                  <w:shd w:val="clear" w:color="auto" w:fill="auto"/>
                  <w:vAlign w:val="center"/>
                </w:tcPr>
                <w:p w14:paraId="5495E770">
                  <w:pPr>
                    <w:widowControl/>
                    <w:spacing w:line="240" w:lineRule="auto"/>
                    <w:jc w:val="center"/>
                    <w:textAlignment w:val="center"/>
                    <w:rPr>
                      <w:rFonts w:hint="eastAsia" w:cs="宋体"/>
                      <w:color w:val="auto"/>
                      <w:sz w:val="18"/>
                      <w:lang w:val="en-US" w:eastAsia="zh-CN"/>
                    </w:rPr>
                  </w:pPr>
                </w:p>
              </w:tc>
              <w:tc>
                <w:tcPr>
                  <w:tcW w:w="750" w:type="dxa"/>
                  <w:vMerge w:val="continue"/>
                  <w:tcBorders>
                    <w:left w:val="single" w:color="auto" w:sz="4" w:space="0"/>
                    <w:bottom w:val="single" w:color="auto" w:sz="4" w:space="0"/>
                    <w:right w:val="single" w:color="000000" w:sz="4" w:space="0"/>
                  </w:tcBorders>
                  <w:shd w:val="clear" w:color="auto" w:fill="auto"/>
                  <w:vAlign w:val="center"/>
                </w:tcPr>
                <w:p w14:paraId="07F1B9EC">
                  <w:pPr>
                    <w:widowControl/>
                    <w:spacing w:line="240" w:lineRule="auto"/>
                    <w:jc w:val="center"/>
                    <w:textAlignment w:val="center"/>
                    <w:rPr>
                      <w:rFonts w:hint="eastAsia" w:cs="宋体"/>
                      <w:color w:val="auto"/>
                      <w:sz w:val="18"/>
                      <w:lang w:val="en-US" w:eastAsia="zh-CN"/>
                    </w:rPr>
                  </w:pPr>
                </w:p>
              </w:tc>
              <w:tc>
                <w:tcPr>
                  <w:tcW w:w="882" w:type="dxa"/>
                  <w:vMerge w:val="continue"/>
                  <w:tcBorders>
                    <w:left w:val="single" w:color="auto" w:sz="4" w:space="0"/>
                    <w:bottom w:val="single" w:color="auto" w:sz="4" w:space="0"/>
                    <w:right w:val="single" w:color="000000" w:sz="4" w:space="0"/>
                  </w:tcBorders>
                  <w:shd w:val="clear" w:color="auto" w:fill="auto"/>
                  <w:vAlign w:val="center"/>
                </w:tcPr>
                <w:p w14:paraId="50BFB322">
                  <w:pPr>
                    <w:widowControl/>
                    <w:spacing w:line="240" w:lineRule="auto"/>
                    <w:jc w:val="center"/>
                    <w:textAlignment w:val="center"/>
                    <w:rPr>
                      <w:rFonts w:hint="eastAsia" w:cs="宋体"/>
                      <w:color w:val="auto"/>
                      <w:sz w:val="18"/>
                      <w:lang w:val="en-US" w:eastAsia="zh-CN"/>
                    </w:rPr>
                  </w:pPr>
                </w:p>
              </w:tc>
              <w:tc>
                <w:tcPr>
                  <w:tcW w:w="854" w:type="dxa"/>
                  <w:vMerge w:val="continue"/>
                  <w:tcBorders>
                    <w:left w:val="single" w:color="auto" w:sz="4" w:space="0"/>
                    <w:bottom w:val="single" w:color="auto" w:sz="4" w:space="0"/>
                    <w:right w:val="single" w:color="000000" w:sz="4" w:space="0"/>
                  </w:tcBorders>
                  <w:shd w:val="clear" w:color="auto" w:fill="auto"/>
                  <w:vAlign w:val="center"/>
                </w:tcPr>
                <w:p w14:paraId="71DD74D7">
                  <w:pPr>
                    <w:widowControl/>
                    <w:spacing w:line="240" w:lineRule="auto"/>
                    <w:jc w:val="center"/>
                    <w:textAlignment w:val="center"/>
                    <w:rPr>
                      <w:rFonts w:hint="eastAsia" w:cs="宋体"/>
                      <w:color w:val="auto"/>
                      <w:sz w:val="18"/>
                      <w:lang w:val="en-US" w:eastAsia="zh-CN"/>
                    </w:rPr>
                  </w:pPr>
                </w:p>
              </w:tc>
              <w:tc>
                <w:tcPr>
                  <w:tcW w:w="2446" w:type="dxa"/>
                  <w:tcBorders>
                    <w:top w:val="single" w:color="auto" w:sz="4" w:space="0"/>
                    <w:left w:val="single" w:color="000000" w:sz="4" w:space="0"/>
                    <w:bottom w:val="single" w:color="auto" w:sz="4" w:space="0"/>
                    <w:right w:val="single" w:color="auto" w:sz="4" w:space="0"/>
                  </w:tcBorders>
                  <w:shd w:val="clear" w:color="auto" w:fill="auto"/>
                  <w:vAlign w:val="center"/>
                </w:tcPr>
                <w:p w14:paraId="50C8B7EA">
                  <w:pPr>
                    <w:widowControl/>
                    <w:spacing w:line="240" w:lineRule="auto"/>
                    <w:jc w:val="center"/>
                    <w:textAlignment w:val="center"/>
                    <w:rPr>
                      <w:rFonts w:hint="eastAsia" w:cs="宋体"/>
                      <w:color w:val="auto"/>
                      <w:sz w:val="18"/>
                      <w:lang w:val="en-US" w:eastAsia="zh-CN"/>
                    </w:rPr>
                  </w:pPr>
                  <w:r>
                    <w:rPr>
                      <w:rFonts w:hint="eastAsia" w:cs="宋体"/>
                      <w:color w:val="auto"/>
                      <w:sz w:val="18"/>
                      <w:lang w:val="en-US" w:eastAsia="zh-CN"/>
                    </w:rPr>
                    <w:t>离心浇铸件，直径222~1000mm，厚度27~45mm，单件重量80~120kg</w:t>
                  </w:r>
                </w:p>
              </w:tc>
              <w:tc>
                <w:tcPr>
                  <w:tcW w:w="1027" w:type="dxa"/>
                  <w:tcBorders>
                    <w:top w:val="single" w:color="auto" w:sz="4" w:space="0"/>
                    <w:left w:val="single" w:color="000000" w:sz="4" w:space="0"/>
                    <w:bottom w:val="single" w:color="auto" w:sz="4" w:space="0"/>
                    <w:right w:val="single" w:color="auto" w:sz="4" w:space="0"/>
                  </w:tcBorders>
                  <w:shd w:val="clear" w:color="auto" w:fill="auto"/>
                  <w:vAlign w:val="center"/>
                </w:tcPr>
                <w:p w14:paraId="75E0F10E">
                  <w:pPr>
                    <w:widowControl/>
                    <w:spacing w:line="240" w:lineRule="auto"/>
                    <w:jc w:val="center"/>
                    <w:textAlignment w:val="center"/>
                    <w:rPr>
                      <w:rFonts w:hint="default" w:cs="宋体"/>
                      <w:color w:val="auto"/>
                      <w:sz w:val="18"/>
                      <w:lang w:val="en-US" w:eastAsia="zh-CN"/>
                    </w:rPr>
                  </w:pPr>
                  <w:r>
                    <w:rPr>
                      <w:rFonts w:hint="eastAsia" w:cs="宋体"/>
                      <w:color w:val="auto"/>
                      <w:sz w:val="18"/>
                      <w:lang w:val="en-US" w:eastAsia="zh-CN"/>
                    </w:rPr>
                    <w:t>12000</w:t>
                  </w:r>
                </w:p>
              </w:tc>
              <w:tc>
                <w:tcPr>
                  <w:tcW w:w="831" w:type="dxa"/>
                  <w:tcBorders>
                    <w:top w:val="single" w:color="auto" w:sz="4" w:space="0"/>
                    <w:left w:val="single" w:color="000000" w:sz="4" w:space="0"/>
                    <w:bottom w:val="single" w:color="auto" w:sz="4" w:space="0"/>
                    <w:right w:val="single" w:color="auto" w:sz="4" w:space="0"/>
                  </w:tcBorders>
                  <w:shd w:val="clear" w:color="auto" w:fill="auto"/>
                  <w:vAlign w:val="center"/>
                </w:tcPr>
                <w:p w14:paraId="680B6BC7">
                  <w:pPr>
                    <w:widowControl/>
                    <w:spacing w:line="240" w:lineRule="auto"/>
                    <w:jc w:val="center"/>
                    <w:textAlignment w:val="center"/>
                    <w:rPr>
                      <w:rFonts w:hint="default" w:cs="宋体"/>
                      <w:color w:val="auto"/>
                      <w:sz w:val="18"/>
                      <w:lang w:val="en-US" w:eastAsia="zh-CN"/>
                    </w:rPr>
                  </w:pPr>
                  <w:r>
                    <w:rPr>
                      <w:rFonts w:hint="eastAsia" w:cs="宋体"/>
                      <w:color w:val="auto"/>
                      <w:sz w:val="18"/>
                      <w:lang w:val="en-US" w:eastAsia="zh-CN"/>
                    </w:rPr>
                    <w:t>约1200t</w:t>
                  </w:r>
                </w:p>
              </w:tc>
              <w:tc>
                <w:tcPr>
                  <w:tcW w:w="789" w:type="dxa"/>
                  <w:vMerge w:val="continue"/>
                  <w:tcBorders>
                    <w:left w:val="single" w:color="auto" w:sz="4" w:space="0"/>
                    <w:bottom w:val="single" w:color="auto" w:sz="4" w:space="0"/>
                    <w:right w:val="single" w:color="auto" w:sz="4" w:space="0"/>
                  </w:tcBorders>
                  <w:shd w:val="clear" w:color="auto" w:fill="auto"/>
                  <w:noWrap/>
                  <w:vAlign w:val="center"/>
                </w:tcPr>
                <w:p w14:paraId="37FE8C1B">
                  <w:pPr>
                    <w:widowControl/>
                    <w:spacing w:line="240" w:lineRule="auto"/>
                    <w:jc w:val="center"/>
                    <w:rPr>
                      <w:rFonts w:hint="eastAsia" w:cs="等线"/>
                      <w:color w:val="auto"/>
                      <w:sz w:val="18"/>
                      <w:szCs w:val="22"/>
                      <w:lang w:val="en-US" w:eastAsia="zh-CN"/>
                    </w:rPr>
                  </w:pPr>
                </w:p>
              </w:tc>
            </w:tr>
            <w:tr w14:paraId="5B1D755C">
              <w:tblPrEx>
                <w:tblCellMar>
                  <w:top w:w="0" w:type="dxa"/>
                  <w:left w:w="108" w:type="dxa"/>
                  <w:bottom w:w="0" w:type="dxa"/>
                  <w:right w:w="108" w:type="dxa"/>
                </w:tblCellMar>
              </w:tblPrEx>
              <w:trPr>
                <w:trHeight w:val="328" w:hRule="atLeast"/>
              </w:trPr>
              <w:tc>
                <w:tcPr>
                  <w:tcW w:w="643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32D9A23">
                  <w:pPr>
                    <w:widowControl/>
                    <w:spacing w:line="240" w:lineRule="auto"/>
                    <w:jc w:val="center"/>
                    <w:textAlignment w:val="center"/>
                    <w:rPr>
                      <w:rFonts w:hint="eastAsia" w:cs="宋体"/>
                      <w:color w:val="auto"/>
                      <w:sz w:val="18"/>
                      <w:lang w:val="en-US" w:eastAsia="zh-CN"/>
                    </w:rPr>
                  </w:pPr>
                  <w:r>
                    <w:rPr>
                      <w:rFonts w:hint="eastAsia" w:cs="宋体"/>
                      <w:color w:val="auto"/>
                      <w:sz w:val="18"/>
                      <w:lang w:val="en-US" w:eastAsia="zh-CN"/>
                    </w:rPr>
                    <w:t>合计</w:t>
                  </w:r>
                </w:p>
              </w:tc>
              <w:tc>
                <w:tcPr>
                  <w:tcW w:w="1027" w:type="dxa"/>
                  <w:tcBorders>
                    <w:top w:val="single" w:color="auto" w:sz="4" w:space="0"/>
                    <w:left w:val="single" w:color="000000" w:sz="4" w:space="0"/>
                    <w:bottom w:val="single" w:color="000000" w:sz="4" w:space="0"/>
                    <w:right w:val="single" w:color="auto" w:sz="4" w:space="0"/>
                  </w:tcBorders>
                  <w:shd w:val="clear" w:color="auto" w:fill="auto"/>
                  <w:vAlign w:val="center"/>
                </w:tcPr>
                <w:p w14:paraId="103D46E1">
                  <w:pPr>
                    <w:widowControl/>
                    <w:spacing w:line="240" w:lineRule="auto"/>
                    <w:jc w:val="center"/>
                    <w:textAlignment w:val="center"/>
                    <w:rPr>
                      <w:rFonts w:hint="default" w:cs="宋体"/>
                      <w:color w:val="auto"/>
                      <w:sz w:val="18"/>
                      <w:lang w:val="en-US" w:eastAsia="zh-CN"/>
                    </w:rPr>
                  </w:pPr>
                  <w:r>
                    <w:rPr>
                      <w:rFonts w:hint="eastAsia" w:cs="宋体"/>
                      <w:color w:val="auto"/>
                      <w:sz w:val="18"/>
                      <w:lang w:val="en-US" w:eastAsia="zh-CN"/>
                    </w:rPr>
                    <w:t>80000</w:t>
                  </w:r>
                </w:p>
              </w:tc>
              <w:tc>
                <w:tcPr>
                  <w:tcW w:w="831" w:type="dxa"/>
                  <w:tcBorders>
                    <w:top w:val="single" w:color="auto" w:sz="4" w:space="0"/>
                    <w:left w:val="single" w:color="000000" w:sz="4" w:space="0"/>
                    <w:bottom w:val="single" w:color="000000" w:sz="4" w:space="0"/>
                    <w:right w:val="single" w:color="auto" w:sz="4" w:space="0"/>
                  </w:tcBorders>
                  <w:shd w:val="clear" w:color="auto" w:fill="auto"/>
                  <w:vAlign w:val="center"/>
                </w:tcPr>
                <w:p w14:paraId="054A2EFB">
                  <w:pPr>
                    <w:widowControl/>
                    <w:spacing w:line="240" w:lineRule="auto"/>
                    <w:jc w:val="center"/>
                    <w:textAlignment w:val="center"/>
                    <w:rPr>
                      <w:rFonts w:hint="default" w:cs="宋体"/>
                      <w:color w:val="auto"/>
                      <w:sz w:val="18"/>
                      <w:lang w:val="en-US" w:eastAsia="zh-CN"/>
                    </w:rPr>
                  </w:pPr>
                  <w:r>
                    <w:rPr>
                      <w:rFonts w:hint="eastAsia" w:cs="宋体"/>
                      <w:color w:val="auto"/>
                      <w:sz w:val="18"/>
                      <w:lang w:val="en-US" w:eastAsia="zh-CN"/>
                    </w:rPr>
                    <w:t>约8000t</w:t>
                  </w:r>
                </w:p>
              </w:tc>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56C124">
                  <w:pPr>
                    <w:widowControl/>
                    <w:spacing w:line="240" w:lineRule="auto"/>
                    <w:jc w:val="center"/>
                    <w:rPr>
                      <w:rFonts w:hint="default" w:cs="等线"/>
                      <w:color w:val="auto"/>
                      <w:sz w:val="18"/>
                      <w:szCs w:val="22"/>
                      <w:lang w:val="en-US" w:eastAsia="zh-CN"/>
                    </w:rPr>
                  </w:pPr>
                  <w:r>
                    <w:rPr>
                      <w:rFonts w:hint="eastAsia" w:cs="等线"/>
                      <w:color w:val="auto"/>
                      <w:sz w:val="18"/>
                      <w:szCs w:val="22"/>
                      <w:lang w:val="en-US" w:eastAsia="zh-CN"/>
                    </w:rPr>
                    <w:t>/</w:t>
                  </w:r>
                </w:p>
              </w:tc>
            </w:tr>
          </w:tbl>
          <w:p w14:paraId="0A19BB6E">
            <w:pPr>
              <w:rPr>
                <w:b/>
                <w:color w:val="auto"/>
                <w:szCs w:val="24"/>
              </w:rPr>
            </w:pPr>
            <w:r>
              <w:rPr>
                <w:rFonts w:hint="eastAsia"/>
                <w:b/>
                <w:color w:val="auto"/>
                <w:szCs w:val="24"/>
              </w:rPr>
              <w:t>4、主要生产设备</w:t>
            </w:r>
          </w:p>
          <w:p w14:paraId="6A11D0BA">
            <w:pPr>
              <w:ind w:firstLine="480" w:firstLineChars="200"/>
              <w:rPr>
                <w:rFonts w:hint="default" w:eastAsia="宋体"/>
                <w:color w:val="auto"/>
                <w:lang w:val="en-US" w:eastAsia="zh-CN"/>
              </w:rPr>
            </w:pPr>
            <w:r>
              <w:rPr>
                <w:rFonts w:hint="eastAsia"/>
                <w:color w:val="auto"/>
                <w:lang w:val="en-US" w:eastAsia="zh-CN"/>
              </w:rPr>
              <w:t>本次改建生产设备均为新增设备，不依托现有设备，本项目生产设备情况如下。</w:t>
            </w:r>
          </w:p>
          <w:p w14:paraId="5A14635F">
            <w:pPr>
              <w:jc w:val="center"/>
              <w:rPr>
                <w:rFonts w:hint="eastAsia" w:ascii="黑体" w:hAnsi="黑体" w:eastAsia="黑体"/>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5</w:t>
            </w:r>
            <w:r>
              <w:rPr>
                <w:rFonts w:hint="eastAsia" w:ascii="黑体" w:hAnsi="黑体" w:eastAsia="黑体"/>
                <w:color w:val="auto"/>
                <w:szCs w:val="24"/>
              </w:rPr>
              <w:t xml:space="preserve"> </w:t>
            </w:r>
            <w:r>
              <w:rPr>
                <w:rFonts w:ascii="黑体" w:hAnsi="黑体" w:eastAsia="黑体"/>
                <w:color w:val="auto"/>
                <w:szCs w:val="24"/>
              </w:rPr>
              <w:t xml:space="preserve"> </w:t>
            </w:r>
            <w:r>
              <w:rPr>
                <w:rFonts w:hint="eastAsia" w:ascii="黑体" w:hAnsi="黑体" w:eastAsia="黑体"/>
                <w:color w:val="auto"/>
                <w:szCs w:val="24"/>
                <w:lang w:val="en-US" w:eastAsia="zh-CN"/>
              </w:rPr>
              <w:t>本项目</w:t>
            </w:r>
            <w:r>
              <w:rPr>
                <w:rFonts w:hint="eastAsia" w:ascii="黑体" w:hAnsi="黑体" w:eastAsia="黑体"/>
                <w:color w:val="auto"/>
                <w:szCs w:val="24"/>
              </w:rPr>
              <w:t>生产</w:t>
            </w:r>
            <w:r>
              <w:rPr>
                <w:rFonts w:ascii="黑体" w:hAnsi="黑体" w:eastAsia="黑体"/>
                <w:color w:val="auto"/>
                <w:szCs w:val="24"/>
              </w:rPr>
              <w:t>设备</w:t>
            </w:r>
            <w:r>
              <w:rPr>
                <w:rFonts w:hint="eastAsia" w:ascii="黑体" w:hAnsi="黑体" w:eastAsia="黑体"/>
                <w:color w:val="auto"/>
                <w:szCs w:val="24"/>
              </w:rPr>
              <w:t>一览表</w:t>
            </w:r>
          </w:p>
          <w:tbl>
            <w:tblPr>
              <w:tblStyle w:val="69"/>
              <w:tblW w:w="5000" w:type="pct"/>
              <w:tblInd w:w="0" w:type="dxa"/>
              <w:tblLayout w:type="fixed"/>
              <w:tblCellMar>
                <w:top w:w="0" w:type="dxa"/>
                <w:left w:w="108" w:type="dxa"/>
                <w:bottom w:w="0" w:type="dxa"/>
                <w:right w:w="108" w:type="dxa"/>
              </w:tblCellMar>
            </w:tblPr>
            <w:tblGrid>
              <w:gridCol w:w="707"/>
              <w:gridCol w:w="1397"/>
              <w:gridCol w:w="2616"/>
              <w:gridCol w:w="1154"/>
              <w:gridCol w:w="1866"/>
              <w:gridCol w:w="1344"/>
            </w:tblGrid>
            <w:tr w14:paraId="0C18721E">
              <w:tblPrEx>
                <w:tblCellMar>
                  <w:top w:w="0" w:type="dxa"/>
                  <w:left w:w="108" w:type="dxa"/>
                  <w:bottom w:w="0" w:type="dxa"/>
                  <w:right w:w="108" w:type="dxa"/>
                </w:tblCellMar>
              </w:tblPrEx>
              <w:trPr>
                <w:trHeight w:val="624" w:hRule="atLeast"/>
              </w:trPr>
              <w:tc>
                <w:tcPr>
                  <w:tcW w:w="389" w:type="pct"/>
                  <w:tcBorders>
                    <w:top w:val="single" w:color="000000" w:sz="4" w:space="0"/>
                    <w:left w:val="single" w:color="000000" w:sz="4" w:space="0"/>
                    <w:right w:val="single" w:color="000000" w:sz="4" w:space="0"/>
                  </w:tcBorders>
                  <w:shd w:val="clear" w:color="auto" w:fill="auto"/>
                  <w:vAlign w:val="center"/>
                </w:tcPr>
                <w:p w14:paraId="201DEDDA">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序号</w:t>
                  </w:r>
                </w:p>
              </w:tc>
              <w:tc>
                <w:tcPr>
                  <w:tcW w:w="769" w:type="pct"/>
                  <w:tcBorders>
                    <w:top w:val="single" w:color="000000" w:sz="4" w:space="0"/>
                    <w:left w:val="single" w:color="000000" w:sz="4" w:space="0"/>
                    <w:right w:val="single" w:color="000000" w:sz="4" w:space="0"/>
                  </w:tcBorders>
                  <w:shd w:val="clear" w:color="auto" w:fill="auto"/>
                  <w:vAlign w:val="center"/>
                </w:tcPr>
                <w:p w14:paraId="7C16BE39">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生产单元</w:t>
                  </w:r>
                </w:p>
              </w:tc>
              <w:tc>
                <w:tcPr>
                  <w:tcW w:w="1440" w:type="pct"/>
                  <w:tcBorders>
                    <w:top w:val="single" w:color="000000" w:sz="4" w:space="0"/>
                    <w:left w:val="single" w:color="000000" w:sz="4" w:space="0"/>
                    <w:right w:val="single" w:color="000000" w:sz="4" w:space="0"/>
                  </w:tcBorders>
                  <w:shd w:val="clear" w:color="auto" w:fill="auto"/>
                  <w:vAlign w:val="center"/>
                </w:tcPr>
                <w:p w14:paraId="6378C53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主要设备</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FDA42">
                  <w:pPr>
                    <w:widowControl/>
                    <w:spacing w:line="240" w:lineRule="auto"/>
                    <w:jc w:val="center"/>
                    <w:textAlignment w:val="center"/>
                    <w:rPr>
                      <w:rFonts w:hint="eastAsia" w:eastAsia="宋体" w:cs="宋体"/>
                      <w:color w:val="auto"/>
                      <w:kern w:val="0"/>
                      <w:sz w:val="18"/>
                      <w:szCs w:val="18"/>
                      <w:lang w:eastAsia="zh-CN" w:bidi="ar"/>
                    </w:rPr>
                  </w:pPr>
                  <w:r>
                    <w:rPr>
                      <w:rFonts w:hint="eastAsia" w:cs="等线"/>
                      <w:color w:val="auto"/>
                      <w:sz w:val="18"/>
                      <w:szCs w:val="22"/>
                      <w:lang w:val="en-US" w:eastAsia="zh-CN"/>
                    </w:rPr>
                    <w:t>数</w:t>
                  </w:r>
                  <w:r>
                    <w:rPr>
                      <w:rFonts w:hint="eastAsia" w:cs="等线"/>
                      <w:color w:val="auto"/>
                      <w:sz w:val="18"/>
                      <w:szCs w:val="22"/>
                    </w:rPr>
                    <w:t>量</w:t>
                  </w:r>
                  <w:r>
                    <w:rPr>
                      <w:rFonts w:hint="eastAsia" w:cs="等线"/>
                      <w:color w:val="auto"/>
                      <w:sz w:val="18"/>
                      <w:szCs w:val="22"/>
                      <w:lang w:eastAsia="zh-CN"/>
                    </w:rPr>
                    <w:t>（</w:t>
                  </w:r>
                  <w:r>
                    <w:rPr>
                      <w:rFonts w:hint="eastAsia" w:cs="等线"/>
                      <w:color w:val="auto"/>
                      <w:sz w:val="18"/>
                      <w:szCs w:val="22"/>
                      <w:lang w:val="en-US" w:eastAsia="zh-CN"/>
                    </w:rPr>
                    <w:t>台/套</w:t>
                  </w:r>
                  <w:r>
                    <w:rPr>
                      <w:rFonts w:hint="eastAsia" w:cs="等线"/>
                      <w:color w:val="auto"/>
                      <w:sz w:val="18"/>
                      <w:szCs w:val="22"/>
                      <w:lang w:eastAsia="zh-CN"/>
                    </w:rPr>
                    <w:t>）</w:t>
                  </w:r>
                </w:p>
              </w:tc>
              <w:tc>
                <w:tcPr>
                  <w:tcW w:w="1027" w:type="pct"/>
                  <w:tcBorders>
                    <w:top w:val="single" w:color="000000" w:sz="4" w:space="0"/>
                    <w:left w:val="single" w:color="000000" w:sz="4" w:space="0"/>
                    <w:right w:val="single" w:color="000000" w:sz="4" w:space="0"/>
                  </w:tcBorders>
                  <w:shd w:val="clear" w:color="auto" w:fill="auto"/>
                  <w:vAlign w:val="center"/>
                </w:tcPr>
                <w:p w14:paraId="2C8DD2F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规格</w:t>
                  </w:r>
                  <w:r>
                    <w:rPr>
                      <w:rFonts w:hint="eastAsia" w:cs="宋体"/>
                      <w:color w:val="auto"/>
                      <w:kern w:val="0"/>
                      <w:sz w:val="18"/>
                      <w:szCs w:val="18"/>
                      <w:lang w:val="en-US" w:eastAsia="zh-CN" w:bidi="ar"/>
                    </w:rPr>
                    <w:t>/</w:t>
                  </w:r>
                  <w:r>
                    <w:rPr>
                      <w:rFonts w:hint="eastAsia" w:cs="宋体"/>
                      <w:color w:val="auto"/>
                      <w:kern w:val="0"/>
                      <w:sz w:val="18"/>
                      <w:szCs w:val="18"/>
                      <w:lang w:bidi="ar"/>
                    </w:rPr>
                    <w:t>型号</w:t>
                  </w:r>
                </w:p>
              </w:tc>
              <w:tc>
                <w:tcPr>
                  <w:tcW w:w="737" w:type="pct"/>
                  <w:tcBorders>
                    <w:top w:val="single" w:color="000000" w:sz="4" w:space="0"/>
                    <w:left w:val="single" w:color="000000" w:sz="4" w:space="0"/>
                    <w:right w:val="single" w:color="000000" w:sz="4" w:space="0"/>
                  </w:tcBorders>
                  <w:shd w:val="clear" w:color="auto" w:fill="auto"/>
                  <w:vAlign w:val="center"/>
                </w:tcPr>
                <w:p w14:paraId="554A07A3">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使用能源</w:t>
                  </w:r>
                </w:p>
              </w:tc>
            </w:tr>
            <w:tr w14:paraId="3BD81CED">
              <w:tblPrEx>
                <w:tblCellMar>
                  <w:top w:w="0" w:type="dxa"/>
                  <w:left w:w="108" w:type="dxa"/>
                  <w:bottom w:w="0" w:type="dxa"/>
                  <w:right w:w="108" w:type="dxa"/>
                </w:tblCellMar>
              </w:tblPrEx>
              <w:trPr>
                <w:trHeight w:val="345" w:hRule="atLeast"/>
              </w:trPr>
              <w:tc>
                <w:tcPr>
                  <w:tcW w:w="389" w:type="pct"/>
                  <w:tcBorders>
                    <w:top w:val="single" w:color="000000" w:sz="4" w:space="0"/>
                    <w:left w:val="single" w:color="000000" w:sz="4" w:space="0"/>
                    <w:right w:val="single" w:color="000000" w:sz="4" w:space="0"/>
                  </w:tcBorders>
                  <w:shd w:val="clear" w:color="auto" w:fill="auto"/>
                  <w:vAlign w:val="center"/>
                </w:tcPr>
                <w:p w14:paraId="1D054735">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1</w:t>
                  </w:r>
                </w:p>
              </w:tc>
              <w:tc>
                <w:tcPr>
                  <w:tcW w:w="769" w:type="pct"/>
                  <w:vMerge w:val="restart"/>
                  <w:tcBorders>
                    <w:top w:val="single" w:color="000000" w:sz="4" w:space="0"/>
                    <w:left w:val="single" w:color="000000" w:sz="4" w:space="0"/>
                    <w:right w:val="single" w:color="000000" w:sz="4" w:space="0"/>
                  </w:tcBorders>
                  <w:shd w:val="clear" w:color="auto" w:fill="auto"/>
                  <w:vAlign w:val="center"/>
                </w:tcPr>
                <w:p w14:paraId="6F9BF351">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熔炼</w:t>
                  </w:r>
                </w:p>
              </w:tc>
              <w:tc>
                <w:tcPr>
                  <w:tcW w:w="1440" w:type="pct"/>
                  <w:tcBorders>
                    <w:top w:val="single" w:color="000000" w:sz="4" w:space="0"/>
                    <w:left w:val="single" w:color="000000" w:sz="4" w:space="0"/>
                    <w:right w:val="single" w:color="000000" w:sz="4" w:space="0"/>
                  </w:tcBorders>
                  <w:shd w:val="clear" w:color="auto" w:fill="auto"/>
                  <w:vAlign w:val="center"/>
                </w:tcPr>
                <w:p w14:paraId="6EC49C44">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集中熔铝炉</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1F0E2">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w:t>
                  </w:r>
                </w:p>
              </w:tc>
              <w:tc>
                <w:tcPr>
                  <w:tcW w:w="1027" w:type="pct"/>
                  <w:tcBorders>
                    <w:top w:val="single" w:color="000000" w:sz="4" w:space="0"/>
                    <w:left w:val="single" w:color="000000" w:sz="4" w:space="0"/>
                    <w:right w:val="single" w:color="000000" w:sz="4" w:space="0"/>
                  </w:tcBorders>
                  <w:shd w:val="clear" w:color="auto" w:fill="auto"/>
                  <w:vAlign w:val="center"/>
                </w:tcPr>
                <w:p w14:paraId="42517106">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5000kg，25kW</w:t>
                  </w:r>
                </w:p>
              </w:tc>
              <w:tc>
                <w:tcPr>
                  <w:tcW w:w="737" w:type="pct"/>
                  <w:tcBorders>
                    <w:top w:val="single" w:color="000000" w:sz="4" w:space="0"/>
                    <w:left w:val="single" w:color="000000" w:sz="4" w:space="0"/>
                    <w:right w:val="single" w:color="000000" w:sz="4" w:space="0"/>
                  </w:tcBorders>
                  <w:shd w:val="clear" w:color="auto" w:fill="auto"/>
                  <w:vAlign w:val="center"/>
                </w:tcPr>
                <w:p w14:paraId="7558346D">
                  <w:pPr>
                    <w:widowControl/>
                    <w:spacing w:line="240" w:lineRule="auto"/>
                    <w:jc w:val="center"/>
                    <w:textAlignment w:val="bottom"/>
                    <w:rPr>
                      <w:rFonts w:hint="eastAsia" w:ascii="Times New Roman" w:hAnsi="Times New Roman" w:eastAsia="宋体" w:cs="Times New Roman"/>
                      <w:color w:val="auto"/>
                      <w:kern w:val="0"/>
                      <w:sz w:val="18"/>
                      <w:szCs w:val="18"/>
                      <w:lang w:val="en-US" w:eastAsia="zh-CN" w:bidi="ar"/>
                    </w:rPr>
                  </w:pPr>
                  <w:r>
                    <w:rPr>
                      <w:rFonts w:hint="eastAsia"/>
                      <w:color w:val="auto"/>
                      <w:sz w:val="18"/>
                      <w:szCs w:val="18"/>
                      <w:lang w:val="en-US" w:eastAsia="zh-CN"/>
                    </w:rPr>
                    <w:t>天然气</w:t>
                  </w:r>
                </w:p>
              </w:tc>
            </w:tr>
            <w:tr w14:paraId="6C29C2E3">
              <w:tblPrEx>
                <w:tblCellMar>
                  <w:top w:w="0" w:type="dxa"/>
                  <w:left w:w="108" w:type="dxa"/>
                  <w:bottom w:w="0" w:type="dxa"/>
                  <w:right w:w="108" w:type="dxa"/>
                </w:tblCellMar>
              </w:tblPrEx>
              <w:trPr>
                <w:trHeight w:val="358" w:hRule="atLeast"/>
              </w:trPr>
              <w:tc>
                <w:tcPr>
                  <w:tcW w:w="389" w:type="pct"/>
                  <w:tcBorders>
                    <w:top w:val="single" w:color="000000" w:sz="4" w:space="0"/>
                    <w:left w:val="single" w:color="000000" w:sz="4" w:space="0"/>
                    <w:right w:val="single" w:color="000000" w:sz="4" w:space="0"/>
                  </w:tcBorders>
                  <w:shd w:val="clear" w:color="auto" w:fill="auto"/>
                  <w:vAlign w:val="center"/>
                </w:tcPr>
                <w:p w14:paraId="6B6703F0">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2</w:t>
                  </w:r>
                </w:p>
              </w:tc>
              <w:tc>
                <w:tcPr>
                  <w:tcW w:w="769" w:type="pct"/>
                  <w:vMerge w:val="continue"/>
                  <w:tcBorders>
                    <w:left w:val="single" w:color="000000" w:sz="4" w:space="0"/>
                    <w:right w:val="single" w:color="000000" w:sz="4" w:space="0"/>
                  </w:tcBorders>
                  <w:shd w:val="clear" w:color="auto" w:fill="auto"/>
                  <w:vAlign w:val="center"/>
                </w:tcPr>
                <w:p w14:paraId="38D91F2F">
                  <w:pPr>
                    <w:widowControl/>
                    <w:spacing w:line="240" w:lineRule="auto"/>
                    <w:jc w:val="center"/>
                    <w:textAlignment w:val="center"/>
                    <w:rPr>
                      <w:rFonts w:hint="eastAsia" w:cs="宋体"/>
                      <w:color w:val="auto"/>
                      <w:kern w:val="0"/>
                      <w:sz w:val="18"/>
                      <w:szCs w:val="18"/>
                      <w:lang w:bidi="ar"/>
                    </w:rPr>
                  </w:pPr>
                </w:p>
              </w:tc>
              <w:tc>
                <w:tcPr>
                  <w:tcW w:w="1440" w:type="pct"/>
                  <w:tcBorders>
                    <w:top w:val="single" w:color="000000" w:sz="4" w:space="0"/>
                    <w:left w:val="single" w:color="000000" w:sz="4" w:space="0"/>
                    <w:right w:val="single" w:color="000000" w:sz="4" w:space="0"/>
                  </w:tcBorders>
                  <w:shd w:val="clear" w:color="auto" w:fill="auto"/>
                  <w:vAlign w:val="center"/>
                </w:tcPr>
                <w:p w14:paraId="48ACCB10">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倾倒熔炉</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0A6B2">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2</w:t>
                  </w:r>
                </w:p>
              </w:tc>
              <w:tc>
                <w:tcPr>
                  <w:tcW w:w="1027" w:type="pct"/>
                  <w:tcBorders>
                    <w:top w:val="single" w:color="000000" w:sz="4" w:space="0"/>
                    <w:left w:val="single" w:color="000000" w:sz="4" w:space="0"/>
                    <w:right w:val="single" w:color="000000" w:sz="4" w:space="0"/>
                  </w:tcBorders>
                  <w:shd w:val="clear" w:color="auto" w:fill="auto"/>
                  <w:vAlign w:val="center"/>
                </w:tcPr>
                <w:p w14:paraId="1B0DF828">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1000kg，180kW</w:t>
                  </w:r>
                </w:p>
              </w:tc>
              <w:tc>
                <w:tcPr>
                  <w:tcW w:w="737" w:type="pct"/>
                  <w:tcBorders>
                    <w:top w:val="single" w:color="000000" w:sz="4" w:space="0"/>
                    <w:left w:val="single" w:color="000000" w:sz="4" w:space="0"/>
                    <w:right w:val="single" w:color="000000" w:sz="4" w:space="0"/>
                  </w:tcBorders>
                  <w:shd w:val="clear" w:color="auto" w:fill="auto"/>
                  <w:vAlign w:val="center"/>
                </w:tcPr>
                <w:p w14:paraId="3AF11D6E">
                  <w:pPr>
                    <w:widowControl/>
                    <w:spacing w:line="240" w:lineRule="auto"/>
                    <w:jc w:val="center"/>
                    <w:textAlignment w:val="bottom"/>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电</w:t>
                  </w:r>
                </w:p>
              </w:tc>
            </w:tr>
            <w:tr w14:paraId="60C526FA">
              <w:tblPrEx>
                <w:tblCellMar>
                  <w:top w:w="0" w:type="dxa"/>
                  <w:left w:w="108" w:type="dxa"/>
                  <w:bottom w:w="0" w:type="dxa"/>
                  <w:right w:w="108" w:type="dxa"/>
                </w:tblCellMar>
              </w:tblPrEx>
              <w:trPr>
                <w:trHeight w:val="375"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48949CDD">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3</w:t>
                  </w:r>
                </w:p>
              </w:tc>
              <w:tc>
                <w:tcPr>
                  <w:tcW w:w="769" w:type="pct"/>
                  <w:vMerge w:val="restart"/>
                  <w:tcBorders>
                    <w:top w:val="single" w:color="auto" w:sz="4" w:space="0"/>
                    <w:left w:val="single" w:color="auto" w:sz="4" w:space="0"/>
                    <w:right w:val="single" w:color="auto" w:sz="4" w:space="0"/>
                  </w:tcBorders>
                  <w:shd w:val="clear" w:color="auto" w:fill="auto"/>
                  <w:vAlign w:val="center"/>
                </w:tcPr>
                <w:p w14:paraId="61AC51BC">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浇注</w:t>
                  </w: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7D6D5749">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单工位离心浇铸机</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1A957">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2</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0F51287C">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1000kg，130kW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0CA2118A">
                  <w:pPr>
                    <w:widowControl/>
                    <w:spacing w:line="240" w:lineRule="auto"/>
                    <w:jc w:val="center"/>
                    <w:textAlignment w:val="bottom"/>
                    <w:rPr>
                      <w:rFonts w:hint="eastAsia" w:eastAsia="宋体"/>
                      <w:color w:val="auto"/>
                      <w:sz w:val="18"/>
                      <w:szCs w:val="18"/>
                      <w:lang w:val="en-US" w:eastAsia="zh-CN"/>
                    </w:rPr>
                  </w:pPr>
                  <w:r>
                    <w:rPr>
                      <w:rFonts w:hint="eastAsia" w:cs="Times New Roman"/>
                      <w:color w:val="auto"/>
                      <w:kern w:val="0"/>
                      <w:sz w:val="18"/>
                      <w:szCs w:val="18"/>
                      <w:lang w:val="en-US" w:eastAsia="zh-CN" w:bidi="ar"/>
                    </w:rPr>
                    <w:t>电</w:t>
                  </w:r>
                </w:p>
              </w:tc>
            </w:tr>
            <w:tr w14:paraId="27D94FA1">
              <w:tblPrEx>
                <w:tblCellMar>
                  <w:top w:w="0" w:type="dxa"/>
                  <w:left w:w="108" w:type="dxa"/>
                  <w:bottom w:w="0" w:type="dxa"/>
                  <w:right w:w="108" w:type="dxa"/>
                </w:tblCellMar>
              </w:tblPrEx>
              <w:trPr>
                <w:trHeight w:val="362"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7210FEF0">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4</w:t>
                  </w:r>
                </w:p>
              </w:tc>
              <w:tc>
                <w:tcPr>
                  <w:tcW w:w="769" w:type="pct"/>
                  <w:vMerge w:val="continue"/>
                  <w:tcBorders>
                    <w:left w:val="single" w:color="auto" w:sz="4" w:space="0"/>
                    <w:right w:val="single" w:color="auto" w:sz="4" w:space="0"/>
                  </w:tcBorders>
                  <w:shd w:val="clear" w:color="auto" w:fill="auto"/>
                  <w:vAlign w:val="center"/>
                </w:tcPr>
                <w:p w14:paraId="485C0725">
                  <w:pPr>
                    <w:widowControl/>
                    <w:spacing w:line="240" w:lineRule="auto"/>
                    <w:jc w:val="center"/>
                    <w:textAlignment w:val="center"/>
                    <w:rPr>
                      <w:rFonts w:hint="default" w:eastAsia="宋体" w:cs="宋体"/>
                      <w:color w:val="auto"/>
                      <w:kern w:val="0"/>
                      <w:sz w:val="18"/>
                      <w:szCs w:val="18"/>
                      <w:lang w:val="en-US" w:eastAsia="zh-CN" w:bidi="ar"/>
                    </w:rPr>
                  </w:pP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31847A6D">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四工位离心浇铸机</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7D9AE">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2</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237F6B5E">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500kg，130kW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72695BAA">
                  <w:pPr>
                    <w:widowControl/>
                    <w:spacing w:line="240" w:lineRule="auto"/>
                    <w:jc w:val="center"/>
                    <w:textAlignment w:val="bottom"/>
                    <w:rPr>
                      <w:rFonts w:hint="eastAsia" w:cs="宋体"/>
                      <w:color w:val="auto"/>
                      <w:sz w:val="18"/>
                      <w:szCs w:val="18"/>
                    </w:rPr>
                  </w:pPr>
                  <w:r>
                    <w:rPr>
                      <w:rFonts w:hint="eastAsia" w:cs="Times New Roman"/>
                      <w:color w:val="auto"/>
                      <w:kern w:val="0"/>
                      <w:sz w:val="18"/>
                      <w:szCs w:val="18"/>
                      <w:lang w:val="en-US" w:eastAsia="zh-CN" w:bidi="ar"/>
                    </w:rPr>
                    <w:t>电</w:t>
                  </w:r>
                </w:p>
              </w:tc>
            </w:tr>
            <w:tr w14:paraId="316D7B7E">
              <w:tblPrEx>
                <w:tblCellMar>
                  <w:top w:w="0" w:type="dxa"/>
                  <w:left w:w="108" w:type="dxa"/>
                  <w:bottom w:w="0" w:type="dxa"/>
                  <w:right w:w="108" w:type="dxa"/>
                </w:tblCellMar>
              </w:tblPrEx>
              <w:trPr>
                <w:trHeight w:val="362"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1D478DA1">
                  <w:pPr>
                    <w:widowControl/>
                    <w:spacing w:line="240" w:lineRule="auto"/>
                    <w:jc w:val="center"/>
                    <w:textAlignment w:val="center"/>
                    <w:rPr>
                      <w:rFonts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5</w:t>
                  </w:r>
                </w:p>
              </w:tc>
              <w:tc>
                <w:tcPr>
                  <w:tcW w:w="769" w:type="pct"/>
                  <w:vMerge w:val="continue"/>
                  <w:tcBorders>
                    <w:left w:val="single" w:color="auto" w:sz="4" w:space="0"/>
                    <w:bottom w:val="single" w:color="auto" w:sz="4" w:space="0"/>
                    <w:right w:val="single" w:color="auto" w:sz="4" w:space="0"/>
                  </w:tcBorders>
                  <w:shd w:val="clear" w:color="auto" w:fill="auto"/>
                  <w:vAlign w:val="center"/>
                </w:tcPr>
                <w:p w14:paraId="3C36FFCB">
                  <w:pPr>
                    <w:widowControl/>
                    <w:spacing w:line="240" w:lineRule="auto"/>
                    <w:jc w:val="center"/>
                    <w:textAlignment w:val="center"/>
                    <w:rPr>
                      <w:rFonts w:hint="eastAsia" w:eastAsia="宋体" w:cs="宋体"/>
                      <w:color w:val="auto"/>
                      <w:kern w:val="0"/>
                      <w:sz w:val="18"/>
                      <w:szCs w:val="18"/>
                      <w:lang w:val="en-US" w:eastAsia="zh-CN" w:bidi="ar"/>
                    </w:rPr>
                  </w:pP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4F8D8679">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低压</w:t>
                  </w:r>
                  <w:r>
                    <w:rPr>
                      <w:rFonts w:hint="eastAsia" w:cs="Times New Roman"/>
                      <w:color w:val="auto"/>
                      <w:sz w:val="18"/>
                      <w:szCs w:val="18"/>
                      <w:lang w:val="en-US" w:eastAsia="zh-CN"/>
                    </w:rPr>
                    <w:t>压</w:t>
                  </w:r>
                  <w:r>
                    <w:rPr>
                      <w:rFonts w:hint="eastAsia" w:ascii="Times New Roman" w:hAnsi="Times New Roman" w:eastAsia="宋体" w:cs="Times New Roman"/>
                      <w:color w:val="auto"/>
                      <w:sz w:val="18"/>
                      <w:szCs w:val="18"/>
                      <w:lang w:val="en-US" w:eastAsia="zh-CN"/>
                    </w:rPr>
                    <w:t>铸机</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5C7A2">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6CA19044">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800KG，38kW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627DC637">
                  <w:pPr>
                    <w:widowControl/>
                    <w:spacing w:line="240" w:lineRule="auto"/>
                    <w:jc w:val="center"/>
                    <w:textAlignment w:val="bottom"/>
                    <w:rPr>
                      <w:rFonts w:hint="eastAsia"/>
                      <w:color w:val="auto"/>
                      <w:sz w:val="18"/>
                      <w:szCs w:val="18"/>
                      <w:lang w:val="en-US" w:eastAsia="zh-CN"/>
                    </w:rPr>
                  </w:pPr>
                  <w:r>
                    <w:rPr>
                      <w:rFonts w:hint="eastAsia" w:cs="Times New Roman"/>
                      <w:color w:val="auto"/>
                      <w:kern w:val="0"/>
                      <w:sz w:val="18"/>
                      <w:szCs w:val="18"/>
                      <w:lang w:val="en-US" w:eastAsia="zh-CN" w:bidi="ar"/>
                    </w:rPr>
                    <w:t>电</w:t>
                  </w:r>
                </w:p>
              </w:tc>
            </w:tr>
            <w:tr w14:paraId="0707E753">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4A9DDF8E">
                  <w:pPr>
                    <w:widowControl/>
                    <w:spacing w:line="240" w:lineRule="auto"/>
                    <w:jc w:val="center"/>
                    <w:textAlignment w:val="center"/>
                    <w:rPr>
                      <w:rFonts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6</w:t>
                  </w:r>
                </w:p>
              </w:tc>
              <w:tc>
                <w:tcPr>
                  <w:tcW w:w="769" w:type="pct"/>
                  <w:vMerge w:val="restart"/>
                  <w:tcBorders>
                    <w:left w:val="single" w:color="auto" w:sz="4" w:space="0"/>
                    <w:right w:val="single" w:color="auto" w:sz="4" w:space="0"/>
                  </w:tcBorders>
                  <w:shd w:val="clear" w:color="auto" w:fill="auto"/>
                  <w:vAlign w:val="center"/>
                </w:tcPr>
                <w:p w14:paraId="5DBDC10B">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精加工</w:t>
                  </w: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1CC8CE8E">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卧式带锯</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6B168">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3EB4FBF5">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1000，3kW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2CE5788F">
                  <w:pPr>
                    <w:widowControl/>
                    <w:spacing w:line="240" w:lineRule="auto"/>
                    <w:jc w:val="center"/>
                    <w:textAlignment w:val="bottom"/>
                    <w:rPr>
                      <w:rFonts w:hint="eastAsia"/>
                      <w:color w:val="auto"/>
                      <w:kern w:val="0"/>
                      <w:sz w:val="18"/>
                      <w:szCs w:val="18"/>
                      <w:lang w:bidi="ar"/>
                    </w:rPr>
                  </w:pPr>
                  <w:r>
                    <w:rPr>
                      <w:rFonts w:hint="eastAsia" w:cs="Times New Roman"/>
                      <w:color w:val="auto"/>
                      <w:kern w:val="0"/>
                      <w:sz w:val="18"/>
                      <w:szCs w:val="18"/>
                      <w:lang w:val="en-US" w:eastAsia="zh-CN" w:bidi="ar"/>
                    </w:rPr>
                    <w:t>电</w:t>
                  </w:r>
                </w:p>
              </w:tc>
            </w:tr>
            <w:tr w14:paraId="4812DE42">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3E24AD19">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7</w:t>
                  </w:r>
                </w:p>
              </w:tc>
              <w:tc>
                <w:tcPr>
                  <w:tcW w:w="769" w:type="pct"/>
                  <w:vMerge w:val="continue"/>
                  <w:tcBorders>
                    <w:left w:val="single" w:color="auto" w:sz="4" w:space="0"/>
                    <w:right w:val="single" w:color="auto" w:sz="4" w:space="0"/>
                  </w:tcBorders>
                  <w:shd w:val="clear" w:color="auto" w:fill="auto"/>
                  <w:vAlign w:val="center"/>
                </w:tcPr>
                <w:p w14:paraId="62D51867">
                  <w:pPr>
                    <w:widowControl/>
                    <w:spacing w:line="240" w:lineRule="auto"/>
                    <w:jc w:val="center"/>
                    <w:textAlignment w:val="center"/>
                    <w:rPr>
                      <w:rFonts w:cs="宋体"/>
                      <w:color w:val="auto"/>
                      <w:kern w:val="0"/>
                      <w:sz w:val="18"/>
                      <w:szCs w:val="18"/>
                      <w:lang w:bidi="ar"/>
                    </w:rPr>
                  </w:pP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47CA1FF7">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立车</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9C9A4">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3F5C9F16">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1000，11kW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0545E028">
                  <w:pPr>
                    <w:widowControl/>
                    <w:spacing w:line="240" w:lineRule="auto"/>
                    <w:jc w:val="center"/>
                    <w:textAlignment w:val="bottom"/>
                    <w:rPr>
                      <w:rFonts w:hint="eastAsia"/>
                      <w:color w:val="auto"/>
                      <w:kern w:val="0"/>
                      <w:sz w:val="18"/>
                      <w:szCs w:val="18"/>
                      <w:lang w:val="en-US" w:eastAsia="zh-CN" w:bidi="ar"/>
                    </w:rPr>
                  </w:pPr>
                  <w:r>
                    <w:rPr>
                      <w:rFonts w:hint="eastAsia" w:cs="Times New Roman"/>
                      <w:color w:val="auto"/>
                      <w:kern w:val="0"/>
                      <w:sz w:val="18"/>
                      <w:szCs w:val="18"/>
                      <w:lang w:val="en-US" w:eastAsia="zh-CN" w:bidi="ar"/>
                    </w:rPr>
                    <w:t>电</w:t>
                  </w:r>
                </w:p>
              </w:tc>
            </w:tr>
            <w:tr w14:paraId="37B27B33">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6245C673">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8</w:t>
                  </w:r>
                </w:p>
              </w:tc>
              <w:tc>
                <w:tcPr>
                  <w:tcW w:w="769" w:type="pct"/>
                  <w:vMerge w:val="continue"/>
                  <w:tcBorders>
                    <w:left w:val="single" w:color="auto" w:sz="4" w:space="0"/>
                    <w:right w:val="single" w:color="auto" w:sz="4" w:space="0"/>
                  </w:tcBorders>
                  <w:shd w:val="clear" w:color="auto" w:fill="auto"/>
                  <w:vAlign w:val="center"/>
                </w:tcPr>
                <w:p w14:paraId="3407A09B">
                  <w:pPr>
                    <w:widowControl/>
                    <w:spacing w:line="240" w:lineRule="auto"/>
                    <w:jc w:val="center"/>
                    <w:textAlignment w:val="center"/>
                    <w:rPr>
                      <w:rFonts w:hint="eastAsia" w:eastAsia="宋体" w:cs="宋体"/>
                      <w:color w:val="auto"/>
                      <w:kern w:val="0"/>
                      <w:sz w:val="18"/>
                      <w:szCs w:val="18"/>
                      <w:lang w:val="en-US" w:eastAsia="zh-CN" w:bidi="ar"/>
                    </w:rPr>
                  </w:pP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34C82916">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立车</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2DCAC">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6A07A854">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630，7.5kW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1833BD54">
                  <w:pPr>
                    <w:widowControl/>
                    <w:spacing w:line="240" w:lineRule="auto"/>
                    <w:jc w:val="center"/>
                    <w:textAlignment w:val="bottom"/>
                    <w:rPr>
                      <w:rFonts w:hint="eastAsia"/>
                      <w:color w:val="auto"/>
                      <w:kern w:val="0"/>
                      <w:sz w:val="18"/>
                      <w:szCs w:val="18"/>
                      <w:lang w:val="en-US" w:eastAsia="zh-CN" w:bidi="ar"/>
                    </w:rPr>
                  </w:pPr>
                  <w:r>
                    <w:rPr>
                      <w:rFonts w:hint="eastAsia" w:cs="Times New Roman"/>
                      <w:color w:val="auto"/>
                      <w:kern w:val="0"/>
                      <w:sz w:val="18"/>
                      <w:szCs w:val="18"/>
                      <w:lang w:val="en-US" w:eastAsia="zh-CN" w:bidi="ar"/>
                    </w:rPr>
                    <w:t>电</w:t>
                  </w:r>
                </w:p>
              </w:tc>
            </w:tr>
            <w:tr w14:paraId="52353AA8">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37BAA37C">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9</w:t>
                  </w:r>
                </w:p>
              </w:tc>
              <w:tc>
                <w:tcPr>
                  <w:tcW w:w="769" w:type="pct"/>
                  <w:vMerge w:val="continue"/>
                  <w:tcBorders>
                    <w:left w:val="single" w:color="auto" w:sz="4" w:space="0"/>
                    <w:bottom w:val="single" w:color="auto" w:sz="4" w:space="0"/>
                    <w:right w:val="single" w:color="auto" w:sz="4" w:space="0"/>
                  </w:tcBorders>
                  <w:shd w:val="clear" w:color="auto" w:fill="auto"/>
                  <w:vAlign w:val="center"/>
                </w:tcPr>
                <w:p w14:paraId="2461B0FD">
                  <w:pPr>
                    <w:widowControl/>
                    <w:spacing w:line="240" w:lineRule="auto"/>
                    <w:jc w:val="center"/>
                    <w:textAlignment w:val="center"/>
                    <w:rPr>
                      <w:rFonts w:cs="宋体"/>
                      <w:color w:val="auto"/>
                      <w:kern w:val="0"/>
                      <w:sz w:val="18"/>
                      <w:szCs w:val="18"/>
                      <w:lang w:bidi="ar"/>
                    </w:rPr>
                  </w:pP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547F257B">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卧式车床</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C6E2A">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452EABFA">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6150，11kW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2412F335">
                  <w:pPr>
                    <w:widowControl/>
                    <w:spacing w:line="240" w:lineRule="auto"/>
                    <w:jc w:val="center"/>
                    <w:textAlignment w:val="bottom"/>
                    <w:rPr>
                      <w:rFonts w:hint="eastAsia"/>
                      <w:color w:val="auto"/>
                      <w:kern w:val="0"/>
                      <w:sz w:val="18"/>
                      <w:szCs w:val="18"/>
                      <w:lang w:val="en-US" w:eastAsia="zh-CN" w:bidi="ar"/>
                    </w:rPr>
                  </w:pPr>
                  <w:r>
                    <w:rPr>
                      <w:rFonts w:hint="eastAsia" w:cs="Times New Roman"/>
                      <w:color w:val="auto"/>
                      <w:kern w:val="0"/>
                      <w:sz w:val="18"/>
                      <w:szCs w:val="18"/>
                      <w:lang w:val="en-US" w:eastAsia="zh-CN" w:bidi="ar"/>
                    </w:rPr>
                    <w:t>电</w:t>
                  </w:r>
                </w:p>
              </w:tc>
            </w:tr>
            <w:tr w14:paraId="03CBBBD4">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2FC67C78">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w:t>
                  </w:r>
                </w:p>
              </w:tc>
              <w:tc>
                <w:tcPr>
                  <w:tcW w:w="769" w:type="pct"/>
                  <w:tcBorders>
                    <w:top w:val="single" w:color="auto" w:sz="4" w:space="0"/>
                    <w:left w:val="single" w:color="auto" w:sz="4" w:space="0"/>
                    <w:bottom w:val="single" w:color="auto" w:sz="4" w:space="0"/>
                    <w:right w:val="single" w:color="auto" w:sz="4" w:space="0"/>
                  </w:tcBorders>
                  <w:shd w:val="clear" w:color="auto" w:fill="auto"/>
                  <w:vAlign w:val="center"/>
                </w:tcPr>
                <w:p w14:paraId="4F4E4CE7">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检验</w:t>
                  </w: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59A9EB37">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气密检测机</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EDE99">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323CC13B">
                  <w:pPr>
                    <w:widowControl/>
                    <w:spacing w:line="240" w:lineRule="auto"/>
                    <w:jc w:val="center"/>
                    <w:textAlignment w:val="bottom"/>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100T，7.5kW</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3BDE3D5D">
                  <w:pPr>
                    <w:widowControl/>
                    <w:spacing w:line="240" w:lineRule="auto"/>
                    <w:jc w:val="center"/>
                    <w:textAlignment w:val="bottom"/>
                    <w:rPr>
                      <w:rFonts w:hint="eastAsia"/>
                      <w:color w:val="auto"/>
                      <w:kern w:val="0"/>
                      <w:sz w:val="18"/>
                      <w:szCs w:val="18"/>
                      <w:lang w:bidi="ar"/>
                    </w:rPr>
                  </w:pPr>
                  <w:r>
                    <w:rPr>
                      <w:rFonts w:hint="eastAsia" w:cs="Times New Roman"/>
                      <w:color w:val="auto"/>
                      <w:kern w:val="0"/>
                      <w:sz w:val="18"/>
                      <w:szCs w:val="18"/>
                      <w:lang w:val="en-US" w:eastAsia="zh-CN" w:bidi="ar"/>
                    </w:rPr>
                    <w:t>电</w:t>
                  </w:r>
                </w:p>
              </w:tc>
            </w:tr>
            <w:tr w14:paraId="5349E830">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55F9D5F0">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11</w:t>
                  </w:r>
                </w:p>
              </w:tc>
              <w:tc>
                <w:tcPr>
                  <w:tcW w:w="769" w:type="pct"/>
                  <w:tcBorders>
                    <w:top w:val="single" w:color="auto" w:sz="4" w:space="0"/>
                    <w:left w:val="single" w:color="auto" w:sz="4" w:space="0"/>
                    <w:bottom w:val="single" w:color="auto" w:sz="4" w:space="0"/>
                    <w:right w:val="single" w:color="auto" w:sz="4" w:space="0"/>
                  </w:tcBorders>
                  <w:shd w:val="clear" w:color="auto" w:fill="auto"/>
                  <w:vAlign w:val="center"/>
                </w:tcPr>
                <w:p w14:paraId="352D59A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打包</w:t>
                  </w:r>
                </w:p>
              </w:tc>
              <w:tc>
                <w:tcPr>
                  <w:tcW w:w="1440" w:type="pct"/>
                  <w:tcBorders>
                    <w:top w:val="single" w:color="000000" w:sz="4" w:space="0"/>
                    <w:left w:val="single" w:color="auto" w:sz="4" w:space="0"/>
                    <w:bottom w:val="single" w:color="000000" w:sz="4" w:space="0"/>
                    <w:right w:val="single" w:color="000000" w:sz="4" w:space="0"/>
                  </w:tcBorders>
                  <w:shd w:val="clear" w:color="auto" w:fill="auto"/>
                  <w:vAlign w:val="center"/>
                </w:tcPr>
                <w:p w14:paraId="41456EA2">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打包机</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54C38">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4DFFBBFF">
                  <w:pPr>
                    <w:widowControl/>
                    <w:spacing w:line="240" w:lineRule="auto"/>
                    <w:jc w:val="center"/>
                    <w:textAlignment w:val="bottom"/>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76337AD1">
                  <w:pPr>
                    <w:widowControl/>
                    <w:spacing w:line="240" w:lineRule="auto"/>
                    <w:jc w:val="center"/>
                    <w:textAlignment w:val="bottom"/>
                    <w:rPr>
                      <w:rFonts w:hint="eastAsia"/>
                      <w:color w:val="auto"/>
                      <w:sz w:val="18"/>
                      <w:szCs w:val="18"/>
                      <w:lang w:val="en-US" w:eastAsia="zh-CN"/>
                    </w:rPr>
                  </w:pPr>
                  <w:r>
                    <w:rPr>
                      <w:rFonts w:hint="eastAsia" w:cs="Times New Roman"/>
                      <w:color w:val="auto"/>
                      <w:kern w:val="0"/>
                      <w:sz w:val="18"/>
                      <w:szCs w:val="18"/>
                      <w:lang w:val="en-US" w:eastAsia="zh-CN" w:bidi="ar"/>
                    </w:rPr>
                    <w:t>电</w:t>
                  </w:r>
                </w:p>
              </w:tc>
            </w:tr>
            <w:tr w14:paraId="10D8CC47">
              <w:tblPrEx>
                <w:tblCellMar>
                  <w:top w:w="0" w:type="dxa"/>
                  <w:left w:w="108" w:type="dxa"/>
                  <w:bottom w:w="0" w:type="dxa"/>
                  <w:right w:w="108" w:type="dxa"/>
                </w:tblCellMar>
              </w:tblPrEx>
              <w:trPr>
                <w:trHeight w:val="340" w:hRule="atLeast"/>
              </w:trPr>
              <w:tc>
                <w:tcPr>
                  <w:tcW w:w="5000" w:type="pct"/>
                  <w:gridSpan w:val="6"/>
                  <w:tcBorders>
                    <w:top w:val="single" w:color="000000" w:sz="4" w:space="0"/>
                    <w:left w:val="single" w:color="000000" w:sz="4" w:space="0"/>
                    <w:bottom w:val="single" w:color="000000" w:sz="4" w:space="0"/>
                    <w:right w:val="single" w:color="auto" w:sz="4" w:space="0"/>
                  </w:tcBorders>
                  <w:shd w:val="clear" w:color="auto" w:fill="auto"/>
                  <w:vAlign w:val="center"/>
                </w:tcPr>
                <w:p w14:paraId="0A357505">
                  <w:pPr>
                    <w:widowControl/>
                    <w:spacing w:line="240" w:lineRule="auto"/>
                    <w:jc w:val="center"/>
                    <w:textAlignment w:val="center"/>
                    <w:rPr>
                      <w:rFonts w:hint="eastAsia"/>
                      <w:color w:val="auto"/>
                      <w:kern w:val="0"/>
                      <w:sz w:val="18"/>
                      <w:szCs w:val="18"/>
                      <w:lang w:bidi="ar"/>
                    </w:rPr>
                  </w:pPr>
                  <w:r>
                    <w:rPr>
                      <w:rFonts w:hint="eastAsia" w:cs="宋体"/>
                      <w:color w:val="auto"/>
                      <w:kern w:val="0"/>
                      <w:sz w:val="18"/>
                      <w:szCs w:val="18"/>
                      <w:lang w:val="en-US" w:eastAsia="zh-CN" w:bidi="ar"/>
                    </w:rPr>
                    <w:t>公辅设施</w:t>
                  </w:r>
                </w:p>
              </w:tc>
            </w:tr>
            <w:tr w14:paraId="2DB48130">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1B7B2BF4">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w:t>
                  </w:r>
                </w:p>
              </w:tc>
              <w:tc>
                <w:tcPr>
                  <w:tcW w:w="769" w:type="pct"/>
                  <w:vMerge w:val="restart"/>
                  <w:tcBorders>
                    <w:left w:val="single" w:color="auto" w:sz="4" w:space="0"/>
                    <w:right w:val="single" w:color="auto" w:sz="4" w:space="0"/>
                  </w:tcBorders>
                  <w:shd w:val="clear" w:color="auto" w:fill="auto"/>
                  <w:vAlign w:val="center"/>
                </w:tcPr>
                <w:p w14:paraId="1AAB168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废气处理装置</w:t>
                  </w:r>
                </w:p>
              </w:tc>
              <w:tc>
                <w:tcPr>
                  <w:tcW w:w="1440" w:type="pct"/>
                  <w:tcBorders>
                    <w:top w:val="single" w:color="auto" w:sz="4" w:space="0"/>
                    <w:left w:val="single" w:color="auto" w:sz="4" w:space="0"/>
                    <w:bottom w:val="single" w:color="auto" w:sz="4" w:space="0"/>
                    <w:right w:val="single" w:color="auto" w:sz="4" w:space="0"/>
                  </w:tcBorders>
                  <w:shd w:val="clear" w:color="auto" w:fill="auto"/>
                  <w:vAlign w:val="center"/>
                </w:tcPr>
                <w:p w14:paraId="0AF871F8">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袋式除尘装置</w:t>
                  </w:r>
                </w:p>
              </w:tc>
              <w:tc>
                <w:tcPr>
                  <w:tcW w:w="635" w:type="pct"/>
                  <w:tcBorders>
                    <w:top w:val="single" w:color="000000" w:sz="4" w:space="0"/>
                    <w:left w:val="single" w:color="auto" w:sz="4" w:space="0"/>
                    <w:bottom w:val="single" w:color="000000" w:sz="4" w:space="0"/>
                    <w:right w:val="single" w:color="000000" w:sz="4" w:space="0"/>
                  </w:tcBorders>
                  <w:shd w:val="clear" w:color="auto" w:fill="auto"/>
                  <w:vAlign w:val="center"/>
                </w:tcPr>
                <w:p w14:paraId="5378878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4B16882F">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48DA3BE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电</w:t>
                  </w:r>
                </w:p>
              </w:tc>
            </w:tr>
            <w:tr w14:paraId="7A23B2F7">
              <w:tblPrEx>
                <w:tblCellMar>
                  <w:top w:w="0" w:type="dxa"/>
                  <w:left w:w="108" w:type="dxa"/>
                  <w:bottom w:w="0" w:type="dxa"/>
                  <w:right w:w="108" w:type="dxa"/>
                </w:tblCellMar>
              </w:tblPrEx>
              <w:trPr>
                <w:trHeight w:val="340" w:hRule="atLeast"/>
              </w:trPr>
              <w:tc>
                <w:tcPr>
                  <w:tcW w:w="389" w:type="pct"/>
                  <w:tcBorders>
                    <w:top w:val="single" w:color="000000" w:sz="4" w:space="0"/>
                    <w:left w:val="single" w:color="000000" w:sz="4" w:space="0"/>
                    <w:bottom w:val="single" w:color="000000" w:sz="4" w:space="0"/>
                    <w:right w:val="single" w:color="auto" w:sz="4" w:space="0"/>
                  </w:tcBorders>
                  <w:shd w:val="clear" w:color="auto" w:fill="auto"/>
                  <w:vAlign w:val="center"/>
                </w:tcPr>
                <w:p w14:paraId="6AA3403B">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w:t>
                  </w:r>
                </w:p>
              </w:tc>
              <w:tc>
                <w:tcPr>
                  <w:tcW w:w="769" w:type="pct"/>
                  <w:vMerge w:val="continue"/>
                  <w:tcBorders>
                    <w:left w:val="single" w:color="auto" w:sz="4" w:space="0"/>
                    <w:bottom w:val="single" w:color="auto" w:sz="4" w:space="0"/>
                    <w:right w:val="single" w:color="auto" w:sz="4" w:space="0"/>
                  </w:tcBorders>
                  <w:shd w:val="clear" w:color="auto" w:fill="auto"/>
                  <w:vAlign w:val="center"/>
                </w:tcPr>
                <w:p w14:paraId="6FEA04DD">
                  <w:pPr>
                    <w:widowControl/>
                    <w:spacing w:line="240" w:lineRule="auto"/>
                    <w:jc w:val="center"/>
                    <w:textAlignment w:val="center"/>
                    <w:rPr>
                      <w:rFonts w:hint="eastAsia" w:cs="宋体"/>
                      <w:color w:val="auto"/>
                      <w:kern w:val="0"/>
                      <w:sz w:val="18"/>
                      <w:szCs w:val="18"/>
                      <w:lang w:val="en-US" w:eastAsia="zh-CN" w:bidi="ar"/>
                    </w:rPr>
                  </w:pPr>
                </w:p>
              </w:tc>
              <w:tc>
                <w:tcPr>
                  <w:tcW w:w="1440" w:type="pct"/>
                  <w:tcBorders>
                    <w:top w:val="single" w:color="auto" w:sz="4" w:space="0"/>
                    <w:left w:val="single" w:color="auto" w:sz="4" w:space="0"/>
                    <w:bottom w:val="single" w:color="auto" w:sz="4" w:space="0"/>
                    <w:right w:val="single" w:color="auto" w:sz="4" w:space="0"/>
                  </w:tcBorders>
                  <w:shd w:val="clear" w:color="auto" w:fill="auto"/>
                  <w:vAlign w:val="center"/>
                </w:tcPr>
                <w:p w14:paraId="2F0680C2">
                  <w:pPr>
                    <w:widowControl/>
                    <w:spacing w:line="240" w:lineRule="auto"/>
                    <w:jc w:val="center"/>
                    <w:textAlignment w:val="center"/>
                    <w:rPr>
                      <w:rFonts w:hint="default" w:cs="宋体"/>
                      <w:color w:val="auto"/>
                      <w:sz w:val="18"/>
                      <w:szCs w:val="18"/>
                      <w:lang w:val="en-US" w:eastAsia="zh-CN"/>
                    </w:rPr>
                  </w:pPr>
                  <w:r>
                    <w:rPr>
                      <w:rFonts w:hint="eastAsia" w:cs="宋体"/>
                      <w:color w:val="auto"/>
                      <w:sz w:val="18"/>
                      <w:szCs w:val="18"/>
                      <w:lang w:val="en-US" w:eastAsia="zh-CN"/>
                    </w:rPr>
                    <w:t>风机</w:t>
                  </w:r>
                </w:p>
              </w:tc>
              <w:tc>
                <w:tcPr>
                  <w:tcW w:w="635" w:type="pct"/>
                  <w:tcBorders>
                    <w:top w:val="single" w:color="000000" w:sz="4" w:space="0"/>
                    <w:left w:val="single" w:color="auto" w:sz="4" w:space="0"/>
                    <w:bottom w:val="single" w:color="000000" w:sz="4" w:space="0"/>
                    <w:right w:val="single" w:color="000000" w:sz="4" w:space="0"/>
                  </w:tcBorders>
                  <w:shd w:val="clear" w:color="auto" w:fill="auto"/>
                  <w:vAlign w:val="center"/>
                </w:tcPr>
                <w:p w14:paraId="22E9E375">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w:t>
                  </w:r>
                </w:p>
              </w:tc>
              <w:tc>
                <w:tcPr>
                  <w:tcW w:w="1027" w:type="pct"/>
                  <w:tcBorders>
                    <w:top w:val="single" w:color="000000" w:sz="4" w:space="0"/>
                    <w:left w:val="single" w:color="000000" w:sz="4" w:space="0"/>
                    <w:bottom w:val="single" w:color="000000" w:sz="4" w:space="0"/>
                    <w:right w:val="single" w:color="auto" w:sz="4" w:space="0"/>
                  </w:tcBorders>
                  <w:shd w:val="clear" w:color="auto" w:fill="auto"/>
                  <w:vAlign w:val="center"/>
                </w:tcPr>
                <w:p w14:paraId="7EA62E1B">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22000m</w:t>
                  </w:r>
                  <w:r>
                    <w:rPr>
                      <w:rFonts w:hint="eastAsia"/>
                      <w:color w:val="auto"/>
                      <w:kern w:val="0"/>
                      <w:sz w:val="18"/>
                      <w:szCs w:val="18"/>
                      <w:vertAlign w:val="superscript"/>
                      <w:lang w:val="en-US" w:eastAsia="zh-CN" w:bidi="ar"/>
                    </w:rPr>
                    <w:t>3</w:t>
                  </w:r>
                  <w:r>
                    <w:rPr>
                      <w:rFonts w:hint="eastAsia"/>
                      <w:color w:val="auto"/>
                      <w:kern w:val="0"/>
                      <w:sz w:val="18"/>
                      <w:szCs w:val="18"/>
                      <w:lang w:val="en-US" w:eastAsia="zh-CN" w:bidi="ar"/>
                    </w:rPr>
                    <w:t>/h</w:t>
                  </w:r>
                </w:p>
              </w:tc>
              <w:tc>
                <w:tcPr>
                  <w:tcW w:w="737" w:type="pct"/>
                  <w:tcBorders>
                    <w:top w:val="single" w:color="000000" w:sz="4" w:space="0"/>
                    <w:left w:val="single" w:color="000000" w:sz="4" w:space="0"/>
                    <w:bottom w:val="single" w:color="000000" w:sz="4" w:space="0"/>
                    <w:right w:val="single" w:color="auto" w:sz="4" w:space="0"/>
                  </w:tcBorders>
                  <w:shd w:val="clear" w:color="auto" w:fill="auto"/>
                  <w:vAlign w:val="center"/>
                </w:tcPr>
                <w:p w14:paraId="1E922EE9">
                  <w:pPr>
                    <w:widowControl/>
                    <w:spacing w:line="240" w:lineRule="auto"/>
                    <w:jc w:val="center"/>
                    <w:textAlignment w:val="center"/>
                    <w:rPr>
                      <w:rFonts w:hint="eastAsia"/>
                      <w:color w:val="auto"/>
                      <w:kern w:val="0"/>
                      <w:sz w:val="18"/>
                      <w:szCs w:val="18"/>
                      <w:lang w:val="en-US" w:eastAsia="zh-CN" w:bidi="ar"/>
                    </w:rPr>
                  </w:pPr>
                  <w:r>
                    <w:rPr>
                      <w:rFonts w:hint="eastAsia" w:cs="Times New Roman"/>
                      <w:color w:val="auto"/>
                      <w:kern w:val="0"/>
                      <w:sz w:val="18"/>
                      <w:szCs w:val="18"/>
                      <w:lang w:val="en-US" w:eastAsia="zh-CN" w:bidi="ar"/>
                    </w:rPr>
                    <w:t>电</w:t>
                  </w:r>
                </w:p>
              </w:tc>
            </w:tr>
          </w:tbl>
          <w:p w14:paraId="3255F7DB">
            <w:pPr>
              <w:jc w:val="center"/>
              <w:rPr>
                <w:rFonts w:hint="eastAsia" w:ascii="黑体" w:hAnsi="黑体" w:eastAsia="黑体"/>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6</w:t>
            </w:r>
            <w:r>
              <w:rPr>
                <w:rFonts w:hint="eastAsia" w:ascii="黑体" w:hAnsi="黑体" w:eastAsia="黑体"/>
                <w:color w:val="auto"/>
                <w:szCs w:val="24"/>
              </w:rPr>
              <w:t xml:space="preserve"> </w:t>
            </w:r>
            <w:r>
              <w:rPr>
                <w:rFonts w:ascii="黑体" w:hAnsi="黑体" w:eastAsia="黑体"/>
                <w:color w:val="auto"/>
                <w:szCs w:val="24"/>
              </w:rPr>
              <w:t xml:space="preserve"> </w:t>
            </w:r>
            <w:r>
              <w:rPr>
                <w:rFonts w:hint="eastAsia" w:ascii="黑体" w:hAnsi="黑体" w:eastAsia="黑体"/>
                <w:color w:val="auto"/>
                <w:szCs w:val="24"/>
                <w:lang w:val="en-US" w:eastAsia="zh-CN"/>
              </w:rPr>
              <w:t>本项目</w:t>
            </w:r>
            <w:r>
              <w:rPr>
                <w:rFonts w:hint="eastAsia" w:ascii="黑体" w:hAnsi="黑体" w:eastAsia="黑体"/>
                <w:color w:val="auto"/>
                <w:szCs w:val="24"/>
              </w:rPr>
              <w:t>设备与产能的匹配性分析</w:t>
            </w:r>
          </w:p>
          <w:tbl>
            <w:tblPr>
              <w:tblStyle w:val="69"/>
              <w:tblW w:w="4997" w:type="pct"/>
              <w:tblInd w:w="0" w:type="dxa"/>
              <w:tblLayout w:type="fixed"/>
              <w:tblCellMar>
                <w:top w:w="0" w:type="dxa"/>
                <w:left w:w="108" w:type="dxa"/>
                <w:bottom w:w="0" w:type="dxa"/>
                <w:right w:w="108" w:type="dxa"/>
              </w:tblCellMar>
            </w:tblPr>
            <w:tblGrid>
              <w:gridCol w:w="1651"/>
              <w:gridCol w:w="948"/>
              <w:gridCol w:w="1810"/>
              <w:gridCol w:w="2758"/>
              <w:gridCol w:w="1283"/>
              <w:gridCol w:w="629"/>
            </w:tblGrid>
            <w:tr w14:paraId="0C1F568B">
              <w:tblPrEx>
                <w:tblCellMar>
                  <w:top w:w="0" w:type="dxa"/>
                  <w:left w:w="108" w:type="dxa"/>
                  <w:bottom w:w="0" w:type="dxa"/>
                  <w:right w:w="108" w:type="dxa"/>
                </w:tblCellMar>
              </w:tblPrEx>
              <w:trPr>
                <w:trHeight w:val="464" w:hRule="atLeast"/>
              </w:trPr>
              <w:tc>
                <w:tcPr>
                  <w:tcW w:w="909" w:type="pct"/>
                  <w:tcBorders>
                    <w:top w:val="single" w:color="000000" w:sz="4" w:space="0"/>
                    <w:left w:val="single" w:color="000000" w:sz="4" w:space="0"/>
                    <w:bottom w:val="single" w:color="auto" w:sz="4" w:space="0"/>
                    <w:right w:val="single" w:color="000000" w:sz="4" w:space="0"/>
                  </w:tcBorders>
                  <w:shd w:val="clear" w:color="auto" w:fill="auto"/>
                  <w:vAlign w:val="center"/>
                </w:tcPr>
                <w:p w14:paraId="5EB127FB">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主要设备</w:t>
                  </w:r>
                </w:p>
              </w:tc>
              <w:tc>
                <w:tcPr>
                  <w:tcW w:w="522" w:type="pct"/>
                  <w:tcBorders>
                    <w:top w:val="single" w:color="000000" w:sz="4" w:space="0"/>
                    <w:left w:val="single" w:color="000000" w:sz="4" w:space="0"/>
                    <w:bottom w:val="single" w:color="auto" w:sz="4" w:space="0"/>
                    <w:right w:val="single" w:color="000000" w:sz="4" w:space="0"/>
                  </w:tcBorders>
                  <w:shd w:val="clear" w:color="auto" w:fill="auto"/>
                  <w:vAlign w:val="center"/>
                </w:tcPr>
                <w:p w14:paraId="016B88F2">
                  <w:pPr>
                    <w:widowControl/>
                    <w:spacing w:line="240" w:lineRule="auto"/>
                    <w:jc w:val="center"/>
                    <w:textAlignment w:val="center"/>
                    <w:rPr>
                      <w:rFonts w:cs="宋体"/>
                      <w:color w:val="auto"/>
                      <w:sz w:val="18"/>
                      <w:szCs w:val="18"/>
                    </w:rPr>
                  </w:pPr>
                  <w:r>
                    <w:rPr>
                      <w:rFonts w:hint="eastAsia" w:cs="等线"/>
                      <w:color w:val="auto"/>
                      <w:sz w:val="18"/>
                      <w:szCs w:val="22"/>
                      <w:lang w:val="en-US" w:eastAsia="zh-CN"/>
                    </w:rPr>
                    <w:t>数</w:t>
                  </w:r>
                  <w:r>
                    <w:rPr>
                      <w:rFonts w:hint="eastAsia" w:cs="等线"/>
                      <w:color w:val="auto"/>
                      <w:sz w:val="18"/>
                      <w:szCs w:val="22"/>
                    </w:rPr>
                    <w:t>量</w:t>
                  </w:r>
                  <w:r>
                    <w:rPr>
                      <w:rFonts w:hint="eastAsia" w:cs="等线"/>
                      <w:color w:val="auto"/>
                      <w:sz w:val="18"/>
                      <w:szCs w:val="22"/>
                      <w:lang w:eastAsia="zh-CN"/>
                    </w:rPr>
                    <w:t>（</w:t>
                  </w:r>
                  <w:r>
                    <w:rPr>
                      <w:rFonts w:hint="eastAsia" w:cs="等线"/>
                      <w:color w:val="auto"/>
                      <w:sz w:val="18"/>
                      <w:szCs w:val="22"/>
                      <w:lang w:val="en-US" w:eastAsia="zh-CN"/>
                    </w:rPr>
                    <w:t>台/套</w:t>
                  </w:r>
                  <w:r>
                    <w:rPr>
                      <w:rFonts w:hint="eastAsia" w:cs="等线"/>
                      <w:color w:val="auto"/>
                      <w:sz w:val="18"/>
                      <w:szCs w:val="22"/>
                      <w:lang w:eastAsia="zh-CN"/>
                    </w:rPr>
                    <w:t>）</w:t>
                  </w:r>
                </w:p>
              </w:tc>
              <w:tc>
                <w:tcPr>
                  <w:tcW w:w="996" w:type="pct"/>
                  <w:tcBorders>
                    <w:top w:val="single" w:color="000000" w:sz="4" w:space="0"/>
                    <w:left w:val="single" w:color="000000" w:sz="4" w:space="0"/>
                    <w:bottom w:val="single" w:color="auto" w:sz="4" w:space="0"/>
                    <w:right w:val="single" w:color="000000" w:sz="4" w:space="0"/>
                  </w:tcBorders>
                  <w:shd w:val="clear" w:color="auto" w:fill="auto"/>
                  <w:vAlign w:val="center"/>
                </w:tcPr>
                <w:p w14:paraId="2B960480">
                  <w:pPr>
                    <w:widowControl/>
                    <w:spacing w:line="240" w:lineRule="auto"/>
                    <w:jc w:val="center"/>
                    <w:textAlignment w:val="center"/>
                    <w:rPr>
                      <w:rFonts w:hint="eastAsia" w:eastAsia="宋体" w:cs="宋体"/>
                      <w:color w:val="auto"/>
                      <w:kern w:val="0"/>
                      <w:sz w:val="18"/>
                      <w:szCs w:val="18"/>
                      <w:lang w:eastAsia="zh-CN" w:bidi="ar"/>
                    </w:rPr>
                  </w:pPr>
                  <w:r>
                    <w:rPr>
                      <w:rFonts w:hint="eastAsia" w:cs="宋体"/>
                      <w:color w:val="auto"/>
                      <w:kern w:val="0"/>
                      <w:sz w:val="18"/>
                      <w:szCs w:val="18"/>
                      <w:lang w:bidi="ar"/>
                    </w:rPr>
                    <w:t>规格</w:t>
                  </w:r>
                  <w:r>
                    <w:rPr>
                      <w:rFonts w:hint="eastAsia" w:cs="宋体"/>
                      <w:color w:val="auto"/>
                      <w:kern w:val="0"/>
                      <w:sz w:val="18"/>
                      <w:szCs w:val="18"/>
                      <w:lang w:val="en-US" w:eastAsia="zh-CN" w:bidi="ar"/>
                    </w:rPr>
                    <w:t>/</w:t>
                  </w:r>
                  <w:r>
                    <w:rPr>
                      <w:rFonts w:hint="eastAsia" w:cs="宋体"/>
                      <w:color w:val="auto"/>
                      <w:kern w:val="0"/>
                      <w:sz w:val="18"/>
                      <w:szCs w:val="18"/>
                      <w:lang w:bidi="ar"/>
                    </w:rPr>
                    <w:t>型号</w:t>
                  </w:r>
                </w:p>
              </w:tc>
              <w:tc>
                <w:tcPr>
                  <w:tcW w:w="1518" w:type="pct"/>
                  <w:tcBorders>
                    <w:top w:val="single" w:color="000000" w:sz="4" w:space="0"/>
                    <w:left w:val="single" w:color="000000" w:sz="4" w:space="0"/>
                    <w:bottom w:val="single" w:color="auto" w:sz="4" w:space="0"/>
                    <w:right w:val="single" w:color="000000" w:sz="4" w:space="0"/>
                  </w:tcBorders>
                  <w:shd w:val="clear" w:color="auto" w:fill="auto"/>
                  <w:vAlign w:val="center"/>
                </w:tcPr>
                <w:p w14:paraId="59388C8F">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设计年处理能力</w:t>
                  </w:r>
                </w:p>
              </w:tc>
              <w:tc>
                <w:tcPr>
                  <w:tcW w:w="706" w:type="pct"/>
                  <w:tcBorders>
                    <w:top w:val="single" w:color="000000" w:sz="4" w:space="0"/>
                    <w:left w:val="single" w:color="000000" w:sz="4" w:space="0"/>
                    <w:bottom w:val="single" w:color="auto" w:sz="4" w:space="0"/>
                    <w:right w:val="single" w:color="000000" w:sz="4" w:space="0"/>
                  </w:tcBorders>
                  <w:shd w:val="clear" w:color="auto" w:fill="auto"/>
                  <w:vAlign w:val="center"/>
                </w:tcPr>
                <w:p w14:paraId="19524AB7">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本项目所需能力</w:t>
                  </w:r>
                </w:p>
              </w:tc>
              <w:tc>
                <w:tcPr>
                  <w:tcW w:w="346" w:type="pct"/>
                  <w:tcBorders>
                    <w:top w:val="single" w:color="000000" w:sz="4" w:space="0"/>
                    <w:left w:val="single" w:color="000000" w:sz="4" w:space="0"/>
                    <w:bottom w:val="single" w:color="auto" w:sz="4" w:space="0"/>
                    <w:right w:val="single" w:color="000000" w:sz="4" w:space="0"/>
                  </w:tcBorders>
                  <w:shd w:val="clear" w:color="auto" w:fill="auto"/>
                  <w:vAlign w:val="center"/>
                </w:tcPr>
                <w:p w14:paraId="66F447A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是否匹配</w:t>
                  </w:r>
                </w:p>
              </w:tc>
            </w:tr>
            <w:tr w14:paraId="23B06F06">
              <w:tblPrEx>
                <w:tblCellMar>
                  <w:top w:w="0" w:type="dxa"/>
                  <w:left w:w="108" w:type="dxa"/>
                  <w:bottom w:w="0" w:type="dxa"/>
                  <w:right w:w="108" w:type="dxa"/>
                </w:tblCellMar>
              </w:tblPrEx>
              <w:trPr>
                <w:trHeight w:val="408" w:hRule="atLeast"/>
              </w:trPr>
              <w:tc>
                <w:tcPr>
                  <w:tcW w:w="909" w:type="pct"/>
                  <w:tcBorders>
                    <w:top w:val="single" w:color="auto" w:sz="4" w:space="0"/>
                    <w:left w:val="single" w:color="000000" w:sz="4" w:space="0"/>
                    <w:bottom w:val="single" w:color="auto" w:sz="4" w:space="0"/>
                    <w:right w:val="single" w:color="000000" w:sz="4" w:space="0"/>
                  </w:tcBorders>
                  <w:shd w:val="clear" w:color="auto" w:fill="auto"/>
                  <w:vAlign w:val="center"/>
                </w:tcPr>
                <w:p w14:paraId="446A05AA">
                  <w:pPr>
                    <w:widowControl/>
                    <w:spacing w:line="240" w:lineRule="auto"/>
                    <w:jc w:val="center"/>
                    <w:textAlignment w:val="center"/>
                    <w:rPr>
                      <w:rFonts w:hint="eastAsia" w:cs="宋体"/>
                      <w:color w:val="auto"/>
                      <w:kern w:val="0"/>
                      <w:sz w:val="18"/>
                      <w:szCs w:val="18"/>
                      <w:lang w:bidi="ar"/>
                    </w:rPr>
                  </w:pPr>
                  <w:r>
                    <w:rPr>
                      <w:rFonts w:hint="eastAsia" w:cs="Times New Roman"/>
                      <w:color w:val="auto"/>
                      <w:sz w:val="18"/>
                      <w:szCs w:val="18"/>
                      <w:lang w:val="en-US" w:eastAsia="zh-CN"/>
                    </w:rPr>
                    <w:t>集中熔铝炉</w:t>
                  </w:r>
                </w:p>
              </w:tc>
              <w:tc>
                <w:tcPr>
                  <w:tcW w:w="522" w:type="pct"/>
                  <w:tcBorders>
                    <w:top w:val="single" w:color="auto" w:sz="4" w:space="0"/>
                    <w:left w:val="single" w:color="000000" w:sz="4" w:space="0"/>
                    <w:bottom w:val="single" w:color="auto" w:sz="4" w:space="0"/>
                    <w:right w:val="single" w:color="000000" w:sz="4" w:space="0"/>
                  </w:tcBorders>
                  <w:shd w:val="clear" w:color="auto" w:fill="auto"/>
                  <w:vAlign w:val="center"/>
                </w:tcPr>
                <w:p w14:paraId="64BDDBCE">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1</w:t>
                  </w:r>
                </w:p>
              </w:tc>
              <w:tc>
                <w:tcPr>
                  <w:tcW w:w="996" w:type="pct"/>
                  <w:tcBorders>
                    <w:top w:val="single" w:color="auto" w:sz="4" w:space="0"/>
                    <w:left w:val="single" w:color="000000" w:sz="4" w:space="0"/>
                    <w:bottom w:val="single" w:color="auto" w:sz="4" w:space="0"/>
                    <w:right w:val="single" w:color="000000" w:sz="4" w:space="0"/>
                  </w:tcBorders>
                  <w:shd w:val="clear" w:color="auto" w:fill="auto"/>
                  <w:vAlign w:val="center"/>
                </w:tcPr>
                <w:p w14:paraId="085BF50C">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5000kg，25kW</w:t>
                  </w:r>
                </w:p>
              </w:tc>
              <w:tc>
                <w:tcPr>
                  <w:tcW w:w="1518" w:type="pct"/>
                  <w:tcBorders>
                    <w:top w:val="single" w:color="auto" w:sz="4" w:space="0"/>
                    <w:left w:val="single" w:color="000000" w:sz="4" w:space="0"/>
                    <w:bottom w:val="single" w:color="auto" w:sz="4" w:space="0"/>
                    <w:right w:val="single" w:color="000000" w:sz="4" w:space="0"/>
                  </w:tcBorders>
                  <w:shd w:val="clear" w:color="auto" w:fill="auto"/>
                  <w:vAlign w:val="center"/>
                </w:tcPr>
                <w:p w14:paraId="46723B04">
                  <w:pPr>
                    <w:widowControl/>
                    <w:spacing w:line="240" w:lineRule="auto"/>
                    <w:jc w:val="center"/>
                    <w:textAlignment w:val="center"/>
                    <w:rPr>
                      <w:rFonts w:hint="default" w:cs="宋体"/>
                      <w:color w:val="auto"/>
                      <w:kern w:val="0"/>
                      <w:sz w:val="18"/>
                      <w:szCs w:val="18"/>
                      <w:lang w:val="en-US" w:bidi="ar"/>
                    </w:rPr>
                  </w:pPr>
                  <w:r>
                    <w:rPr>
                      <w:rFonts w:hint="eastAsia" w:ascii="Times New Roman" w:hAnsi="Times New Roman" w:eastAsia="宋体" w:cs="Times New Roman"/>
                      <w:color w:val="auto"/>
                      <w:sz w:val="18"/>
                      <w:szCs w:val="18"/>
                      <w:lang w:val="en-US" w:eastAsia="zh-CN"/>
                    </w:rPr>
                    <w:t>5</w:t>
                  </w:r>
                  <w:r>
                    <w:rPr>
                      <w:rFonts w:hint="eastAsia" w:cs="Times New Roman"/>
                      <w:color w:val="auto"/>
                      <w:sz w:val="18"/>
                      <w:szCs w:val="18"/>
                      <w:lang w:val="en-US" w:eastAsia="zh-CN"/>
                    </w:rPr>
                    <w:t>t/h，每天集中熔铝5小时，年处理能力7500t</w:t>
                  </w:r>
                </w:p>
              </w:tc>
              <w:tc>
                <w:tcPr>
                  <w:tcW w:w="706" w:type="pct"/>
                  <w:tcBorders>
                    <w:top w:val="single" w:color="auto" w:sz="4" w:space="0"/>
                    <w:left w:val="single" w:color="000000" w:sz="4" w:space="0"/>
                    <w:bottom w:val="single" w:color="auto" w:sz="4" w:space="0"/>
                    <w:right w:val="single" w:color="auto" w:sz="4" w:space="0"/>
                  </w:tcBorders>
                  <w:shd w:val="clear" w:color="auto" w:fill="auto"/>
                  <w:vAlign w:val="center"/>
                </w:tcPr>
                <w:p w14:paraId="5721865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6800t/a</w:t>
                  </w:r>
                </w:p>
              </w:tc>
              <w:tc>
                <w:tcPr>
                  <w:tcW w:w="346" w:type="pct"/>
                  <w:tcBorders>
                    <w:top w:val="single" w:color="auto" w:sz="4" w:space="0"/>
                    <w:left w:val="single" w:color="000000" w:sz="4" w:space="0"/>
                    <w:bottom w:val="single" w:color="auto" w:sz="4" w:space="0"/>
                    <w:right w:val="single" w:color="auto" w:sz="4" w:space="0"/>
                  </w:tcBorders>
                  <w:shd w:val="clear" w:color="auto" w:fill="auto"/>
                  <w:vAlign w:val="center"/>
                </w:tcPr>
                <w:p w14:paraId="3121BB3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是</w:t>
                  </w:r>
                </w:p>
              </w:tc>
            </w:tr>
            <w:tr w14:paraId="5385B2AB">
              <w:tblPrEx>
                <w:tblCellMar>
                  <w:top w:w="0" w:type="dxa"/>
                  <w:left w:w="108" w:type="dxa"/>
                  <w:bottom w:w="0" w:type="dxa"/>
                  <w:right w:w="108" w:type="dxa"/>
                </w:tblCellMar>
              </w:tblPrEx>
              <w:trPr>
                <w:trHeight w:val="352" w:hRule="atLeast"/>
              </w:trPr>
              <w:tc>
                <w:tcPr>
                  <w:tcW w:w="909" w:type="pct"/>
                  <w:tcBorders>
                    <w:top w:val="single" w:color="auto" w:sz="4" w:space="0"/>
                    <w:left w:val="single" w:color="000000" w:sz="4" w:space="0"/>
                    <w:bottom w:val="single" w:color="auto" w:sz="4" w:space="0"/>
                    <w:right w:val="single" w:color="000000" w:sz="4" w:space="0"/>
                  </w:tcBorders>
                  <w:shd w:val="clear" w:color="auto" w:fill="auto"/>
                  <w:vAlign w:val="center"/>
                </w:tcPr>
                <w:p w14:paraId="3527CCC9">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单工位离心浇铸机</w:t>
                  </w:r>
                  <w:r>
                    <w:rPr>
                      <w:rFonts w:hint="eastAsia" w:cs="Times New Roman"/>
                      <w:color w:val="auto"/>
                      <w:sz w:val="18"/>
                      <w:szCs w:val="18"/>
                      <w:lang w:val="en-US" w:eastAsia="zh-CN"/>
                    </w:rPr>
                    <w:t>（配套电炉）</w:t>
                  </w:r>
                </w:p>
              </w:tc>
              <w:tc>
                <w:tcPr>
                  <w:tcW w:w="522" w:type="pct"/>
                  <w:tcBorders>
                    <w:top w:val="single" w:color="auto" w:sz="4" w:space="0"/>
                    <w:left w:val="single" w:color="000000" w:sz="4" w:space="0"/>
                    <w:bottom w:val="single" w:color="auto" w:sz="4" w:space="0"/>
                    <w:right w:val="single" w:color="000000" w:sz="4" w:space="0"/>
                  </w:tcBorders>
                  <w:shd w:val="clear" w:color="auto" w:fill="auto"/>
                  <w:vAlign w:val="center"/>
                </w:tcPr>
                <w:p w14:paraId="3F456AB4">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2</w:t>
                  </w:r>
                </w:p>
              </w:tc>
              <w:tc>
                <w:tcPr>
                  <w:tcW w:w="996" w:type="pct"/>
                  <w:tcBorders>
                    <w:top w:val="single" w:color="auto" w:sz="4" w:space="0"/>
                    <w:left w:val="single" w:color="000000" w:sz="4" w:space="0"/>
                    <w:bottom w:val="single" w:color="auto" w:sz="4" w:space="0"/>
                    <w:right w:val="single" w:color="000000" w:sz="4" w:space="0"/>
                  </w:tcBorders>
                  <w:shd w:val="clear" w:color="auto" w:fill="auto"/>
                  <w:vAlign w:val="center"/>
                </w:tcPr>
                <w:p w14:paraId="0FEDCDB4">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1000kg，130kW</w:t>
                  </w:r>
                </w:p>
              </w:tc>
              <w:tc>
                <w:tcPr>
                  <w:tcW w:w="1518" w:type="pct"/>
                  <w:tcBorders>
                    <w:top w:val="single" w:color="auto" w:sz="4" w:space="0"/>
                    <w:left w:val="single" w:color="000000" w:sz="4" w:space="0"/>
                    <w:bottom w:val="single" w:color="auto" w:sz="4" w:space="0"/>
                    <w:right w:val="single" w:color="000000" w:sz="4" w:space="0"/>
                  </w:tcBorders>
                  <w:shd w:val="clear" w:color="auto" w:fill="auto"/>
                  <w:vAlign w:val="center"/>
                </w:tcPr>
                <w:p w14:paraId="37511EFA">
                  <w:pPr>
                    <w:widowControl/>
                    <w:spacing w:line="240" w:lineRule="auto"/>
                    <w:jc w:val="center"/>
                    <w:textAlignment w:val="center"/>
                    <w:rPr>
                      <w:rFonts w:hint="eastAsia" w:cs="宋体"/>
                      <w:color w:val="auto"/>
                      <w:kern w:val="0"/>
                      <w:sz w:val="18"/>
                      <w:szCs w:val="18"/>
                      <w:lang w:bidi="ar"/>
                    </w:rPr>
                  </w:pPr>
                  <w:r>
                    <w:rPr>
                      <w:rFonts w:hint="eastAsia" w:cs="Times New Roman"/>
                      <w:color w:val="auto"/>
                      <w:sz w:val="18"/>
                      <w:szCs w:val="18"/>
                      <w:lang w:val="en-US" w:eastAsia="zh-CN"/>
                    </w:rPr>
                    <w:t>单台1t/h，每天浇注时间3小时，2台年处理能力1800t</w:t>
                  </w:r>
                </w:p>
              </w:tc>
              <w:tc>
                <w:tcPr>
                  <w:tcW w:w="706" w:type="pct"/>
                  <w:tcBorders>
                    <w:top w:val="single" w:color="auto" w:sz="4" w:space="0"/>
                    <w:left w:val="single" w:color="000000" w:sz="4" w:space="0"/>
                    <w:bottom w:val="single" w:color="auto" w:sz="4" w:space="0"/>
                    <w:right w:val="single" w:color="auto" w:sz="4" w:space="0"/>
                  </w:tcBorders>
                  <w:shd w:val="clear" w:color="auto" w:fill="auto"/>
                  <w:vAlign w:val="center"/>
                </w:tcPr>
                <w:p w14:paraId="31FE2D5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1200t/a</w:t>
                  </w:r>
                </w:p>
              </w:tc>
              <w:tc>
                <w:tcPr>
                  <w:tcW w:w="346" w:type="pct"/>
                  <w:tcBorders>
                    <w:top w:val="single" w:color="auto" w:sz="4" w:space="0"/>
                    <w:left w:val="single" w:color="000000" w:sz="4" w:space="0"/>
                    <w:bottom w:val="single" w:color="auto" w:sz="4" w:space="0"/>
                    <w:right w:val="single" w:color="auto" w:sz="4" w:space="0"/>
                  </w:tcBorders>
                  <w:shd w:val="clear" w:color="auto" w:fill="auto"/>
                  <w:vAlign w:val="center"/>
                </w:tcPr>
                <w:p w14:paraId="080E88F5">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是</w:t>
                  </w:r>
                </w:p>
              </w:tc>
            </w:tr>
            <w:tr w14:paraId="27693E60">
              <w:tblPrEx>
                <w:tblCellMar>
                  <w:top w:w="0" w:type="dxa"/>
                  <w:left w:w="108" w:type="dxa"/>
                  <w:bottom w:w="0" w:type="dxa"/>
                  <w:right w:w="108" w:type="dxa"/>
                </w:tblCellMar>
              </w:tblPrEx>
              <w:trPr>
                <w:trHeight w:val="468" w:hRule="atLeast"/>
              </w:trPr>
              <w:tc>
                <w:tcPr>
                  <w:tcW w:w="909" w:type="pct"/>
                  <w:tcBorders>
                    <w:top w:val="single" w:color="auto" w:sz="4" w:space="0"/>
                    <w:left w:val="single" w:color="000000" w:sz="4" w:space="0"/>
                    <w:bottom w:val="single" w:color="auto" w:sz="4" w:space="0"/>
                    <w:right w:val="single" w:color="000000" w:sz="4" w:space="0"/>
                  </w:tcBorders>
                  <w:shd w:val="clear" w:color="auto" w:fill="auto"/>
                  <w:vAlign w:val="center"/>
                </w:tcPr>
                <w:p w14:paraId="501B5B7F">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四工位离心浇铸机</w:t>
                  </w:r>
                  <w:r>
                    <w:rPr>
                      <w:rFonts w:hint="eastAsia" w:cs="Times New Roman"/>
                      <w:color w:val="auto"/>
                      <w:sz w:val="18"/>
                      <w:szCs w:val="18"/>
                      <w:lang w:val="en-US" w:eastAsia="zh-CN"/>
                    </w:rPr>
                    <w:t>（配套电炉）</w:t>
                  </w:r>
                </w:p>
              </w:tc>
              <w:tc>
                <w:tcPr>
                  <w:tcW w:w="522" w:type="pct"/>
                  <w:tcBorders>
                    <w:top w:val="single" w:color="auto" w:sz="4" w:space="0"/>
                    <w:left w:val="single" w:color="000000" w:sz="4" w:space="0"/>
                    <w:bottom w:val="single" w:color="auto" w:sz="4" w:space="0"/>
                    <w:right w:val="single" w:color="000000" w:sz="4" w:space="0"/>
                  </w:tcBorders>
                  <w:shd w:val="clear" w:color="auto" w:fill="auto"/>
                  <w:vAlign w:val="center"/>
                </w:tcPr>
                <w:p w14:paraId="5EFF6A00">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2</w:t>
                  </w:r>
                </w:p>
              </w:tc>
              <w:tc>
                <w:tcPr>
                  <w:tcW w:w="996" w:type="pct"/>
                  <w:tcBorders>
                    <w:top w:val="single" w:color="auto" w:sz="4" w:space="0"/>
                    <w:left w:val="single" w:color="000000" w:sz="4" w:space="0"/>
                    <w:bottom w:val="single" w:color="auto" w:sz="4" w:space="0"/>
                    <w:right w:val="single" w:color="000000" w:sz="4" w:space="0"/>
                  </w:tcBorders>
                  <w:shd w:val="clear" w:color="auto" w:fill="auto"/>
                  <w:vAlign w:val="center"/>
                </w:tcPr>
                <w:p w14:paraId="13E05B90">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500kg，130kW</w:t>
                  </w:r>
                </w:p>
              </w:tc>
              <w:tc>
                <w:tcPr>
                  <w:tcW w:w="1518" w:type="pct"/>
                  <w:tcBorders>
                    <w:top w:val="single" w:color="auto" w:sz="4" w:space="0"/>
                    <w:left w:val="single" w:color="000000" w:sz="4" w:space="0"/>
                    <w:bottom w:val="single" w:color="auto" w:sz="4" w:space="0"/>
                    <w:right w:val="single" w:color="000000" w:sz="4" w:space="0"/>
                  </w:tcBorders>
                  <w:shd w:val="clear" w:color="auto" w:fill="auto"/>
                  <w:vAlign w:val="center"/>
                </w:tcPr>
                <w:p w14:paraId="6D218928">
                  <w:pPr>
                    <w:widowControl/>
                    <w:spacing w:line="240" w:lineRule="auto"/>
                    <w:jc w:val="center"/>
                    <w:textAlignment w:val="center"/>
                    <w:rPr>
                      <w:rFonts w:hint="eastAsia" w:cs="宋体"/>
                      <w:color w:val="auto"/>
                      <w:kern w:val="0"/>
                      <w:sz w:val="18"/>
                      <w:szCs w:val="18"/>
                      <w:lang w:bidi="ar"/>
                    </w:rPr>
                  </w:pPr>
                  <w:r>
                    <w:rPr>
                      <w:rFonts w:hint="eastAsia" w:cs="Times New Roman"/>
                      <w:color w:val="auto"/>
                      <w:sz w:val="18"/>
                      <w:szCs w:val="18"/>
                      <w:lang w:val="en-US" w:eastAsia="zh-CN"/>
                    </w:rPr>
                    <w:t>单台0.5t/h，每天浇注时间5小时，2台年处理能力1500t</w:t>
                  </w:r>
                </w:p>
              </w:tc>
              <w:tc>
                <w:tcPr>
                  <w:tcW w:w="706" w:type="pct"/>
                  <w:tcBorders>
                    <w:top w:val="single" w:color="auto" w:sz="4" w:space="0"/>
                    <w:left w:val="single" w:color="000000" w:sz="4" w:space="0"/>
                    <w:bottom w:val="single" w:color="auto" w:sz="4" w:space="0"/>
                    <w:right w:val="single" w:color="auto" w:sz="4" w:space="0"/>
                  </w:tcBorders>
                  <w:shd w:val="clear" w:color="auto" w:fill="auto"/>
                  <w:vAlign w:val="center"/>
                </w:tcPr>
                <w:p w14:paraId="5A3A2C8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1200t/a</w:t>
                  </w:r>
                </w:p>
              </w:tc>
              <w:tc>
                <w:tcPr>
                  <w:tcW w:w="346" w:type="pct"/>
                  <w:tcBorders>
                    <w:top w:val="single" w:color="auto" w:sz="4" w:space="0"/>
                    <w:left w:val="single" w:color="000000" w:sz="4" w:space="0"/>
                    <w:bottom w:val="single" w:color="auto" w:sz="4" w:space="0"/>
                    <w:right w:val="single" w:color="auto" w:sz="4" w:space="0"/>
                  </w:tcBorders>
                  <w:shd w:val="clear" w:color="auto" w:fill="auto"/>
                  <w:vAlign w:val="center"/>
                </w:tcPr>
                <w:p w14:paraId="2B16BC9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是</w:t>
                  </w:r>
                </w:p>
              </w:tc>
            </w:tr>
            <w:tr w14:paraId="5CD8C6C5">
              <w:tblPrEx>
                <w:tblCellMar>
                  <w:top w:w="0" w:type="dxa"/>
                  <w:left w:w="108" w:type="dxa"/>
                  <w:bottom w:w="0" w:type="dxa"/>
                  <w:right w:w="108" w:type="dxa"/>
                </w:tblCellMar>
              </w:tblPrEx>
              <w:trPr>
                <w:trHeight w:val="382" w:hRule="atLeast"/>
              </w:trPr>
              <w:tc>
                <w:tcPr>
                  <w:tcW w:w="909" w:type="pct"/>
                  <w:tcBorders>
                    <w:top w:val="single" w:color="auto" w:sz="4" w:space="0"/>
                    <w:left w:val="single" w:color="000000" w:sz="4" w:space="0"/>
                    <w:bottom w:val="single" w:color="auto" w:sz="4" w:space="0"/>
                    <w:right w:val="single" w:color="000000" w:sz="4" w:space="0"/>
                  </w:tcBorders>
                  <w:shd w:val="clear" w:color="auto" w:fill="auto"/>
                  <w:vAlign w:val="center"/>
                </w:tcPr>
                <w:p w14:paraId="66D414B8">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低压</w:t>
                  </w:r>
                  <w:r>
                    <w:rPr>
                      <w:rFonts w:hint="eastAsia" w:cs="Times New Roman"/>
                      <w:color w:val="auto"/>
                      <w:sz w:val="18"/>
                      <w:szCs w:val="18"/>
                      <w:lang w:val="en-US" w:eastAsia="zh-CN"/>
                    </w:rPr>
                    <w:t>压</w:t>
                  </w:r>
                  <w:r>
                    <w:rPr>
                      <w:rFonts w:hint="eastAsia" w:ascii="Times New Roman" w:hAnsi="Times New Roman" w:eastAsia="宋体" w:cs="Times New Roman"/>
                      <w:color w:val="auto"/>
                      <w:sz w:val="18"/>
                      <w:szCs w:val="18"/>
                      <w:lang w:val="en-US" w:eastAsia="zh-CN"/>
                    </w:rPr>
                    <w:t>铸机</w:t>
                  </w:r>
                </w:p>
              </w:tc>
              <w:tc>
                <w:tcPr>
                  <w:tcW w:w="522" w:type="pct"/>
                  <w:tcBorders>
                    <w:top w:val="single" w:color="auto" w:sz="4" w:space="0"/>
                    <w:left w:val="single" w:color="000000" w:sz="4" w:space="0"/>
                    <w:bottom w:val="single" w:color="auto" w:sz="4" w:space="0"/>
                    <w:right w:val="single" w:color="000000" w:sz="4" w:space="0"/>
                  </w:tcBorders>
                  <w:shd w:val="clear" w:color="auto" w:fill="auto"/>
                  <w:vAlign w:val="center"/>
                </w:tcPr>
                <w:p w14:paraId="79031544">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10</w:t>
                  </w:r>
                </w:p>
              </w:tc>
              <w:tc>
                <w:tcPr>
                  <w:tcW w:w="996" w:type="pct"/>
                  <w:tcBorders>
                    <w:top w:val="single" w:color="auto" w:sz="4" w:space="0"/>
                    <w:left w:val="single" w:color="000000" w:sz="4" w:space="0"/>
                    <w:bottom w:val="single" w:color="auto" w:sz="4" w:space="0"/>
                    <w:right w:val="single" w:color="000000" w:sz="4" w:space="0"/>
                  </w:tcBorders>
                  <w:shd w:val="clear" w:color="auto" w:fill="auto"/>
                  <w:vAlign w:val="center"/>
                </w:tcPr>
                <w:p w14:paraId="59B71BCF">
                  <w:pPr>
                    <w:widowControl/>
                    <w:spacing w:line="240" w:lineRule="auto"/>
                    <w:jc w:val="center"/>
                    <w:textAlignment w:val="bottom"/>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800KG，38kW</w:t>
                  </w:r>
                </w:p>
              </w:tc>
              <w:tc>
                <w:tcPr>
                  <w:tcW w:w="1518" w:type="pct"/>
                  <w:tcBorders>
                    <w:top w:val="single" w:color="auto" w:sz="4" w:space="0"/>
                    <w:left w:val="single" w:color="000000" w:sz="4" w:space="0"/>
                    <w:bottom w:val="single" w:color="auto" w:sz="4" w:space="0"/>
                    <w:right w:val="single" w:color="000000" w:sz="4" w:space="0"/>
                  </w:tcBorders>
                  <w:shd w:val="clear" w:color="auto" w:fill="auto"/>
                  <w:vAlign w:val="center"/>
                </w:tcPr>
                <w:p w14:paraId="0DE3EC87">
                  <w:pPr>
                    <w:widowControl/>
                    <w:spacing w:line="240" w:lineRule="auto"/>
                    <w:jc w:val="center"/>
                    <w:textAlignment w:val="center"/>
                    <w:rPr>
                      <w:rFonts w:hint="eastAsia" w:cs="宋体"/>
                      <w:color w:val="auto"/>
                      <w:kern w:val="0"/>
                      <w:sz w:val="18"/>
                      <w:szCs w:val="18"/>
                      <w:lang w:bidi="ar"/>
                    </w:rPr>
                  </w:pPr>
                  <w:r>
                    <w:rPr>
                      <w:rFonts w:hint="eastAsia" w:cs="Times New Roman"/>
                      <w:color w:val="auto"/>
                      <w:sz w:val="18"/>
                      <w:szCs w:val="18"/>
                      <w:lang w:val="en-US" w:eastAsia="zh-CN"/>
                    </w:rPr>
                    <w:t>单套0.8t/h，每天浇注时间3小时，10台年处理能力7200t</w:t>
                  </w:r>
                </w:p>
              </w:tc>
              <w:tc>
                <w:tcPr>
                  <w:tcW w:w="706" w:type="pct"/>
                  <w:tcBorders>
                    <w:top w:val="single" w:color="auto" w:sz="4" w:space="0"/>
                    <w:left w:val="single" w:color="000000" w:sz="4" w:space="0"/>
                    <w:bottom w:val="single" w:color="auto" w:sz="4" w:space="0"/>
                    <w:right w:val="single" w:color="auto" w:sz="4" w:space="0"/>
                  </w:tcBorders>
                  <w:shd w:val="clear" w:color="auto" w:fill="auto"/>
                  <w:vAlign w:val="center"/>
                </w:tcPr>
                <w:p w14:paraId="7D50112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6800t/a</w:t>
                  </w:r>
                </w:p>
              </w:tc>
              <w:tc>
                <w:tcPr>
                  <w:tcW w:w="346" w:type="pct"/>
                  <w:tcBorders>
                    <w:top w:val="single" w:color="auto" w:sz="4" w:space="0"/>
                    <w:left w:val="single" w:color="000000" w:sz="4" w:space="0"/>
                    <w:bottom w:val="single" w:color="auto" w:sz="4" w:space="0"/>
                    <w:right w:val="single" w:color="auto" w:sz="4" w:space="0"/>
                  </w:tcBorders>
                  <w:shd w:val="clear" w:color="auto" w:fill="auto"/>
                  <w:vAlign w:val="center"/>
                </w:tcPr>
                <w:p w14:paraId="3E4EFF6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是</w:t>
                  </w:r>
                </w:p>
              </w:tc>
            </w:tr>
          </w:tbl>
          <w:p w14:paraId="429C6642">
            <w:pPr>
              <w:rPr>
                <w:b/>
                <w:color w:val="auto"/>
                <w:szCs w:val="24"/>
              </w:rPr>
            </w:pPr>
            <w:r>
              <w:rPr>
                <w:rFonts w:hint="eastAsia"/>
                <w:b/>
                <w:color w:val="auto"/>
                <w:szCs w:val="24"/>
              </w:rPr>
              <w:t>5、</w:t>
            </w:r>
            <w:r>
              <w:rPr>
                <w:b/>
                <w:color w:val="auto"/>
                <w:szCs w:val="24"/>
              </w:rPr>
              <w:t>主要原辅料及消耗</w:t>
            </w:r>
          </w:p>
          <w:p w14:paraId="18BD4595">
            <w:pPr>
              <w:ind w:firstLine="480" w:firstLineChars="200"/>
              <w:rPr>
                <w:bCs/>
                <w:color w:val="auto"/>
                <w:szCs w:val="24"/>
              </w:rPr>
            </w:pPr>
            <w:r>
              <w:rPr>
                <w:rFonts w:hint="eastAsia"/>
                <w:bCs/>
                <w:color w:val="auto"/>
                <w:szCs w:val="24"/>
              </w:rPr>
              <w:t>根据设计方案，</w:t>
            </w:r>
            <w:r>
              <w:rPr>
                <w:bCs/>
                <w:color w:val="auto"/>
                <w:szCs w:val="24"/>
              </w:rPr>
              <w:t>本项目主要原辅材料</w:t>
            </w:r>
            <w:r>
              <w:rPr>
                <w:rFonts w:hint="eastAsia"/>
                <w:bCs/>
                <w:color w:val="auto"/>
                <w:szCs w:val="24"/>
              </w:rPr>
              <w:t>消耗情况</w:t>
            </w:r>
            <w:r>
              <w:rPr>
                <w:bCs/>
                <w:color w:val="auto"/>
                <w:szCs w:val="24"/>
              </w:rPr>
              <w:t>如下表所示</w:t>
            </w:r>
            <w:r>
              <w:rPr>
                <w:rFonts w:hint="eastAsia"/>
                <w:bCs/>
                <w:color w:val="auto"/>
                <w:szCs w:val="24"/>
              </w:rPr>
              <w:t>。</w:t>
            </w:r>
          </w:p>
          <w:p w14:paraId="5A49A11F">
            <w:pPr>
              <w:jc w:val="center"/>
              <w:rPr>
                <w:rFonts w:ascii="黑体" w:hAnsi="黑体" w:eastAsia="黑体"/>
                <w:color w:val="auto"/>
                <w:szCs w:val="24"/>
              </w:rPr>
            </w:pPr>
          </w:p>
          <w:p w14:paraId="702692CC">
            <w:pPr>
              <w:jc w:val="center"/>
              <w:rPr>
                <w:rFonts w:hint="eastAsia" w:ascii="黑体" w:hAnsi="黑体" w:eastAsia="黑体"/>
                <w:bCs/>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7</w:t>
            </w:r>
            <w:r>
              <w:rPr>
                <w:rFonts w:ascii="黑体" w:hAnsi="黑体" w:eastAsia="黑体"/>
                <w:color w:val="auto"/>
                <w:szCs w:val="24"/>
              </w:rPr>
              <w:t xml:space="preserve">  </w:t>
            </w:r>
            <w:r>
              <w:rPr>
                <w:rFonts w:ascii="黑体" w:hAnsi="黑体" w:eastAsia="黑体"/>
                <w:bCs/>
                <w:color w:val="auto"/>
                <w:szCs w:val="24"/>
              </w:rPr>
              <w:t>主要原辅材料消耗一览表</w:t>
            </w:r>
          </w:p>
          <w:tbl>
            <w:tblPr>
              <w:tblStyle w:val="69"/>
              <w:tblW w:w="9079" w:type="dxa"/>
              <w:tblInd w:w="0" w:type="dxa"/>
              <w:tblLayout w:type="fixed"/>
              <w:tblCellMar>
                <w:top w:w="0" w:type="dxa"/>
                <w:left w:w="108" w:type="dxa"/>
                <w:bottom w:w="0" w:type="dxa"/>
                <w:right w:w="108" w:type="dxa"/>
              </w:tblCellMar>
            </w:tblPr>
            <w:tblGrid>
              <w:gridCol w:w="444"/>
              <w:gridCol w:w="680"/>
              <w:gridCol w:w="866"/>
              <w:gridCol w:w="1119"/>
              <w:gridCol w:w="1108"/>
              <w:gridCol w:w="1061"/>
              <w:gridCol w:w="635"/>
              <w:gridCol w:w="658"/>
              <w:gridCol w:w="1050"/>
              <w:gridCol w:w="646"/>
              <w:gridCol w:w="812"/>
            </w:tblGrid>
            <w:tr w14:paraId="6D3FF96B">
              <w:tblPrEx>
                <w:tblCellMar>
                  <w:top w:w="0" w:type="dxa"/>
                  <w:left w:w="108" w:type="dxa"/>
                  <w:bottom w:w="0" w:type="dxa"/>
                  <w:right w:w="108" w:type="dxa"/>
                </w:tblCellMar>
              </w:tblPrEx>
              <w:trPr>
                <w:trHeight w:val="347" w:hRule="atLeast"/>
              </w:trPr>
              <w:tc>
                <w:tcPr>
                  <w:tcW w:w="444" w:type="dxa"/>
                  <w:vMerge w:val="restart"/>
                  <w:tcBorders>
                    <w:top w:val="single" w:color="auto" w:sz="4" w:space="0"/>
                    <w:left w:val="single" w:color="000000" w:sz="4" w:space="0"/>
                    <w:right w:val="single" w:color="auto" w:sz="4" w:space="0"/>
                  </w:tcBorders>
                  <w:shd w:val="clear" w:color="auto" w:fill="auto"/>
                  <w:vAlign w:val="center"/>
                </w:tcPr>
                <w:p w14:paraId="759D65C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编号</w:t>
                  </w:r>
                </w:p>
              </w:tc>
              <w:tc>
                <w:tcPr>
                  <w:tcW w:w="680" w:type="dxa"/>
                  <w:vMerge w:val="restart"/>
                  <w:tcBorders>
                    <w:top w:val="single" w:color="auto" w:sz="4" w:space="0"/>
                    <w:left w:val="single" w:color="auto" w:sz="4" w:space="0"/>
                    <w:right w:val="single" w:color="auto" w:sz="4" w:space="0"/>
                  </w:tcBorders>
                  <w:shd w:val="clear" w:color="auto" w:fill="auto"/>
                  <w:vAlign w:val="center"/>
                </w:tcPr>
                <w:p w14:paraId="61C53F1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产品</w:t>
                  </w:r>
                </w:p>
              </w:tc>
              <w:tc>
                <w:tcPr>
                  <w:tcW w:w="866" w:type="dxa"/>
                  <w:vMerge w:val="restart"/>
                  <w:tcBorders>
                    <w:top w:val="single" w:color="auto" w:sz="4" w:space="0"/>
                    <w:left w:val="single" w:color="auto" w:sz="4" w:space="0"/>
                    <w:right w:val="single" w:color="auto" w:sz="4" w:space="0"/>
                  </w:tcBorders>
                  <w:shd w:val="clear" w:color="auto" w:fill="auto"/>
                  <w:vAlign w:val="center"/>
                </w:tcPr>
                <w:p w14:paraId="32EC7FBB">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原辅料</w:t>
                  </w:r>
                </w:p>
              </w:tc>
              <w:tc>
                <w:tcPr>
                  <w:tcW w:w="328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4714A2F">
                  <w:pPr>
                    <w:widowControl/>
                    <w:spacing w:line="240" w:lineRule="auto"/>
                    <w:jc w:val="center"/>
                    <w:textAlignment w:val="center"/>
                    <w:rPr>
                      <w:rFonts w:hint="default" w:cs="宋体"/>
                      <w:color w:val="auto"/>
                      <w:sz w:val="18"/>
                      <w:szCs w:val="18"/>
                      <w:lang w:val="en-US" w:eastAsia="zh-CN"/>
                    </w:rPr>
                  </w:pPr>
                  <w:r>
                    <w:rPr>
                      <w:rFonts w:hint="eastAsia" w:cs="宋体"/>
                      <w:color w:val="auto"/>
                      <w:sz w:val="18"/>
                      <w:szCs w:val="18"/>
                      <w:lang w:val="en-US" w:eastAsia="zh-CN"/>
                    </w:rPr>
                    <w:t>年用量（t/a）</w:t>
                  </w:r>
                </w:p>
              </w:tc>
              <w:tc>
                <w:tcPr>
                  <w:tcW w:w="635" w:type="dxa"/>
                  <w:vMerge w:val="restart"/>
                  <w:tcBorders>
                    <w:top w:val="single" w:color="auto" w:sz="4" w:space="0"/>
                    <w:left w:val="single" w:color="auto" w:sz="4" w:space="0"/>
                    <w:right w:val="single" w:color="auto" w:sz="4" w:space="0"/>
                  </w:tcBorders>
                  <w:shd w:val="clear" w:color="auto" w:fill="auto"/>
                  <w:vAlign w:val="center"/>
                </w:tcPr>
                <w:p w14:paraId="13167F9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形态</w:t>
                  </w:r>
                </w:p>
              </w:tc>
              <w:tc>
                <w:tcPr>
                  <w:tcW w:w="658" w:type="dxa"/>
                  <w:vMerge w:val="restart"/>
                  <w:tcBorders>
                    <w:top w:val="single" w:color="auto" w:sz="4" w:space="0"/>
                    <w:left w:val="single" w:color="auto" w:sz="4" w:space="0"/>
                    <w:right w:val="single" w:color="auto" w:sz="4" w:space="0"/>
                  </w:tcBorders>
                  <w:shd w:val="clear" w:color="auto" w:fill="auto"/>
                  <w:vAlign w:val="center"/>
                </w:tcPr>
                <w:p w14:paraId="41E3386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包装形式</w:t>
                  </w:r>
                </w:p>
              </w:tc>
              <w:tc>
                <w:tcPr>
                  <w:tcW w:w="1050" w:type="dxa"/>
                  <w:vMerge w:val="restart"/>
                  <w:tcBorders>
                    <w:top w:val="single" w:color="auto" w:sz="4" w:space="0"/>
                    <w:left w:val="single" w:color="auto" w:sz="4" w:space="0"/>
                    <w:right w:val="single" w:color="auto" w:sz="4" w:space="0"/>
                  </w:tcBorders>
                  <w:shd w:val="clear" w:color="auto" w:fill="auto"/>
                  <w:vAlign w:val="center"/>
                </w:tcPr>
                <w:p w14:paraId="71A48EDA">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包装规格</w:t>
                  </w:r>
                </w:p>
              </w:tc>
              <w:tc>
                <w:tcPr>
                  <w:tcW w:w="646" w:type="dxa"/>
                  <w:vMerge w:val="restart"/>
                  <w:tcBorders>
                    <w:top w:val="single" w:color="auto" w:sz="4" w:space="0"/>
                    <w:left w:val="single" w:color="auto" w:sz="4" w:space="0"/>
                    <w:right w:val="single" w:color="auto" w:sz="4" w:space="0"/>
                  </w:tcBorders>
                  <w:shd w:val="clear" w:color="auto" w:fill="auto"/>
                  <w:vAlign w:val="center"/>
                </w:tcPr>
                <w:p w14:paraId="4CD537B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贮存场所</w:t>
                  </w:r>
                </w:p>
              </w:tc>
              <w:tc>
                <w:tcPr>
                  <w:tcW w:w="812" w:type="dxa"/>
                  <w:vMerge w:val="restart"/>
                  <w:tcBorders>
                    <w:top w:val="single" w:color="auto" w:sz="4" w:space="0"/>
                    <w:left w:val="single" w:color="auto" w:sz="4" w:space="0"/>
                    <w:right w:val="single" w:color="auto" w:sz="4" w:space="0"/>
                  </w:tcBorders>
                  <w:shd w:val="clear" w:color="auto" w:fill="auto"/>
                  <w:vAlign w:val="center"/>
                </w:tcPr>
                <w:p w14:paraId="2ACDFF3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厂区最大储存量（</w:t>
                  </w:r>
                  <w:r>
                    <w:rPr>
                      <w:color w:val="auto"/>
                      <w:kern w:val="0"/>
                      <w:sz w:val="18"/>
                      <w:szCs w:val="18"/>
                      <w:lang w:bidi="ar"/>
                    </w:rPr>
                    <w:t>t</w:t>
                  </w:r>
                  <w:r>
                    <w:rPr>
                      <w:rFonts w:hint="eastAsia" w:cs="宋体"/>
                      <w:color w:val="auto"/>
                      <w:kern w:val="0"/>
                      <w:sz w:val="18"/>
                      <w:szCs w:val="18"/>
                      <w:lang w:bidi="ar"/>
                    </w:rPr>
                    <w:t>）</w:t>
                  </w:r>
                </w:p>
              </w:tc>
            </w:tr>
            <w:tr w14:paraId="68B8ABAB">
              <w:tblPrEx>
                <w:tblCellMar>
                  <w:top w:w="0" w:type="dxa"/>
                  <w:left w:w="108" w:type="dxa"/>
                  <w:bottom w:w="0" w:type="dxa"/>
                  <w:right w:w="108" w:type="dxa"/>
                </w:tblCellMar>
              </w:tblPrEx>
              <w:trPr>
                <w:trHeight w:val="454" w:hRule="atLeast"/>
              </w:trPr>
              <w:tc>
                <w:tcPr>
                  <w:tcW w:w="444" w:type="dxa"/>
                  <w:vMerge w:val="continue"/>
                  <w:tcBorders>
                    <w:left w:val="single" w:color="000000" w:sz="4" w:space="0"/>
                    <w:bottom w:val="single" w:color="auto" w:sz="4" w:space="0"/>
                    <w:right w:val="single" w:color="auto" w:sz="4" w:space="0"/>
                  </w:tcBorders>
                  <w:shd w:val="clear" w:color="auto" w:fill="auto"/>
                  <w:vAlign w:val="center"/>
                </w:tcPr>
                <w:p w14:paraId="4FD19D96">
                  <w:pPr>
                    <w:widowControl/>
                    <w:spacing w:line="240" w:lineRule="auto"/>
                    <w:jc w:val="center"/>
                    <w:textAlignment w:val="center"/>
                    <w:rPr>
                      <w:color w:val="auto"/>
                    </w:rPr>
                  </w:pPr>
                </w:p>
              </w:tc>
              <w:tc>
                <w:tcPr>
                  <w:tcW w:w="680" w:type="dxa"/>
                  <w:vMerge w:val="continue"/>
                  <w:tcBorders>
                    <w:left w:val="single" w:color="auto" w:sz="4" w:space="0"/>
                    <w:bottom w:val="single" w:color="auto" w:sz="4" w:space="0"/>
                    <w:right w:val="single" w:color="auto" w:sz="4" w:space="0"/>
                  </w:tcBorders>
                  <w:shd w:val="clear" w:color="auto" w:fill="auto"/>
                  <w:vAlign w:val="center"/>
                </w:tcPr>
                <w:p w14:paraId="0D7C836C">
                  <w:pPr>
                    <w:widowControl/>
                    <w:spacing w:line="240" w:lineRule="auto"/>
                    <w:jc w:val="center"/>
                    <w:textAlignment w:val="center"/>
                    <w:rPr>
                      <w:color w:val="auto"/>
                    </w:rPr>
                  </w:pPr>
                </w:p>
              </w:tc>
              <w:tc>
                <w:tcPr>
                  <w:tcW w:w="866" w:type="dxa"/>
                  <w:vMerge w:val="continue"/>
                  <w:tcBorders>
                    <w:left w:val="single" w:color="auto" w:sz="4" w:space="0"/>
                    <w:bottom w:val="single" w:color="auto" w:sz="4" w:space="0"/>
                    <w:right w:val="single" w:color="auto" w:sz="4" w:space="0"/>
                  </w:tcBorders>
                  <w:shd w:val="clear" w:color="auto" w:fill="auto"/>
                  <w:vAlign w:val="center"/>
                </w:tcPr>
                <w:p w14:paraId="1CF47DA5">
                  <w:pPr>
                    <w:widowControl/>
                    <w:spacing w:line="240" w:lineRule="auto"/>
                    <w:jc w:val="center"/>
                    <w:textAlignment w:val="center"/>
                    <w:rPr>
                      <w:color w:val="auto"/>
                    </w:rPr>
                  </w:pP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48420EDE">
                  <w:pPr>
                    <w:widowControl/>
                    <w:spacing w:line="240" w:lineRule="auto"/>
                    <w:jc w:val="center"/>
                    <w:textAlignment w:val="center"/>
                    <w:rPr>
                      <w:rFonts w:hint="eastAsia" w:cs="宋体"/>
                      <w:color w:val="auto"/>
                      <w:sz w:val="18"/>
                      <w:szCs w:val="18"/>
                      <w:lang w:val="en-US" w:eastAsia="zh-CN"/>
                    </w:rPr>
                  </w:pPr>
                  <w:r>
                    <w:rPr>
                      <w:rFonts w:hint="eastAsia" w:cs="宋体"/>
                      <w:color w:val="auto"/>
                      <w:sz w:val="18"/>
                      <w:szCs w:val="18"/>
                      <w:lang w:val="en-US" w:eastAsia="zh-CN"/>
                    </w:rPr>
                    <w:t>技改前</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7E2C1CE1">
                  <w:pPr>
                    <w:widowControl/>
                    <w:spacing w:line="240" w:lineRule="auto"/>
                    <w:jc w:val="center"/>
                    <w:textAlignment w:val="center"/>
                    <w:rPr>
                      <w:rFonts w:hint="eastAsia" w:cs="宋体"/>
                      <w:color w:val="auto"/>
                      <w:sz w:val="18"/>
                      <w:szCs w:val="18"/>
                      <w:lang w:val="en-US" w:eastAsia="zh-CN"/>
                    </w:rPr>
                  </w:pPr>
                  <w:r>
                    <w:rPr>
                      <w:rFonts w:hint="eastAsia" w:cs="宋体"/>
                      <w:color w:val="auto"/>
                      <w:sz w:val="18"/>
                      <w:szCs w:val="18"/>
                      <w:lang w:val="en-US" w:eastAsia="zh-CN"/>
                    </w:rPr>
                    <w:t>本项目</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5DB44CAE">
                  <w:pPr>
                    <w:widowControl/>
                    <w:spacing w:line="240" w:lineRule="auto"/>
                    <w:jc w:val="center"/>
                    <w:textAlignment w:val="center"/>
                    <w:rPr>
                      <w:rFonts w:hint="eastAsia" w:cs="宋体"/>
                      <w:color w:val="auto"/>
                      <w:sz w:val="18"/>
                      <w:szCs w:val="18"/>
                      <w:lang w:val="en-US" w:eastAsia="zh-CN"/>
                    </w:rPr>
                  </w:pPr>
                  <w:r>
                    <w:rPr>
                      <w:rFonts w:hint="eastAsia" w:cs="宋体"/>
                      <w:color w:val="auto"/>
                      <w:sz w:val="18"/>
                      <w:szCs w:val="18"/>
                      <w:lang w:val="en-US" w:eastAsia="zh-CN"/>
                    </w:rPr>
                    <w:t>技改后全厂</w:t>
                  </w:r>
                </w:p>
              </w:tc>
              <w:tc>
                <w:tcPr>
                  <w:tcW w:w="635" w:type="dxa"/>
                  <w:vMerge w:val="continue"/>
                  <w:tcBorders>
                    <w:left w:val="single" w:color="auto" w:sz="4" w:space="0"/>
                    <w:bottom w:val="single" w:color="auto" w:sz="4" w:space="0"/>
                    <w:right w:val="single" w:color="auto" w:sz="4" w:space="0"/>
                  </w:tcBorders>
                  <w:shd w:val="clear" w:color="auto" w:fill="auto"/>
                  <w:vAlign w:val="center"/>
                </w:tcPr>
                <w:p w14:paraId="63CB0094">
                  <w:pPr>
                    <w:widowControl/>
                    <w:spacing w:line="240" w:lineRule="auto"/>
                    <w:jc w:val="center"/>
                    <w:textAlignment w:val="center"/>
                    <w:rPr>
                      <w:rFonts w:hint="eastAsia" w:cs="宋体"/>
                      <w:color w:val="auto"/>
                      <w:sz w:val="18"/>
                      <w:szCs w:val="18"/>
                      <w:lang w:val="en-US" w:eastAsia="zh-CN"/>
                    </w:rPr>
                  </w:pPr>
                </w:p>
              </w:tc>
              <w:tc>
                <w:tcPr>
                  <w:tcW w:w="658" w:type="dxa"/>
                  <w:vMerge w:val="continue"/>
                  <w:tcBorders>
                    <w:left w:val="single" w:color="auto" w:sz="4" w:space="0"/>
                    <w:bottom w:val="single" w:color="auto" w:sz="4" w:space="0"/>
                    <w:right w:val="single" w:color="auto" w:sz="4" w:space="0"/>
                  </w:tcBorders>
                  <w:shd w:val="clear" w:color="auto" w:fill="auto"/>
                  <w:vAlign w:val="center"/>
                </w:tcPr>
                <w:p w14:paraId="3995C4AB">
                  <w:pPr>
                    <w:widowControl/>
                    <w:spacing w:line="240" w:lineRule="auto"/>
                    <w:jc w:val="center"/>
                    <w:textAlignment w:val="center"/>
                    <w:rPr>
                      <w:rFonts w:hint="eastAsia" w:cs="宋体"/>
                      <w:color w:val="auto"/>
                      <w:sz w:val="18"/>
                      <w:szCs w:val="18"/>
                      <w:lang w:val="en-US" w:eastAsia="zh-CN"/>
                    </w:rPr>
                  </w:pPr>
                </w:p>
              </w:tc>
              <w:tc>
                <w:tcPr>
                  <w:tcW w:w="1050" w:type="dxa"/>
                  <w:vMerge w:val="continue"/>
                  <w:tcBorders>
                    <w:left w:val="single" w:color="auto" w:sz="4" w:space="0"/>
                    <w:bottom w:val="single" w:color="auto" w:sz="4" w:space="0"/>
                    <w:right w:val="single" w:color="auto" w:sz="4" w:space="0"/>
                  </w:tcBorders>
                  <w:shd w:val="clear" w:color="auto" w:fill="auto"/>
                  <w:vAlign w:val="center"/>
                </w:tcPr>
                <w:p w14:paraId="54526546">
                  <w:pPr>
                    <w:widowControl/>
                    <w:spacing w:line="240" w:lineRule="auto"/>
                    <w:jc w:val="center"/>
                    <w:textAlignment w:val="center"/>
                    <w:rPr>
                      <w:rFonts w:hint="eastAsia" w:cs="宋体"/>
                      <w:color w:val="auto"/>
                      <w:sz w:val="18"/>
                      <w:szCs w:val="18"/>
                      <w:lang w:val="en-US" w:eastAsia="zh-CN"/>
                    </w:rPr>
                  </w:pPr>
                </w:p>
              </w:tc>
              <w:tc>
                <w:tcPr>
                  <w:tcW w:w="646" w:type="dxa"/>
                  <w:vMerge w:val="continue"/>
                  <w:tcBorders>
                    <w:left w:val="single" w:color="auto" w:sz="4" w:space="0"/>
                    <w:bottom w:val="single" w:color="auto" w:sz="4" w:space="0"/>
                    <w:right w:val="single" w:color="auto" w:sz="4" w:space="0"/>
                  </w:tcBorders>
                  <w:shd w:val="clear" w:color="auto" w:fill="auto"/>
                  <w:vAlign w:val="center"/>
                </w:tcPr>
                <w:p w14:paraId="3EAD457A">
                  <w:pPr>
                    <w:widowControl/>
                    <w:spacing w:line="240" w:lineRule="auto"/>
                    <w:jc w:val="center"/>
                    <w:textAlignment w:val="center"/>
                    <w:rPr>
                      <w:rFonts w:hint="eastAsia" w:cs="宋体"/>
                      <w:color w:val="auto"/>
                      <w:sz w:val="18"/>
                      <w:szCs w:val="18"/>
                      <w:lang w:val="en-US" w:eastAsia="zh-CN"/>
                    </w:rPr>
                  </w:pPr>
                </w:p>
              </w:tc>
              <w:tc>
                <w:tcPr>
                  <w:tcW w:w="812" w:type="dxa"/>
                  <w:vMerge w:val="continue"/>
                  <w:tcBorders>
                    <w:left w:val="single" w:color="auto" w:sz="4" w:space="0"/>
                    <w:bottom w:val="single" w:color="auto" w:sz="4" w:space="0"/>
                    <w:right w:val="single" w:color="auto" w:sz="4" w:space="0"/>
                  </w:tcBorders>
                  <w:shd w:val="clear" w:color="auto" w:fill="auto"/>
                  <w:vAlign w:val="center"/>
                </w:tcPr>
                <w:p w14:paraId="1C88E288">
                  <w:pPr>
                    <w:widowControl/>
                    <w:spacing w:line="240" w:lineRule="auto"/>
                    <w:jc w:val="center"/>
                    <w:textAlignment w:val="center"/>
                    <w:rPr>
                      <w:rFonts w:hint="eastAsia" w:cs="宋体"/>
                      <w:color w:val="auto"/>
                      <w:sz w:val="18"/>
                      <w:szCs w:val="18"/>
                      <w:lang w:val="en-US" w:eastAsia="zh-CN"/>
                    </w:rPr>
                  </w:pPr>
                </w:p>
              </w:tc>
            </w:tr>
            <w:tr w14:paraId="6F00E1F8">
              <w:tblPrEx>
                <w:tblCellMar>
                  <w:top w:w="0" w:type="dxa"/>
                  <w:left w:w="108" w:type="dxa"/>
                  <w:bottom w:w="0" w:type="dxa"/>
                  <w:right w:w="108" w:type="dxa"/>
                </w:tblCellMar>
              </w:tblPrEx>
              <w:trPr>
                <w:trHeight w:val="337"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42452276">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1</w:t>
                  </w:r>
                </w:p>
              </w:tc>
              <w:tc>
                <w:tcPr>
                  <w:tcW w:w="680" w:type="dxa"/>
                  <w:vMerge w:val="restart"/>
                  <w:tcBorders>
                    <w:top w:val="single" w:color="auto" w:sz="4" w:space="0"/>
                    <w:left w:val="single" w:color="auto" w:sz="4" w:space="0"/>
                    <w:right w:val="single" w:color="auto" w:sz="4" w:space="0"/>
                  </w:tcBorders>
                  <w:shd w:val="clear" w:color="auto" w:fill="auto"/>
                  <w:vAlign w:val="center"/>
                </w:tcPr>
                <w:p w14:paraId="28062E36">
                  <w:pPr>
                    <w:widowControl/>
                    <w:spacing w:line="240" w:lineRule="auto"/>
                    <w:jc w:val="center"/>
                    <w:textAlignment w:val="center"/>
                    <w:rPr>
                      <w:color w:val="auto"/>
                    </w:rPr>
                  </w:pPr>
                  <w:r>
                    <w:rPr>
                      <w:rFonts w:hint="eastAsia" w:cs="宋体"/>
                      <w:color w:val="auto"/>
                      <w:sz w:val="18"/>
                      <w:lang w:val="en-US" w:eastAsia="zh-CN"/>
                    </w:rPr>
                    <w:t>高端工业铝材浇铸件</w:t>
                  </w: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40253B36">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铝料</w:t>
                  </w:r>
                  <w:r>
                    <w:rPr>
                      <w:rFonts w:hint="eastAsia" w:cs="宋体"/>
                      <w:color w:val="auto"/>
                      <w:kern w:val="0"/>
                      <w:sz w:val="18"/>
                      <w:szCs w:val="18"/>
                      <w:lang w:val="en-US" w:eastAsia="zh-CN" w:bidi="ar"/>
                    </w:rPr>
                    <w:t>头</w:t>
                  </w: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4B6716EE">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12000</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608BB99E">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使用8000</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3B983636">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4000</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464CB9C2">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固态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0BE583D4">
                  <w:pPr>
                    <w:widowControl/>
                    <w:spacing w:line="240" w:lineRule="auto"/>
                    <w:jc w:val="center"/>
                    <w:textAlignment w:val="center"/>
                    <w:rPr>
                      <w:rFonts w:hint="eastAsia" w:ascii="Times New Roman" w:hAnsi="Times New Roman" w:eastAsia="宋体" w:cs="宋体"/>
                      <w:color w:val="auto"/>
                      <w:kern w:val="2"/>
                      <w:sz w:val="18"/>
                      <w:szCs w:val="21"/>
                      <w:lang w:val="en-US" w:eastAsia="zh-CN" w:bidi="ar-SA"/>
                    </w:rPr>
                  </w:pPr>
                  <w:r>
                    <w:rPr>
                      <w:rFonts w:hint="eastAsia" w:cs="宋体"/>
                      <w:color w:val="auto"/>
                      <w:kern w:val="0"/>
                      <w:sz w:val="18"/>
                      <w:lang w:val="en-US" w:eastAsia="zh-CN" w:bidi="ar"/>
                    </w:rPr>
                    <w:t>/</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5AD18DF7">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25</w:t>
                  </w:r>
                  <w:r>
                    <w:rPr>
                      <w:color w:val="auto"/>
                      <w:kern w:val="0"/>
                      <w:sz w:val="18"/>
                      <w:szCs w:val="18"/>
                      <w:lang w:bidi="ar"/>
                    </w:rPr>
                    <w:t>kg/</w:t>
                  </w:r>
                  <w:r>
                    <w:rPr>
                      <w:rFonts w:hint="eastAsia" w:cs="宋体"/>
                      <w:color w:val="auto"/>
                      <w:kern w:val="0"/>
                      <w:sz w:val="18"/>
                      <w:szCs w:val="18"/>
                      <w:lang w:bidi="ar"/>
                    </w:rPr>
                    <w:t>袋</w:t>
                  </w:r>
                </w:p>
              </w:tc>
              <w:tc>
                <w:tcPr>
                  <w:tcW w:w="646" w:type="dxa"/>
                  <w:vMerge w:val="restart"/>
                  <w:tcBorders>
                    <w:top w:val="single" w:color="auto" w:sz="4" w:space="0"/>
                    <w:left w:val="single" w:color="auto" w:sz="4" w:space="0"/>
                    <w:right w:val="single" w:color="auto" w:sz="4" w:space="0"/>
                  </w:tcBorders>
                  <w:shd w:val="clear" w:color="auto" w:fill="auto"/>
                  <w:vAlign w:val="center"/>
                </w:tcPr>
                <w:p w14:paraId="433386E3">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原料仓库</w:t>
                  </w: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7E57E2A2">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2000</w:t>
                  </w:r>
                </w:p>
              </w:tc>
            </w:tr>
            <w:tr w14:paraId="6ADBBF2A">
              <w:tblPrEx>
                <w:tblCellMar>
                  <w:top w:w="0" w:type="dxa"/>
                  <w:left w:w="108" w:type="dxa"/>
                  <w:bottom w:w="0" w:type="dxa"/>
                  <w:right w:w="108" w:type="dxa"/>
                </w:tblCellMar>
              </w:tblPrEx>
              <w:trPr>
                <w:trHeight w:val="337"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1780443C">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2</w:t>
                  </w:r>
                </w:p>
              </w:tc>
              <w:tc>
                <w:tcPr>
                  <w:tcW w:w="680" w:type="dxa"/>
                  <w:vMerge w:val="continue"/>
                  <w:tcBorders>
                    <w:left w:val="single" w:color="auto" w:sz="4" w:space="0"/>
                    <w:right w:val="single" w:color="auto" w:sz="4" w:space="0"/>
                  </w:tcBorders>
                  <w:shd w:val="clear" w:color="auto" w:fill="auto"/>
                  <w:vAlign w:val="center"/>
                </w:tcPr>
                <w:p w14:paraId="36748ECC">
                  <w:pPr>
                    <w:widowControl/>
                    <w:spacing w:line="240" w:lineRule="auto"/>
                    <w:jc w:val="center"/>
                    <w:textAlignment w:val="center"/>
                    <w:rPr>
                      <w:rFonts w:hint="eastAsia" w:cs="宋体"/>
                      <w:color w:val="auto"/>
                      <w:sz w:val="18"/>
                      <w:lang w:val="en-US" w:eastAsia="zh-CN"/>
                    </w:rPr>
                  </w:pP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3144728D">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铝锭</w:t>
                  </w: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5739B917">
                  <w:pPr>
                    <w:widowControl/>
                    <w:spacing w:line="240" w:lineRule="auto"/>
                    <w:jc w:val="center"/>
                    <w:textAlignment w:val="center"/>
                    <w:rPr>
                      <w:rFonts w:hint="default" w:cs="Times New Roman"/>
                      <w:color w:val="auto"/>
                      <w:kern w:val="0"/>
                      <w:sz w:val="18"/>
                      <w:szCs w:val="18"/>
                      <w:lang w:val="en-US" w:eastAsia="zh-CN" w:bidi="ar"/>
                    </w:rPr>
                  </w:pPr>
                  <w:r>
                    <w:rPr>
                      <w:rFonts w:hint="eastAsia" w:cs="Times New Roman"/>
                      <w:color w:val="auto"/>
                      <w:kern w:val="0"/>
                      <w:sz w:val="18"/>
                      <w:szCs w:val="18"/>
                      <w:lang w:val="en-US" w:eastAsia="zh-CN" w:bidi="ar"/>
                    </w:rPr>
                    <w:t>0</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33377CEA">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+385</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1D68107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385</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29E807BF">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固态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4BFC72DA">
                  <w:pPr>
                    <w:widowControl/>
                    <w:spacing w:line="240" w:lineRule="auto"/>
                    <w:jc w:val="center"/>
                    <w:textAlignment w:val="center"/>
                    <w:rPr>
                      <w:rFonts w:hint="default" w:cs="宋体"/>
                      <w:color w:val="auto"/>
                      <w:kern w:val="0"/>
                      <w:sz w:val="18"/>
                      <w:lang w:val="en-US" w:eastAsia="zh-CN" w:bidi="ar"/>
                    </w:rPr>
                  </w:pPr>
                  <w:r>
                    <w:rPr>
                      <w:rFonts w:hint="eastAsia" w:cs="宋体"/>
                      <w:color w:val="auto"/>
                      <w:kern w:val="0"/>
                      <w:sz w:val="18"/>
                      <w:lang w:val="en-US" w:eastAsia="zh-CN" w:bidi="ar"/>
                    </w:rPr>
                    <w:t>箱装</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3E7C0D8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646" w:type="dxa"/>
                  <w:vMerge w:val="continue"/>
                  <w:tcBorders>
                    <w:left w:val="single" w:color="auto" w:sz="4" w:space="0"/>
                    <w:right w:val="single" w:color="auto" w:sz="4" w:space="0"/>
                  </w:tcBorders>
                  <w:shd w:val="clear" w:color="auto" w:fill="auto"/>
                  <w:vAlign w:val="center"/>
                </w:tcPr>
                <w:p w14:paraId="6A8E5A52">
                  <w:pPr>
                    <w:widowControl/>
                    <w:spacing w:line="240" w:lineRule="auto"/>
                    <w:jc w:val="center"/>
                    <w:textAlignment w:val="center"/>
                    <w:rPr>
                      <w:rFonts w:hint="eastAsia" w:cs="宋体"/>
                      <w:color w:val="auto"/>
                      <w:kern w:val="0"/>
                      <w:sz w:val="18"/>
                      <w:szCs w:val="18"/>
                      <w:lang w:val="en-US" w:eastAsia="zh-CN" w:bidi="ar"/>
                    </w:rPr>
                  </w:pP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295A615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15</w:t>
                  </w:r>
                </w:p>
              </w:tc>
            </w:tr>
            <w:tr w14:paraId="136ED74C">
              <w:tblPrEx>
                <w:tblCellMar>
                  <w:top w:w="0" w:type="dxa"/>
                  <w:left w:w="108" w:type="dxa"/>
                  <w:bottom w:w="0" w:type="dxa"/>
                  <w:right w:w="108" w:type="dxa"/>
                </w:tblCellMar>
              </w:tblPrEx>
              <w:trPr>
                <w:trHeight w:val="391"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35624F0F">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3</w:t>
                  </w:r>
                </w:p>
              </w:tc>
              <w:tc>
                <w:tcPr>
                  <w:tcW w:w="680" w:type="dxa"/>
                  <w:vMerge w:val="continue"/>
                  <w:tcBorders>
                    <w:left w:val="single" w:color="auto" w:sz="4" w:space="0"/>
                    <w:right w:val="single" w:color="auto" w:sz="4" w:space="0"/>
                  </w:tcBorders>
                  <w:shd w:val="clear" w:color="auto" w:fill="auto"/>
                  <w:vAlign w:val="center"/>
                </w:tcPr>
                <w:p w14:paraId="024AC562">
                  <w:pPr>
                    <w:widowControl/>
                    <w:spacing w:line="240" w:lineRule="auto"/>
                    <w:jc w:val="center"/>
                    <w:textAlignment w:val="center"/>
                    <w:rPr>
                      <w:color w:val="auto"/>
                    </w:rPr>
                  </w:pP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59E919F4">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除渣剂</w:t>
                  </w: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2974DE3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0</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08BDD4AA">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+0.2</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42C12EE2">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0.2</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6E382F9A">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固态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70810822">
                  <w:pPr>
                    <w:widowControl/>
                    <w:spacing w:line="240" w:lineRule="auto"/>
                    <w:jc w:val="center"/>
                    <w:textAlignment w:val="center"/>
                    <w:rPr>
                      <w:rFonts w:ascii="Times New Roman" w:hAnsi="Times New Roman" w:eastAsia="宋体" w:cs="宋体"/>
                      <w:color w:val="auto"/>
                      <w:kern w:val="2"/>
                      <w:sz w:val="18"/>
                      <w:szCs w:val="21"/>
                      <w:lang w:val="en-US" w:eastAsia="zh-CN" w:bidi="ar-SA"/>
                    </w:rPr>
                  </w:pPr>
                  <w:r>
                    <w:rPr>
                      <w:rFonts w:hint="eastAsia" w:cs="宋体"/>
                      <w:color w:val="auto"/>
                      <w:kern w:val="0"/>
                      <w:sz w:val="18"/>
                      <w:szCs w:val="18"/>
                      <w:lang w:val="en-US" w:eastAsia="zh-CN" w:bidi="ar"/>
                    </w:rPr>
                    <w:t>袋</w:t>
                  </w:r>
                  <w:r>
                    <w:rPr>
                      <w:rFonts w:hint="eastAsia" w:cs="宋体"/>
                      <w:color w:val="auto"/>
                      <w:kern w:val="0"/>
                      <w:sz w:val="18"/>
                      <w:szCs w:val="18"/>
                      <w:lang w:bidi="ar"/>
                    </w:rPr>
                    <w:t>装</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00D9D8AC">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25kg/</w:t>
                  </w:r>
                  <w:r>
                    <w:rPr>
                      <w:rFonts w:hint="eastAsia" w:cs="宋体"/>
                      <w:color w:val="auto"/>
                      <w:kern w:val="0"/>
                      <w:sz w:val="18"/>
                      <w:szCs w:val="18"/>
                      <w:lang w:val="en-US" w:eastAsia="zh-CN" w:bidi="ar"/>
                    </w:rPr>
                    <w:t>袋</w:t>
                  </w:r>
                </w:p>
              </w:tc>
              <w:tc>
                <w:tcPr>
                  <w:tcW w:w="646" w:type="dxa"/>
                  <w:vMerge w:val="continue"/>
                  <w:tcBorders>
                    <w:left w:val="single" w:color="auto" w:sz="4" w:space="0"/>
                    <w:right w:val="single" w:color="auto" w:sz="4" w:space="0"/>
                  </w:tcBorders>
                  <w:shd w:val="clear" w:color="auto" w:fill="auto"/>
                  <w:vAlign w:val="center"/>
                </w:tcPr>
                <w:p w14:paraId="4417FBA0">
                  <w:pPr>
                    <w:widowControl/>
                    <w:spacing w:line="240" w:lineRule="auto"/>
                    <w:jc w:val="center"/>
                    <w:textAlignment w:val="center"/>
                    <w:rPr>
                      <w:rFonts w:cs="宋体"/>
                      <w:color w:val="auto"/>
                      <w:kern w:val="0"/>
                      <w:sz w:val="18"/>
                      <w:szCs w:val="18"/>
                      <w:lang w:bidi="ar"/>
                    </w:rPr>
                  </w:pP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037A4789">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0.1</w:t>
                  </w:r>
                </w:p>
              </w:tc>
            </w:tr>
            <w:tr w14:paraId="3D6B3FC4">
              <w:tblPrEx>
                <w:tblCellMar>
                  <w:top w:w="0" w:type="dxa"/>
                  <w:left w:w="108" w:type="dxa"/>
                  <w:bottom w:w="0" w:type="dxa"/>
                  <w:right w:w="108" w:type="dxa"/>
                </w:tblCellMar>
              </w:tblPrEx>
              <w:trPr>
                <w:trHeight w:val="379"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01AEC7CA">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4</w:t>
                  </w:r>
                </w:p>
              </w:tc>
              <w:tc>
                <w:tcPr>
                  <w:tcW w:w="680" w:type="dxa"/>
                  <w:vMerge w:val="continue"/>
                  <w:tcBorders>
                    <w:left w:val="single" w:color="auto" w:sz="4" w:space="0"/>
                    <w:right w:val="single" w:color="auto" w:sz="4" w:space="0"/>
                  </w:tcBorders>
                  <w:shd w:val="clear" w:color="auto" w:fill="auto"/>
                  <w:vAlign w:val="center"/>
                </w:tcPr>
                <w:p w14:paraId="7282C62C">
                  <w:pPr>
                    <w:widowControl/>
                    <w:spacing w:line="240" w:lineRule="auto"/>
                    <w:jc w:val="center"/>
                    <w:textAlignment w:val="center"/>
                    <w:rPr>
                      <w:color w:val="auto"/>
                    </w:rPr>
                  </w:pP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67ACFAD5">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氩气</w:t>
                  </w: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6C1AB8C0">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0</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43DB6467">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+0.6</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13420305">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0.6</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1692D7DE">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val="en-US" w:eastAsia="zh-CN" w:bidi="ar"/>
                    </w:rPr>
                    <w:t>气态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754DA775">
                  <w:pPr>
                    <w:widowControl/>
                    <w:spacing w:line="240" w:lineRule="auto"/>
                    <w:jc w:val="center"/>
                    <w:textAlignment w:val="center"/>
                    <w:rPr>
                      <w:rFonts w:ascii="Times New Roman" w:hAnsi="Times New Roman" w:eastAsia="宋体" w:cs="宋体"/>
                      <w:color w:val="auto"/>
                      <w:kern w:val="2"/>
                      <w:sz w:val="18"/>
                      <w:szCs w:val="21"/>
                      <w:lang w:val="en-US" w:eastAsia="zh-CN" w:bidi="ar-SA"/>
                    </w:rPr>
                  </w:pPr>
                  <w:r>
                    <w:rPr>
                      <w:rFonts w:hint="eastAsia" w:cs="宋体"/>
                      <w:color w:val="auto"/>
                      <w:kern w:val="0"/>
                      <w:sz w:val="18"/>
                      <w:lang w:val="en-US" w:eastAsia="zh-CN" w:bidi="ar"/>
                    </w:rPr>
                    <w:t>瓶</w:t>
                  </w:r>
                  <w:r>
                    <w:rPr>
                      <w:rFonts w:hint="eastAsia" w:cs="宋体"/>
                      <w:color w:val="auto"/>
                      <w:kern w:val="0"/>
                      <w:sz w:val="18"/>
                      <w:lang w:bidi="ar"/>
                    </w:rPr>
                    <w:t>装</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32CA1CEF">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50</w:t>
                  </w:r>
                  <w:r>
                    <w:rPr>
                      <w:color w:val="auto"/>
                      <w:kern w:val="0"/>
                      <w:sz w:val="18"/>
                      <w:szCs w:val="18"/>
                      <w:lang w:bidi="ar"/>
                    </w:rPr>
                    <w:t>kg/</w:t>
                  </w:r>
                  <w:r>
                    <w:rPr>
                      <w:rFonts w:hint="eastAsia" w:cs="宋体"/>
                      <w:color w:val="auto"/>
                      <w:kern w:val="0"/>
                      <w:sz w:val="18"/>
                      <w:szCs w:val="18"/>
                      <w:lang w:val="en-US" w:eastAsia="zh-CN" w:bidi="ar"/>
                    </w:rPr>
                    <w:t>瓶</w:t>
                  </w:r>
                </w:p>
              </w:tc>
              <w:tc>
                <w:tcPr>
                  <w:tcW w:w="646" w:type="dxa"/>
                  <w:vMerge w:val="continue"/>
                  <w:tcBorders>
                    <w:left w:val="single" w:color="auto" w:sz="4" w:space="0"/>
                    <w:right w:val="single" w:color="auto" w:sz="4" w:space="0"/>
                  </w:tcBorders>
                  <w:shd w:val="clear" w:color="auto" w:fill="auto"/>
                  <w:vAlign w:val="center"/>
                </w:tcPr>
                <w:p w14:paraId="35FC21B2">
                  <w:pPr>
                    <w:widowControl/>
                    <w:spacing w:line="240" w:lineRule="auto"/>
                    <w:jc w:val="center"/>
                    <w:textAlignment w:val="center"/>
                    <w:rPr>
                      <w:rFonts w:cs="宋体"/>
                      <w:color w:val="auto"/>
                      <w:kern w:val="0"/>
                      <w:sz w:val="18"/>
                      <w:szCs w:val="18"/>
                      <w:lang w:bidi="ar"/>
                    </w:rPr>
                  </w:pP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364D1E22">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0.2</w:t>
                  </w:r>
                </w:p>
              </w:tc>
            </w:tr>
            <w:tr w14:paraId="288A42FA">
              <w:tblPrEx>
                <w:tblCellMar>
                  <w:top w:w="0" w:type="dxa"/>
                  <w:left w:w="108" w:type="dxa"/>
                  <w:bottom w:w="0" w:type="dxa"/>
                  <w:right w:w="108" w:type="dxa"/>
                </w:tblCellMar>
              </w:tblPrEx>
              <w:trPr>
                <w:trHeight w:val="381"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5B14F6F6">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5</w:t>
                  </w:r>
                </w:p>
              </w:tc>
              <w:tc>
                <w:tcPr>
                  <w:tcW w:w="680" w:type="dxa"/>
                  <w:vMerge w:val="continue"/>
                  <w:tcBorders>
                    <w:left w:val="single" w:color="auto" w:sz="4" w:space="0"/>
                    <w:right w:val="single" w:color="auto" w:sz="4" w:space="0"/>
                  </w:tcBorders>
                  <w:shd w:val="clear" w:color="auto" w:fill="auto"/>
                  <w:vAlign w:val="center"/>
                </w:tcPr>
                <w:p w14:paraId="57F1B468">
                  <w:pPr>
                    <w:widowControl/>
                    <w:spacing w:line="240" w:lineRule="auto"/>
                    <w:jc w:val="center"/>
                    <w:textAlignment w:val="center"/>
                    <w:rPr>
                      <w:color w:val="auto"/>
                    </w:rPr>
                  </w:pP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6184DE43">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切削液</w:t>
                  </w: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1B63D8FA">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20</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39042049">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+2</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69E67559">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22</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0F7B7670">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液态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068EAABB">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桶装</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665CE98F">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olor w:val="auto"/>
                      <w:kern w:val="0"/>
                      <w:sz w:val="18"/>
                      <w:szCs w:val="18"/>
                      <w:lang w:val="en-US" w:eastAsia="zh-CN" w:bidi="ar"/>
                    </w:rPr>
                    <w:t>200L</w:t>
                  </w:r>
                  <w:r>
                    <w:rPr>
                      <w:color w:val="auto"/>
                      <w:kern w:val="0"/>
                      <w:sz w:val="18"/>
                      <w:szCs w:val="18"/>
                      <w:lang w:bidi="ar"/>
                    </w:rPr>
                    <w:t>/</w:t>
                  </w:r>
                  <w:r>
                    <w:rPr>
                      <w:rFonts w:hint="eastAsia" w:cs="宋体"/>
                      <w:color w:val="auto"/>
                      <w:kern w:val="0"/>
                      <w:sz w:val="18"/>
                      <w:szCs w:val="18"/>
                      <w:lang w:bidi="ar"/>
                    </w:rPr>
                    <w:t>桶</w:t>
                  </w:r>
                </w:p>
              </w:tc>
              <w:tc>
                <w:tcPr>
                  <w:tcW w:w="646" w:type="dxa"/>
                  <w:vMerge w:val="continue"/>
                  <w:tcBorders>
                    <w:left w:val="single" w:color="auto" w:sz="4" w:space="0"/>
                    <w:bottom w:val="single" w:color="auto" w:sz="4" w:space="0"/>
                    <w:right w:val="single" w:color="auto" w:sz="4" w:space="0"/>
                  </w:tcBorders>
                  <w:shd w:val="clear" w:color="auto" w:fill="auto"/>
                  <w:vAlign w:val="center"/>
                </w:tcPr>
                <w:p w14:paraId="00B8AAC4">
                  <w:pPr>
                    <w:widowControl/>
                    <w:spacing w:line="240" w:lineRule="auto"/>
                    <w:jc w:val="center"/>
                    <w:textAlignment w:val="center"/>
                    <w:rPr>
                      <w:rFonts w:cs="宋体"/>
                      <w:color w:val="auto"/>
                      <w:kern w:val="0"/>
                      <w:sz w:val="18"/>
                      <w:szCs w:val="18"/>
                      <w:lang w:bidi="ar"/>
                    </w:rPr>
                  </w:pP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7DC72C9C">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5</w:t>
                  </w:r>
                </w:p>
              </w:tc>
            </w:tr>
            <w:tr w14:paraId="16514AAB">
              <w:tblPrEx>
                <w:tblCellMar>
                  <w:top w:w="0" w:type="dxa"/>
                  <w:left w:w="108" w:type="dxa"/>
                  <w:bottom w:w="0" w:type="dxa"/>
                  <w:right w:w="108" w:type="dxa"/>
                </w:tblCellMar>
              </w:tblPrEx>
              <w:trPr>
                <w:trHeight w:val="348"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7F212DF6">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6</w:t>
                  </w:r>
                </w:p>
              </w:tc>
              <w:tc>
                <w:tcPr>
                  <w:tcW w:w="680" w:type="dxa"/>
                  <w:vMerge w:val="continue"/>
                  <w:tcBorders>
                    <w:left w:val="single" w:color="auto" w:sz="4" w:space="0"/>
                    <w:bottom w:val="single" w:color="auto" w:sz="4" w:space="0"/>
                    <w:right w:val="single" w:color="auto" w:sz="4" w:space="0"/>
                  </w:tcBorders>
                  <w:shd w:val="clear" w:color="auto" w:fill="auto"/>
                  <w:vAlign w:val="center"/>
                </w:tcPr>
                <w:p w14:paraId="5EEBE2E4">
                  <w:pPr>
                    <w:widowControl/>
                    <w:spacing w:line="240" w:lineRule="auto"/>
                    <w:jc w:val="center"/>
                    <w:textAlignment w:val="center"/>
                    <w:rPr>
                      <w:color w:val="auto"/>
                    </w:rPr>
                  </w:pP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3FBFB2D3">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天然气</w:t>
                  </w:r>
                </w:p>
              </w:tc>
              <w:tc>
                <w:tcPr>
                  <w:tcW w:w="1119" w:type="dxa"/>
                  <w:tcBorders>
                    <w:top w:val="single" w:color="auto" w:sz="4" w:space="0"/>
                    <w:left w:val="single" w:color="auto" w:sz="4" w:space="0"/>
                    <w:bottom w:val="single" w:color="auto" w:sz="4" w:space="0"/>
                    <w:right w:val="single" w:color="auto" w:sz="4" w:space="0"/>
                  </w:tcBorders>
                  <w:shd w:val="clear" w:color="auto" w:fill="auto"/>
                  <w:vAlign w:val="center"/>
                </w:tcPr>
                <w:p w14:paraId="26D09057">
                  <w:pPr>
                    <w:widowControl/>
                    <w:spacing w:line="240" w:lineRule="auto"/>
                    <w:jc w:val="center"/>
                    <w:textAlignment w:val="center"/>
                    <w:rPr>
                      <w:rFonts w:hint="default"/>
                      <w:color w:val="auto"/>
                      <w:kern w:val="0"/>
                      <w:sz w:val="18"/>
                      <w:szCs w:val="18"/>
                      <w:vertAlign w:val="baseline"/>
                      <w:lang w:val="en-US" w:eastAsia="zh-CN" w:bidi="ar"/>
                    </w:rPr>
                  </w:pPr>
                  <w:r>
                    <w:rPr>
                      <w:rFonts w:hint="eastAsia"/>
                      <w:color w:val="auto"/>
                      <w:kern w:val="0"/>
                      <w:sz w:val="18"/>
                      <w:szCs w:val="18"/>
                      <w:vertAlign w:val="baseline"/>
                      <w:lang w:val="en-US" w:eastAsia="zh-CN" w:bidi="ar"/>
                    </w:rPr>
                    <w:t>190万</w:t>
                  </w:r>
                  <w:r>
                    <w:rPr>
                      <w:rFonts w:hint="eastAsia"/>
                      <w:color w:val="auto"/>
                      <w:kern w:val="0"/>
                      <w:sz w:val="18"/>
                      <w:szCs w:val="18"/>
                      <w:lang w:val="en-US" w:eastAsia="zh-CN" w:bidi="ar"/>
                    </w:rPr>
                    <w:t>m</w:t>
                  </w:r>
                  <w:r>
                    <w:rPr>
                      <w:rFonts w:hint="eastAsia"/>
                      <w:color w:val="auto"/>
                      <w:kern w:val="0"/>
                      <w:sz w:val="18"/>
                      <w:szCs w:val="18"/>
                      <w:vertAlign w:val="superscript"/>
                      <w:lang w:val="en-US" w:eastAsia="zh-CN" w:bidi="ar"/>
                    </w:rPr>
                    <w:t>3</w:t>
                  </w:r>
                  <w:r>
                    <w:rPr>
                      <w:rFonts w:hint="eastAsia"/>
                      <w:color w:val="auto"/>
                      <w:kern w:val="0"/>
                      <w:sz w:val="18"/>
                      <w:szCs w:val="18"/>
                      <w:vertAlign w:val="baseline"/>
                      <w:lang w:val="en-US" w:eastAsia="zh-CN" w:bidi="ar"/>
                    </w:rPr>
                    <w:t>/a</w:t>
                  </w:r>
                </w:p>
              </w:tc>
              <w:tc>
                <w:tcPr>
                  <w:tcW w:w="1108" w:type="dxa"/>
                  <w:tcBorders>
                    <w:top w:val="single" w:color="auto" w:sz="4" w:space="0"/>
                    <w:left w:val="single" w:color="auto" w:sz="4" w:space="0"/>
                    <w:bottom w:val="single" w:color="auto" w:sz="4" w:space="0"/>
                    <w:right w:val="single" w:color="auto" w:sz="4" w:space="0"/>
                  </w:tcBorders>
                  <w:shd w:val="clear" w:color="auto" w:fill="auto"/>
                  <w:vAlign w:val="center"/>
                </w:tcPr>
                <w:p w14:paraId="53076BEC">
                  <w:pPr>
                    <w:widowControl/>
                    <w:spacing w:line="240" w:lineRule="auto"/>
                    <w:jc w:val="center"/>
                    <w:textAlignment w:val="center"/>
                    <w:rPr>
                      <w:rFonts w:hint="eastAsia" w:ascii="Times New Roman" w:hAnsi="Times New Roman" w:eastAsia="宋体" w:cs="Times New Roman"/>
                      <w:color w:val="auto"/>
                      <w:kern w:val="0"/>
                      <w:sz w:val="18"/>
                      <w:szCs w:val="18"/>
                      <w:vertAlign w:val="baseline"/>
                      <w:lang w:val="en-US" w:eastAsia="zh-CN" w:bidi="ar"/>
                    </w:rPr>
                  </w:pPr>
                  <w:r>
                    <w:rPr>
                      <w:rFonts w:hint="eastAsia"/>
                      <w:color w:val="auto"/>
                      <w:kern w:val="0"/>
                      <w:sz w:val="18"/>
                      <w:szCs w:val="18"/>
                      <w:lang w:val="en-US" w:eastAsia="zh-CN" w:bidi="ar"/>
                    </w:rPr>
                    <w:t>+39万m</w:t>
                  </w:r>
                  <w:r>
                    <w:rPr>
                      <w:rFonts w:hint="eastAsia"/>
                      <w:color w:val="auto"/>
                      <w:kern w:val="0"/>
                      <w:sz w:val="18"/>
                      <w:szCs w:val="18"/>
                      <w:vertAlign w:val="superscript"/>
                      <w:lang w:val="en-US" w:eastAsia="zh-CN" w:bidi="ar"/>
                    </w:rPr>
                    <w:t>3</w:t>
                  </w:r>
                  <w:r>
                    <w:rPr>
                      <w:rFonts w:hint="eastAsia"/>
                      <w:color w:val="auto"/>
                      <w:kern w:val="0"/>
                      <w:sz w:val="18"/>
                      <w:szCs w:val="18"/>
                      <w:vertAlign w:val="baseline"/>
                      <w:lang w:val="en-US" w:eastAsia="zh-CN" w:bidi="ar"/>
                    </w:rPr>
                    <w:t>/a</w:t>
                  </w:r>
                </w:p>
              </w:tc>
              <w:tc>
                <w:tcPr>
                  <w:tcW w:w="1061" w:type="dxa"/>
                  <w:tcBorders>
                    <w:top w:val="single" w:color="auto" w:sz="4" w:space="0"/>
                    <w:left w:val="single" w:color="auto" w:sz="4" w:space="0"/>
                    <w:bottom w:val="single" w:color="auto" w:sz="4" w:space="0"/>
                    <w:right w:val="single" w:color="auto" w:sz="4" w:space="0"/>
                  </w:tcBorders>
                  <w:shd w:val="clear" w:color="auto" w:fill="auto"/>
                  <w:vAlign w:val="center"/>
                </w:tcPr>
                <w:p w14:paraId="12BA28F7">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229m</w:t>
                  </w:r>
                  <w:r>
                    <w:rPr>
                      <w:rFonts w:hint="eastAsia"/>
                      <w:color w:val="auto"/>
                      <w:kern w:val="0"/>
                      <w:sz w:val="18"/>
                      <w:szCs w:val="18"/>
                      <w:vertAlign w:val="superscript"/>
                      <w:lang w:val="en-US" w:eastAsia="zh-CN" w:bidi="ar"/>
                    </w:rPr>
                    <w:t>3</w:t>
                  </w:r>
                  <w:r>
                    <w:rPr>
                      <w:rFonts w:hint="eastAsia"/>
                      <w:color w:val="auto"/>
                      <w:kern w:val="0"/>
                      <w:sz w:val="18"/>
                      <w:szCs w:val="18"/>
                      <w:vertAlign w:val="baseline"/>
                      <w:lang w:val="en-US" w:eastAsia="zh-CN" w:bidi="ar"/>
                    </w:rPr>
                    <w:t>/a</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0E2480F6">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气态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33E905B1">
                  <w:pPr>
                    <w:widowControl/>
                    <w:spacing w:line="240" w:lineRule="auto"/>
                    <w:jc w:val="center"/>
                    <w:textAlignment w:val="center"/>
                    <w:rPr>
                      <w:rFonts w:hint="eastAsia" w:cs="宋体"/>
                      <w:color w:val="auto"/>
                      <w:kern w:val="0"/>
                      <w:sz w:val="18"/>
                      <w:lang w:bidi="ar"/>
                    </w:rPr>
                  </w:pPr>
                  <w:r>
                    <w:rPr>
                      <w:rFonts w:hint="eastAsia" w:cs="宋体"/>
                      <w:color w:val="auto"/>
                      <w:kern w:val="0"/>
                      <w:sz w:val="18"/>
                      <w:szCs w:val="18"/>
                      <w:lang w:val="en-US" w:eastAsia="zh-CN" w:bidi="ar"/>
                    </w:rPr>
                    <w:t>管道</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681D4002">
                  <w:pPr>
                    <w:widowControl/>
                    <w:spacing w:line="240" w:lineRule="auto"/>
                    <w:jc w:val="center"/>
                    <w:textAlignment w:val="center"/>
                    <w:rPr>
                      <w:rFonts w:hint="eastAsia"/>
                      <w:color w:val="auto"/>
                      <w:kern w:val="0"/>
                      <w:sz w:val="18"/>
                      <w:szCs w:val="18"/>
                      <w:lang w:val="en-US" w:eastAsia="zh-CN" w:bidi="ar"/>
                    </w:rPr>
                  </w:pPr>
                  <w:r>
                    <w:rPr>
                      <w:rFonts w:hint="eastAsia" w:cs="宋体"/>
                      <w:color w:val="auto"/>
                      <w:kern w:val="0"/>
                      <w:sz w:val="18"/>
                      <w:szCs w:val="18"/>
                      <w:lang w:val="en-US" w:eastAsia="zh-CN" w:bidi="ar"/>
                    </w:rPr>
                    <w:t>/</w:t>
                  </w:r>
                </w:p>
              </w:tc>
              <w:tc>
                <w:tcPr>
                  <w:tcW w:w="646" w:type="dxa"/>
                  <w:tcBorders>
                    <w:top w:val="single" w:color="auto" w:sz="4" w:space="0"/>
                    <w:left w:val="single" w:color="auto" w:sz="4" w:space="0"/>
                    <w:bottom w:val="single" w:color="auto" w:sz="4" w:space="0"/>
                    <w:right w:val="single" w:color="auto" w:sz="4" w:space="0"/>
                  </w:tcBorders>
                  <w:shd w:val="clear" w:color="auto" w:fill="auto"/>
                  <w:vAlign w:val="center"/>
                </w:tcPr>
                <w:p w14:paraId="2451CE89">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管道</w:t>
                  </w: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6BE70B7E">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1.2</w:t>
                  </w:r>
                </w:p>
              </w:tc>
            </w:tr>
            <w:tr w14:paraId="422BB9E9">
              <w:tblPrEx>
                <w:tblCellMar>
                  <w:top w:w="0" w:type="dxa"/>
                  <w:left w:w="108" w:type="dxa"/>
                  <w:bottom w:w="0" w:type="dxa"/>
                  <w:right w:w="108" w:type="dxa"/>
                </w:tblCellMar>
              </w:tblPrEx>
              <w:trPr>
                <w:trHeight w:val="340" w:hRule="atLeast"/>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32203594">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7</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7E3C9A78">
                  <w:pPr>
                    <w:widowControl/>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设备保养</w:t>
                  </w:r>
                </w:p>
              </w:tc>
              <w:tc>
                <w:tcPr>
                  <w:tcW w:w="866" w:type="dxa"/>
                  <w:tcBorders>
                    <w:top w:val="single" w:color="auto" w:sz="4" w:space="0"/>
                    <w:left w:val="single" w:color="auto" w:sz="4" w:space="0"/>
                    <w:bottom w:val="single" w:color="auto" w:sz="4" w:space="0"/>
                    <w:right w:val="single" w:color="auto" w:sz="4" w:space="0"/>
                  </w:tcBorders>
                  <w:shd w:val="clear" w:color="auto" w:fill="auto"/>
                  <w:vAlign w:val="center"/>
                </w:tcPr>
                <w:p w14:paraId="06533101">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润滑油</w:t>
                  </w:r>
                </w:p>
              </w:tc>
              <w:tc>
                <w:tcPr>
                  <w:tcW w:w="11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83D7E1">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0.2</w:t>
                  </w:r>
                </w:p>
              </w:tc>
              <w:tc>
                <w:tcPr>
                  <w:tcW w:w="11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7FA9B6">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+0.05</w:t>
                  </w:r>
                </w:p>
              </w:tc>
              <w:tc>
                <w:tcPr>
                  <w:tcW w:w="10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EB28F">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0.25</w:t>
                  </w:r>
                </w:p>
              </w:tc>
              <w:tc>
                <w:tcPr>
                  <w:tcW w:w="635" w:type="dxa"/>
                  <w:tcBorders>
                    <w:top w:val="single" w:color="auto" w:sz="4" w:space="0"/>
                    <w:left w:val="single" w:color="auto" w:sz="4" w:space="0"/>
                    <w:bottom w:val="single" w:color="auto" w:sz="4" w:space="0"/>
                    <w:right w:val="single" w:color="auto" w:sz="4" w:space="0"/>
                  </w:tcBorders>
                  <w:shd w:val="clear" w:color="auto" w:fill="auto"/>
                  <w:vAlign w:val="center"/>
                </w:tcPr>
                <w:p w14:paraId="70422282">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液态</w:t>
                  </w: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46CAB4C7">
                  <w:pPr>
                    <w:widowControl/>
                    <w:spacing w:line="240" w:lineRule="auto"/>
                    <w:jc w:val="center"/>
                    <w:textAlignment w:val="center"/>
                    <w:rPr>
                      <w:rFonts w:hint="eastAsia" w:ascii="Times New Roman" w:hAnsi="Times New Roman" w:eastAsia="宋体" w:cs="宋体"/>
                      <w:color w:val="auto"/>
                      <w:kern w:val="0"/>
                      <w:sz w:val="18"/>
                      <w:szCs w:val="21"/>
                      <w:lang w:val="en-US" w:eastAsia="zh-CN" w:bidi="ar"/>
                    </w:rPr>
                  </w:pPr>
                  <w:r>
                    <w:rPr>
                      <w:rFonts w:hint="eastAsia" w:cs="宋体"/>
                      <w:color w:val="auto"/>
                      <w:kern w:val="0"/>
                      <w:sz w:val="18"/>
                      <w:szCs w:val="18"/>
                      <w:lang w:bidi="ar"/>
                    </w:rPr>
                    <w:t>桶装</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14:paraId="7EFB2AAE">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color w:val="auto"/>
                      <w:kern w:val="0"/>
                      <w:sz w:val="18"/>
                      <w:szCs w:val="18"/>
                      <w:lang w:bidi="ar"/>
                    </w:rPr>
                    <w:t>5kg/</w:t>
                  </w:r>
                  <w:r>
                    <w:rPr>
                      <w:rFonts w:hint="eastAsia" w:cs="宋体"/>
                      <w:color w:val="auto"/>
                      <w:kern w:val="0"/>
                      <w:sz w:val="18"/>
                      <w:szCs w:val="18"/>
                      <w:lang w:bidi="ar"/>
                    </w:rPr>
                    <w:t>桶</w:t>
                  </w:r>
                </w:p>
              </w:tc>
              <w:tc>
                <w:tcPr>
                  <w:tcW w:w="646" w:type="dxa"/>
                  <w:tcBorders>
                    <w:top w:val="single" w:color="auto" w:sz="4" w:space="0"/>
                    <w:left w:val="single" w:color="auto" w:sz="4" w:space="0"/>
                    <w:bottom w:val="single" w:color="auto" w:sz="4" w:space="0"/>
                    <w:right w:val="single" w:color="auto" w:sz="4" w:space="0"/>
                  </w:tcBorders>
                  <w:shd w:val="clear" w:color="auto" w:fill="auto"/>
                  <w:vAlign w:val="center"/>
                </w:tcPr>
                <w:p w14:paraId="7BF5F792">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kern w:val="0"/>
                      <w:sz w:val="18"/>
                      <w:szCs w:val="18"/>
                      <w:lang w:val="en-US" w:eastAsia="zh-CN" w:bidi="ar"/>
                    </w:rPr>
                    <w:t>原料仓库</w:t>
                  </w:r>
                </w:p>
              </w:tc>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2877BF31">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0.02</w:t>
                  </w:r>
                </w:p>
              </w:tc>
            </w:tr>
            <w:tr w14:paraId="3761CD9D">
              <w:tblPrEx>
                <w:tblCellMar>
                  <w:top w:w="0" w:type="dxa"/>
                  <w:left w:w="108" w:type="dxa"/>
                  <w:bottom w:w="0" w:type="dxa"/>
                  <w:right w:w="108" w:type="dxa"/>
                </w:tblCellMar>
              </w:tblPrEx>
              <w:trPr>
                <w:trHeight w:val="340" w:hRule="atLeast"/>
              </w:trPr>
              <w:tc>
                <w:tcPr>
                  <w:tcW w:w="9079"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14:paraId="6C074045">
                  <w:pPr>
                    <w:widowControl/>
                    <w:spacing w:line="240" w:lineRule="auto"/>
                    <w:jc w:val="left"/>
                    <w:textAlignment w:val="center"/>
                    <w:rPr>
                      <w:rFonts w:hint="default"/>
                      <w:color w:val="auto"/>
                      <w:kern w:val="0"/>
                      <w:sz w:val="18"/>
                      <w:szCs w:val="18"/>
                      <w:lang w:val="en-US" w:eastAsia="zh-CN" w:bidi="ar"/>
                    </w:rPr>
                  </w:pPr>
                  <w:r>
                    <w:rPr>
                      <w:rFonts w:hint="eastAsia"/>
                      <w:color w:val="auto"/>
                      <w:kern w:val="0"/>
                      <w:sz w:val="18"/>
                      <w:szCs w:val="18"/>
                      <w:lang w:val="en-US" w:eastAsia="zh-CN" w:bidi="ar"/>
                    </w:rPr>
                    <w:t>注：现有项目挤压生产线年产铝料头12000t/a，本项目使用8000t/a，剩余4000t/a外售。</w:t>
                  </w:r>
                </w:p>
              </w:tc>
            </w:tr>
          </w:tbl>
          <w:p w14:paraId="13C250AF">
            <w:pPr>
              <w:numPr>
                <w:ilvl w:val="0"/>
                <w:numId w:val="24"/>
              </w:numPr>
              <w:rPr>
                <w:b/>
                <w:color w:val="auto"/>
                <w:szCs w:val="24"/>
              </w:rPr>
            </w:pPr>
            <w:r>
              <w:rPr>
                <w:b/>
                <w:color w:val="auto"/>
                <w:szCs w:val="24"/>
              </w:rPr>
              <w:t>主要原辅</w:t>
            </w:r>
            <w:r>
              <w:rPr>
                <w:rFonts w:hint="eastAsia"/>
                <w:b/>
                <w:color w:val="auto"/>
                <w:szCs w:val="24"/>
              </w:rPr>
              <w:t>料理化性质</w:t>
            </w:r>
          </w:p>
          <w:p w14:paraId="70DCBD68">
            <w:pPr>
              <w:ind w:firstLine="480" w:firstLineChars="200"/>
              <w:rPr>
                <w:rFonts w:ascii="黑体" w:hAnsi="黑体" w:eastAsia="黑体"/>
                <w:color w:val="auto"/>
                <w:szCs w:val="24"/>
              </w:rPr>
            </w:pPr>
            <w:r>
              <w:rPr>
                <w:rFonts w:hint="eastAsia"/>
                <w:color w:val="auto"/>
              </w:rPr>
              <w:t>本项目及现有项目主要原辅材料详见下表：</w:t>
            </w:r>
          </w:p>
          <w:p w14:paraId="2F9E2D48">
            <w:pPr>
              <w:jc w:val="center"/>
              <w:rPr>
                <w:rFonts w:hint="eastAsia" w:ascii="黑体" w:hAnsi="黑体" w:eastAsia="黑体"/>
                <w:bCs/>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8</w:t>
            </w:r>
            <w:r>
              <w:rPr>
                <w:rFonts w:eastAsia="黑体"/>
                <w:color w:val="auto"/>
                <w:szCs w:val="24"/>
              </w:rPr>
              <w:t xml:space="preserve"> </w:t>
            </w:r>
            <w:r>
              <w:rPr>
                <w:rFonts w:ascii="黑体" w:hAnsi="黑体" w:eastAsia="黑体"/>
                <w:color w:val="auto"/>
                <w:szCs w:val="24"/>
              </w:rPr>
              <w:t xml:space="preserve"> </w:t>
            </w:r>
            <w:r>
              <w:rPr>
                <w:rFonts w:ascii="黑体" w:hAnsi="黑体" w:eastAsia="黑体"/>
                <w:bCs/>
                <w:color w:val="auto"/>
                <w:szCs w:val="24"/>
              </w:rPr>
              <w:t>主要原辅材料</w:t>
            </w:r>
            <w:r>
              <w:rPr>
                <w:rFonts w:hint="eastAsia" w:ascii="黑体" w:hAnsi="黑体" w:eastAsia="黑体"/>
                <w:bCs/>
                <w:color w:val="auto"/>
                <w:szCs w:val="24"/>
              </w:rPr>
              <w:t>理化性质</w:t>
            </w:r>
            <w:r>
              <w:rPr>
                <w:rFonts w:ascii="黑体" w:hAnsi="黑体" w:eastAsia="黑体"/>
                <w:bCs/>
                <w:color w:val="auto"/>
                <w:szCs w:val="24"/>
              </w:rPr>
              <w:t>一览表</w:t>
            </w:r>
          </w:p>
          <w:tbl>
            <w:tblPr>
              <w:tblStyle w:val="6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5277"/>
              <w:gridCol w:w="1221"/>
              <w:gridCol w:w="1555"/>
            </w:tblGrid>
            <w:tr w14:paraId="613A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vAlign w:val="center"/>
                </w:tcPr>
                <w:p w14:paraId="5AC3D2ED">
                  <w:pPr>
                    <w:spacing w:line="240" w:lineRule="auto"/>
                    <w:jc w:val="center"/>
                    <w:rPr>
                      <w:color w:val="auto"/>
                      <w:sz w:val="18"/>
                      <w:szCs w:val="18"/>
                    </w:rPr>
                  </w:pPr>
                  <w:r>
                    <w:rPr>
                      <w:color w:val="auto"/>
                      <w:sz w:val="18"/>
                      <w:szCs w:val="18"/>
                    </w:rPr>
                    <w:t>物料名称</w:t>
                  </w:r>
                </w:p>
              </w:tc>
              <w:tc>
                <w:tcPr>
                  <w:tcW w:w="2909" w:type="pct"/>
                  <w:vAlign w:val="center"/>
                </w:tcPr>
                <w:p w14:paraId="44B5BABC">
                  <w:pPr>
                    <w:spacing w:line="240" w:lineRule="auto"/>
                    <w:jc w:val="center"/>
                    <w:rPr>
                      <w:color w:val="auto"/>
                      <w:sz w:val="18"/>
                      <w:szCs w:val="18"/>
                    </w:rPr>
                  </w:pPr>
                  <w:r>
                    <w:rPr>
                      <w:rFonts w:hint="eastAsia"/>
                      <w:color w:val="auto"/>
                      <w:sz w:val="18"/>
                      <w:szCs w:val="18"/>
                    </w:rPr>
                    <w:t>成分及</w:t>
                  </w:r>
                  <w:r>
                    <w:rPr>
                      <w:color w:val="auto"/>
                      <w:sz w:val="18"/>
                      <w:szCs w:val="18"/>
                    </w:rPr>
                    <w:t>理化性质</w:t>
                  </w:r>
                </w:p>
              </w:tc>
              <w:tc>
                <w:tcPr>
                  <w:tcW w:w="673" w:type="pct"/>
                  <w:vAlign w:val="center"/>
                </w:tcPr>
                <w:p w14:paraId="4D0B9DCF">
                  <w:pPr>
                    <w:spacing w:line="240" w:lineRule="auto"/>
                    <w:jc w:val="center"/>
                    <w:rPr>
                      <w:color w:val="auto"/>
                      <w:sz w:val="18"/>
                      <w:szCs w:val="18"/>
                    </w:rPr>
                  </w:pPr>
                  <w:r>
                    <w:rPr>
                      <w:color w:val="auto"/>
                      <w:sz w:val="18"/>
                      <w:szCs w:val="18"/>
                    </w:rPr>
                    <w:t>燃烧爆炸性</w:t>
                  </w:r>
                </w:p>
              </w:tc>
              <w:tc>
                <w:tcPr>
                  <w:tcW w:w="857" w:type="pct"/>
                  <w:vAlign w:val="center"/>
                </w:tcPr>
                <w:p w14:paraId="70BEFE88">
                  <w:pPr>
                    <w:spacing w:line="240" w:lineRule="auto"/>
                    <w:jc w:val="center"/>
                    <w:rPr>
                      <w:color w:val="auto"/>
                      <w:sz w:val="18"/>
                      <w:szCs w:val="18"/>
                    </w:rPr>
                  </w:pPr>
                  <w:r>
                    <w:rPr>
                      <w:color w:val="auto"/>
                      <w:sz w:val="18"/>
                      <w:szCs w:val="18"/>
                    </w:rPr>
                    <w:t>毒理特性</w:t>
                  </w:r>
                </w:p>
              </w:tc>
            </w:tr>
            <w:tr w14:paraId="5D298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vAlign w:val="center"/>
                </w:tcPr>
                <w:p w14:paraId="20AF9633">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铝料头</w:t>
                  </w:r>
                </w:p>
              </w:tc>
              <w:tc>
                <w:tcPr>
                  <w:tcW w:w="2909" w:type="pct"/>
                  <w:vAlign w:val="center"/>
                </w:tcPr>
                <w:p w14:paraId="6BA6CAE4">
                  <w:pPr>
                    <w:spacing w:line="240" w:lineRule="auto"/>
                    <w:jc w:val="center"/>
                    <w:rPr>
                      <w:color w:val="auto"/>
                      <w:sz w:val="18"/>
                      <w:szCs w:val="18"/>
                    </w:rPr>
                  </w:pPr>
                  <w:r>
                    <w:rPr>
                      <w:rFonts w:hint="eastAsia"/>
                      <w:color w:val="auto"/>
                      <w:sz w:val="18"/>
                      <w:szCs w:val="18"/>
                    </w:rPr>
                    <w:t>铝含量98.7%，其余为Si、铁、铜等</w:t>
                  </w:r>
                  <w:r>
                    <w:rPr>
                      <w:rFonts w:hint="eastAsia"/>
                      <w:color w:val="auto"/>
                      <w:sz w:val="18"/>
                      <w:szCs w:val="18"/>
                      <w:lang w:eastAsia="zh-CN"/>
                    </w:rPr>
                    <w:t>，</w:t>
                  </w:r>
                  <w:r>
                    <w:rPr>
                      <w:rFonts w:hint="eastAsia"/>
                      <w:color w:val="auto"/>
                      <w:sz w:val="18"/>
                      <w:szCs w:val="18"/>
                    </w:rPr>
                    <w:t>银白色轻金属，有延展性，易溶于稀硫酸、硝酸、盐酸、氢氧化钠溶液、不溶于水，相对密度 2.70g/cm</w:t>
                  </w:r>
                  <w:r>
                    <w:rPr>
                      <w:rFonts w:hint="eastAsia"/>
                      <w:color w:val="auto"/>
                      <w:sz w:val="18"/>
                      <w:szCs w:val="18"/>
                      <w:vertAlign w:val="superscript"/>
                    </w:rPr>
                    <w:t>3</w:t>
                  </w:r>
                  <w:r>
                    <w:rPr>
                      <w:rFonts w:hint="eastAsia"/>
                      <w:color w:val="auto"/>
                      <w:sz w:val="18"/>
                      <w:szCs w:val="18"/>
                    </w:rPr>
                    <w:t>，熔点660℃，沸点 2327℃。</w:t>
                  </w:r>
                </w:p>
              </w:tc>
              <w:tc>
                <w:tcPr>
                  <w:tcW w:w="673" w:type="pct"/>
                  <w:vMerge w:val="restart"/>
                  <w:vAlign w:val="center"/>
                </w:tcPr>
                <w:p w14:paraId="29563D8C">
                  <w:pPr>
                    <w:spacing w:line="240" w:lineRule="auto"/>
                    <w:jc w:val="center"/>
                    <w:rPr>
                      <w:color w:val="auto"/>
                      <w:sz w:val="18"/>
                      <w:szCs w:val="18"/>
                    </w:rPr>
                  </w:pPr>
                  <w:r>
                    <w:rPr>
                      <w:rFonts w:hint="eastAsia"/>
                      <w:color w:val="auto"/>
                      <w:sz w:val="18"/>
                      <w:szCs w:val="18"/>
                    </w:rPr>
                    <w:t>铝粉在空气中加热能猛烈燃烧，并发出眩目的白色火焰</w:t>
                  </w:r>
                </w:p>
              </w:tc>
              <w:tc>
                <w:tcPr>
                  <w:tcW w:w="857" w:type="pct"/>
                  <w:vAlign w:val="center"/>
                </w:tcPr>
                <w:p w14:paraId="4E32C697">
                  <w:pPr>
                    <w:spacing w:line="240" w:lineRule="auto"/>
                    <w:jc w:val="center"/>
                    <w:rPr>
                      <w:color w:val="auto"/>
                      <w:sz w:val="18"/>
                      <w:szCs w:val="18"/>
                    </w:rPr>
                  </w:pPr>
                  <w:r>
                    <w:rPr>
                      <w:rFonts w:hint="eastAsia"/>
                      <w:color w:val="auto"/>
                      <w:sz w:val="18"/>
                      <w:szCs w:val="18"/>
                    </w:rPr>
                    <w:t>/</w:t>
                  </w:r>
                </w:p>
              </w:tc>
            </w:tr>
            <w:tr w14:paraId="0FE3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vAlign w:val="center"/>
                </w:tcPr>
                <w:p w14:paraId="34E22F79">
                  <w:pPr>
                    <w:spacing w:line="240" w:lineRule="auto"/>
                    <w:jc w:val="center"/>
                    <w:rPr>
                      <w:rFonts w:hint="default"/>
                      <w:color w:val="auto"/>
                      <w:sz w:val="18"/>
                      <w:szCs w:val="18"/>
                      <w:lang w:val="en-US" w:eastAsia="zh-CN"/>
                    </w:rPr>
                  </w:pPr>
                  <w:r>
                    <w:rPr>
                      <w:rFonts w:hint="eastAsia"/>
                      <w:color w:val="auto"/>
                      <w:sz w:val="18"/>
                      <w:szCs w:val="18"/>
                      <w:lang w:val="en-US" w:eastAsia="zh-CN"/>
                    </w:rPr>
                    <w:t>铝锭</w:t>
                  </w:r>
                </w:p>
              </w:tc>
              <w:tc>
                <w:tcPr>
                  <w:tcW w:w="2909" w:type="pct"/>
                  <w:vAlign w:val="center"/>
                </w:tcPr>
                <w:p w14:paraId="75213732">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商业成品铝锭，</w:t>
                  </w:r>
                  <w:r>
                    <w:rPr>
                      <w:rFonts w:hint="eastAsia"/>
                      <w:color w:val="auto"/>
                      <w:sz w:val="18"/>
                      <w:szCs w:val="18"/>
                    </w:rPr>
                    <w:t>铝含量</w:t>
                  </w:r>
                  <w:r>
                    <w:rPr>
                      <w:rFonts w:hint="eastAsia"/>
                      <w:color w:val="auto"/>
                      <w:sz w:val="18"/>
                      <w:szCs w:val="18"/>
                      <w:lang w:val="en-US" w:eastAsia="zh-CN"/>
                    </w:rPr>
                    <w:t>&gt;</w:t>
                  </w:r>
                  <w:r>
                    <w:rPr>
                      <w:rFonts w:hint="eastAsia"/>
                      <w:color w:val="auto"/>
                      <w:sz w:val="18"/>
                      <w:szCs w:val="18"/>
                    </w:rPr>
                    <w:t>98.7%，其余为Si、铁、铜等</w:t>
                  </w:r>
                  <w:r>
                    <w:rPr>
                      <w:rFonts w:hint="eastAsia"/>
                      <w:color w:val="auto"/>
                      <w:sz w:val="18"/>
                      <w:szCs w:val="18"/>
                      <w:lang w:eastAsia="zh-CN"/>
                    </w:rPr>
                    <w:t>，</w:t>
                  </w:r>
                  <w:r>
                    <w:rPr>
                      <w:rFonts w:hint="eastAsia"/>
                      <w:color w:val="auto"/>
                      <w:sz w:val="18"/>
                      <w:szCs w:val="18"/>
                    </w:rPr>
                    <w:t>银白色轻金属，有延展性，易溶于稀硫酸、硝酸、盐酸、氢氧化钠溶液、不溶于水，相对密度 2.70g/cm</w:t>
                  </w:r>
                  <w:r>
                    <w:rPr>
                      <w:rFonts w:hint="eastAsia"/>
                      <w:color w:val="auto"/>
                      <w:sz w:val="18"/>
                      <w:szCs w:val="18"/>
                      <w:vertAlign w:val="superscript"/>
                    </w:rPr>
                    <w:t>3</w:t>
                  </w:r>
                  <w:r>
                    <w:rPr>
                      <w:rFonts w:hint="eastAsia"/>
                      <w:color w:val="auto"/>
                      <w:sz w:val="18"/>
                      <w:szCs w:val="18"/>
                    </w:rPr>
                    <w:t>，熔点660℃，沸点 2327℃。</w:t>
                  </w:r>
                </w:p>
              </w:tc>
              <w:tc>
                <w:tcPr>
                  <w:tcW w:w="673" w:type="pct"/>
                  <w:vMerge w:val="continue"/>
                  <w:vAlign w:val="center"/>
                </w:tcPr>
                <w:p w14:paraId="7459460A">
                  <w:pPr>
                    <w:spacing w:line="240" w:lineRule="auto"/>
                    <w:jc w:val="center"/>
                    <w:rPr>
                      <w:rFonts w:hint="eastAsia"/>
                      <w:color w:val="auto"/>
                      <w:sz w:val="18"/>
                      <w:szCs w:val="18"/>
                    </w:rPr>
                  </w:pPr>
                </w:p>
              </w:tc>
              <w:tc>
                <w:tcPr>
                  <w:tcW w:w="857" w:type="pct"/>
                  <w:vAlign w:val="center"/>
                </w:tcPr>
                <w:p w14:paraId="573BC223">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w:t>
                  </w:r>
                </w:p>
              </w:tc>
            </w:tr>
            <w:tr w14:paraId="234F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vAlign w:val="center"/>
                </w:tcPr>
                <w:p w14:paraId="7E8C0E14">
                  <w:pPr>
                    <w:widowControl/>
                    <w:spacing w:line="240" w:lineRule="auto"/>
                    <w:jc w:val="center"/>
                    <w:textAlignment w:val="center"/>
                    <w:rPr>
                      <w:rFonts w:cs="宋体"/>
                      <w:color w:val="auto"/>
                      <w:sz w:val="18"/>
                      <w:szCs w:val="22"/>
                    </w:rPr>
                  </w:pPr>
                  <w:r>
                    <w:rPr>
                      <w:rFonts w:hint="eastAsia" w:ascii="Times New Roman" w:hAnsi="Times New Roman" w:eastAsia="宋体" w:cs="宋体"/>
                      <w:color w:val="auto"/>
                      <w:kern w:val="0"/>
                      <w:sz w:val="18"/>
                      <w:szCs w:val="18"/>
                      <w:lang w:val="en-US" w:eastAsia="zh-CN" w:bidi="ar"/>
                    </w:rPr>
                    <w:t>除渣剂</w:t>
                  </w:r>
                </w:p>
              </w:tc>
              <w:tc>
                <w:tcPr>
                  <w:tcW w:w="2909" w:type="pct"/>
                  <w:vAlign w:val="center"/>
                </w:tcPr>
                <w:p w14:paraId="5AAAA340">
                  <w:pPr>
                    <w:spacing w:line="240" w:lineRule="auto"/>
                    <w:jc w:val="center"/>
                    <w:rPr>
                      <w:color w:val="auto"/>
                      <w:sz w:val="18"/>
                      <w:szCs w:val="18"/>
                    </w:rPr>
                  </w:pPr>
                  <w:r>
                    <w:rPr>
                      <w:rFonts w:hint="eastAsia"/>
                      <w:color w:val="auto"/>
                      <w:sz w:val="18"/>
                      <w:szCs w:val="18"/>
                    </w:rPr>
                    <w:t>清渣剂为白色粉状物料，熔点为680℃，不挥发，密度为1.8g/cm</w:t>
                  </w:r>
                  <w:r>
                    <w:rPr>
                      <w:rFonts w:hint="eastAsia"/>
                      <w:color w:val="auto"/>
                      <w:sz w:val="18"/>
                      <w:szCs w:val="18"/>
                      <w:vertAlign w:val="superscript"/>
                    </w:rPr>
                    <w:t>3</w:t>
                  </w:r>
                  <w:r>
                    <w:rPr>
                      <w:rFonts w:hint="eastAsia"/>
                      <w:color w:val="auto"/>
                      <w:sz w:val="18"/>
                      <w:szCs w:val="18"/>
                    </w:rPr>
                    <w:t>，溶于水。主要成分为氯化钠</w:t>
                  </w:r>
                  <w:r>
                    <w:rPr>
                      <w:rFonts w:hint="eastAsia"/>
                      <w:color w:val="auto"/>
                      <w:sz w:val="18"/>
                      <w:szCs w:val="18"/>
                      <w:lang w:val="en-US" w:eastAsia="zh-CN"/>
                    </w:rPr>
                    <w:t>30-</w:t>
                  </w:r>
                  <w:r>
                    <w:rPr>
                      <w:rFonts w:hint="eastAsia"/>
                      <w:color w:val="auto"/>
                      <w:sz w:val="18"/>
                      <w:szCs w:val="18"/>
                    </w:rPr>
                    <w:t>40%、氯化钾</w:t>
                  </w:r>
                  <w:r>
                    <w:rPr>
                      <w:rFonts w:hint="eastAsia"/>
                      <w:color w:val="auto"/>
                      <w:sz w:val="18"/>
                      <w:szCs w:val="18"/>
                      <w:lang w:val="en-US" w:eastAsia="zh-CN"/>
                    </w:rPr>
                    <w:t>40-50</w:t>
                  </w:r>
                  <w:r>
                    <w:rPr>
                      <w:rFonts w:hint="eastAsia"/>
                      <w:color w:val="auto"/>
                      <w:sz w:val="18"/>
                      <w:szCs w:val="18"/>
                    </w:rPr>
                    <w:t>%、氟</w:t>
                  </w:r>
                  <w:r>
                    <w:rPr>
                      <w:rFonts w:hint="eastAsia"/>
                      <w:color w:val="auto"/>
                      <w:sz w:val="18"/>
                      <w:szCs w:val="18"/>
                      <w:lang w:val="en-US" w:eastAsia="zh-CN"/>
                    </w:rPr>
                    <w:t>铝</w:t>
                  </w:r>
                  <w:r>
                    <w:rPr>
                      <w:rFonts w:hint="eastAsia"/>
                      <w:color w:val="auto"/>
                      <w:sz w:val="18"/>
                      <w:szCs w:val="18"/>
                    </w:rPr>
                    <w:t>酸</w:t>
                  </w:r>
                  <w:r>
                    <w:rPr>
                      <w:rFonts w:hint="eastAsia"/>
                      <w:color w:val="auto"/>
                      <w:sz w:val="18"/>
                      <w:szCs w:val="18"/>
                      <w:lang w:val="en-US" w:eastAsia="zh-CN"/>
                    </w:rPr>
                    <w:t>纳</w:t>
                  </w:r>
                  <w:r>
                    <w:rPr>
                      <w:rFonts w:hint="eastAsia"/>
                      <w:color w:val="auto"/>
                      <w:sz w:val="18"/>
                      <w:szCs w:val="18"/>
                    </w:rPr>
                    <w:t>10</w:t>
                  </w:r>
                  <w:r>
                    <w:rPr>
                      <w:rFonts w:hint="eastAsia"/>
                      <w:color w:val="auto"/>
                      <w:sz w:val="18"/>
                      <w:szCs w:val="18"/>
                      <w:lang w:val="en-US" w:eastAsia="zh-CN"/>
                    </w:rPr>
                    <w:t>-20</w:t>
                  </w:r>
                  <w:r>
                    <w:rPr>
                      <w:rFonts w:hint="eastAsia"/>
                      <w:color w:val="auto"/>
                      <w:sz w:val="18"/>
                      <w:szCs w:val="18"/>
                    </w:rPr>
                    <w:t>%</w:t>
                  </w:r>
                  <w:r>
                    <w:rPr>
                      <w:rFonts w:cs="Helvetica"/>
                      <w:color w:val="auto"/>
                      <w:sz w:val="18"/>
                      <w:szCs w:val="16"/>
                      <w:shd w:val="clear" w:color="auto" w:fill="FFFFFF"/>
                    </w:rPr>
                    <w:t>。</w:t>
                  </w:r>
                </w:p>
              </w:tc>
              <w:tc>
                <w:tcPr>
                  <w:tcW w:w="673" w:type="pct"/>
                  <w:vAlign w:val="center"/>
                </w:tcPr>
                <w:p w14:paraId="109F59CA">
                  <w:pPr>
                    <w:spacing w:line="240" w:lineRule="auto"/>
                    <w:jc w:val="center"/>
                    <w:rPr>
                      <w:color w:val="auto"/>
                      <w:sz w:val="18"/>
                      <w:szCs w:val="18"/>
                    </w:rPr>
                  </w:pPr>
                  <w:r>
                    <w:rPr>
                      <w:rFonts w:hint="eastAsia"/>
                      <w:color w:val="auto"/>
                      <w:sz w:val="18"/>
                      <w:szCs w:val="18"/>
                    </w:rPr>
                    <w:t>不易燃不易爆</w:t>
                  </w:r>
                </w:p>
              </w:tc>
              <w:tc>
                <w:tcPr>
                  <w:tcW w:w="857" w:type="pct"/>
                  <w:vAlign w:val="center"/>
                </w:tcPr>
                <w:p w14:paraId="65C38936">
                  <w:pPr>
                    <w:spacing w:line="240" w:lineRule="auto"/>
                    <w:jc w:val="center"/>
                    <w:rPr>
                      <w:rFonts w:hint="eastAsia" w:eastAsia="宋体"/>
                      <w:color w:val="auto"/>
                      <w:sz w:val="18"/>
                      <w:szCs w:val="18"/>
                      <w:lang w:eastAsia="zh-CN"/>
                    </w:rPr>
                  </w:pPr>
                  <w:r>
                    <w:rPr>
                      <w:rFonts w:hint="eastAsia" w:cs="Helvetica"/>
                      <w:color w:val="auto"/>
                      <w:sz w:val="18"/>
                      <w:szCs w:val="16"/>
                      <w:shd w:val="clear" w:color="auto" w:fill="FFFFFF"/>
                      <w:lang w:val="en-US" w:eastAsia="zh-CN"/>
                    </w:rPr>
                    <w:t>/</w:t>
                  </w:r>
                </w:p>
              </w:tc>
            </w:tr>
            <w:tr w14:paraId="6A77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vAlign w:val="center"/>
                </w:tcPr>
                <w:p w14:paraId="4E46B532">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氩气</w:t>
                  </w:r>
                </w:p>
              </w:tc>
              <w:tc>
                <w:tcPr>
                  <w:tcW w:w="2909" w:type="pct"/>
                  <w:vAlign w:val="center"/>
                </w:tcPr>
                <w:p w14:paraId="04F27F6C">
                  <w:pPr>
                    <w:spacing w:line="240" w:lineRule="auto"/>
                    <w:jc w:val="center"/>
                    <w:rPr>
                      <w:rFonts w:hint="default" w:eastAsia="宋体"/>
                      <w:color w:val="auto"/>
                      <w:sz w:val="18"/>
                      <w:szCs w:val="18"/>
                      <w:lang w:val="en-US" w:eastAsia="zh-CN"/>
                    </w:rPr>
                  </w:pPr>
                  <w:r>
                    <w:rPr>
                      <w:rFonts w:hint="default" w:eastAsia="宋体"/>
                      <w:color w:val="auto"/>
                      <w:sz w:val="18"/>
                      <w:szCs w:val="18"/>
                      <w:lang w:val="en-US" w:eastAsia="zh-CN"/>
                    </w:rPr>
                    <w:t>氩气是一种无色无味的气体，密度大约是空气的1.4倍，氦气的10倍。是空气中含量最高的稀有气体。常温下微溶于水</w:t>
                  </w:r>
                  <w:r>
                    <w:rPr>
                      <w:rFonts w:hint="eastAsia"/>
                      <w:color w:val="auto"/>
                      <w:sz w:val="18"/>
                      <w:szCs w:val="18"/>
                      <w:lang w:val="en-US" w:eastAsia="zh-CN"/>
                    </w:rPr>
                    <w:t>，氩气性质非常稳定，不燃烧也不助燃，可以在金属铸造过程（如炼钢、炼铝等）、焊接过程（飞机船舶制造、机械焊接等）中保护金属防止氧化。</w:t>
                  </w:r>
                </w:p>
              </w:tc>
              <w:tc>
                <w:tcPr>
                  <w:tcW w:w="673" w:type="pct"/>
                  <w:vAlign w:val="center"/>
                </w:tcPr>
                <w:p w14:paraId="79035760">
                  <w:pPr>
                    <w:spacing w:line="240" w:lineRule="auto"/>
                    <w:jc w:val="center"/>
                    <w:rPr>
                      <w:rFonts w:hint="eastAsia" w:eastAsia="宋体"/>
                      <w:color w:val="auto"/>
                      <w:sz w:val="18"/>
                      <w:szCs w:val="18"/>
                      <w:lang w:eastAsia="zh-CN"/>
                    </w:rPr>
                  </w:pPr>
                  <w:r>
                    <w:rPr>
                      <w:rFonts w:hint="eastAsia"/>
                      <w:color w:val="auto"/>
                      <w:sz w:val="18"/>
                      <w:szCs w:val="18"/>
                      <w:lang w:val="en-US" w:eastAsia="zh-CN"/>
                    </w:rPr>
                    <w:t>不燃</w:t>
                  </w:r>
                </w:p>
              </w:tc>
              <w:tc>
                <w:tcPr>
                  <w:tcW w:w="857" w:type="pct"/>
                  <w:vAlign w:val="center"/>
                </w:tcPr>
                <w:p w14:paraId="4BF7C2A9">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w:t>
                  </w:r>
                </w:p>
              </w:tc>
            </w:tr>
            <w:tr w14:paraId="75332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vAlign w:val="center"/>
                </w:tcPr>
                <w:p w14:paraId="254156D5">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切削液</w:t>
                  </w:r>
                </w:p>
              </w:tc>
              <w:tc>
                <w:tcPr>
                  <w:tcW w:w="2909" w:type="pct"/>
                  <w:vAlign w:val="center"/>
                </w:tcPr>
                <w:p w14:paraId="47BA00D9">
                  <w:pPr>
                    <w:spacing w:line="240" w:lineRule="auto"/>
                    <w:jc w:val="center"/>
                    <w:rPr>
                      <w:rFonts w:hint="default" w:eastAsia="宋体"/>
                      <w:color w:val="auto"/>
                      <w:sz w:val="18"/>
                      <w:szCs w:val="18"/>
                      <w:lang w:val="en-US" w:eastAsia="zh-CN"/>
                    </w:rPr>
                  </w:pPr>
                  <w:r>
                    <w:rPr>
                      <w:rFonts w:hint="eastAsia" w:eastAsia="宋体"/>
                      <w:color w:val="auto"/>
                      <w:sz w:val="18"/>
                      <w:szCs w:val="18"/>
                      <w:lang w:eastAsia="zh-CN"/>
                    </w:rPr>
                    <w:t>切削液为</w:t>
                  </w:r>
                  <w:r>
                    <w:rPr>
                      <w:rFonts w:hint="eastAsia"/>
                      <w:color w:val="auto"/>
                      <w:sz w:val="18"/>
                      <w:szCs w:val="18"/>
                      <w:lang w:val="en-US" w:eastAsia="zh-CN"/>
                    </w:rPr>
                    <w:t>黄</w:t>
                  </w:r>
                  <w:r>
                    <w:rPr>
                      <w:rFonts w:hint="eastAsia" w:eastAsia="宋体"/>
                      <w:color w:val="auto"/>
                      <w:sz w:val="18"/>
                      <w:szCs w:val="18"/>
                      <w:lang w:eastAsia="zh-CN"/>
                    </w:rPr>
                    <w:t>棕色透明液体</w:t>
                  </w:r>
                  <w:r>
                    <w:rPr>
                      <w:rFonts w:hint="eastAsia"/>
                      <w:color w:val="auto"/>
                      <w:sz w:val="18"/>
                      <w:szCs w:val="18"/>
                      <w:lang w:eastAsia="zh-CN"/>
                    </w:rPr>
                    <w:t>，</w:t>
                  </w:r>
                  <w:r>
                    <w:rPr>
                      <w:rFonts w:hint="eastAsia"/>
                      <w:color w:val="auto"/>
                      <w:sz w:val="18"/>
                      <w:szCs w:val="18"/>
                      <w:lang w:val="en-US" w:eastAsia="zh-CN"/>
                    </w:rPr>
                    <w:t>pH约为</w:t>
                  </w:r>
                  <w:r>
                    <w:rPr>
                      <w:rFonts w:hint="eastAsia"/>
                      <w:color w:val="auto"/>
                      <w:sz w:val="18"/>
                      <w:szCs w:val="18"/>
                      <w:lang w:eastAsia="zh-CN"/>
                    </w:rPr>
                    <w:t>9.41，</w:t>
                  </w:r>
                  <w:r>
                    <w:rPr>
                      <w:rFonts w:hint="eastAsia"/>
                      <w:color w:val="auto"/>
                      <w:sz w:val="18"/>
                      <w:szCs w:val="18"/>
                      <w:lang w:val="en-US" w:eastAsia="zh-CN"/>
                    </w:rPr>
                    <w:t>成分为</w:t>
                  </w:r>
                  <w:r>
                    <w:rPr>
                      <w:rFonts w:hint="eastAsia"/>
                      <w:color w:val="auto"/>
                      <w:sz w:val="18"/>
                      <w:szCs w:val="18"/>
                      <w:lang w:eastAsia="zh-CN"/>
                    </w:rPr>
                    <w:t>蓖麻油酸（</w:t>
                  </w:r>
                  <w:r>
                    <w:rPr>
                      <w:rFonts w:hint="eastAsia"/>
                      <w:color w:val="auto"/>
                      <w:sz w:val="18"/>
                      <w:szCs w:val="18"/>
                      <w:lang w:val="en-US" w:eastAsia="zh-CN"/>
                    </w:rPr>
                    <w:t>30%</w:t>
                  </w:r>
                  <w:r>
                    <w:rPr>
                      <w:rFonts w:hint="eastAsia"/>
                      <w:color w:val="auto"/>
                      <w:sz w:val="18"/>
                      <w:szCs w:val="18"/>
                      <w:lang w:eastAsia="zh-CN"/>
                    </w:rPr>
                    <w:t>）、异壬酸（</w:t>
                  </w:r>
                  <w:r>
                    <w:rPr>
                      <w:rFonts w:hint="eastAsia"/>
                      <w:color w:val="auto"/>
                      <w:sz w:val="18"/>
                      <w:szCs w:val="18"/>
                      <w:lang w:val="en-US" w:eastAsia="zh-CN"/>
                    </w:rPr>
                    <w:t>10%</w:t>
                  </w:r>
                  <w:r>
                    <w:rPr>
                      <w:rFonts w:hint="eastAsia"/>
                      <w:color w:val="auto"/>
                      <w:sz w:val="18"/>
                      <w:szCs w:val="18"/>
                      <w:lang w:eastAsia="zh-CN"/>
                    </w:rPr>
                    <w:t>）、十二烷二酸（</w:t>
                  </w:r>
                  <w:r>
                    <w:rPr>
                      <w:rFonts w:hint="eastAsia"/>
                      <w:color w:val="auto"/>
                      <w:sz w:val="18"/>
                      <w:szCs w:val="18"/>
                      <w:lang w:val="en-US" w:eastAsia="zh-CN"/>
                    </w:rPr>
                    <w:t>10%</w:t>
                  </w:r>
                  <w:r>
                    <w:rPr>
                      <w:rFonts w:hint="eastAsia"/>
                      <w:color w:val="auto"/>
                      <w:sz w:val="18"/>
                      <w:szCs w:val="18"/>
                      <w:lang w:eastAsia="zh-CN"/>
                    </w:rPr>
                    <w:t>）、硼酸（</w:t>
                  </w:r>
                  <w:r>
                    <w:rPr>
                      <w:rFonts w:hint="eastAsia"/>
                      <w:color w:val="auto"/>
                      <w:sz w:val="18"/>
                      <w:szCs w:val="18"/>
                      <w:lang w:val="en-US" w:eastAsia="zh-CN"/>
                    </w:rPr>
                    <w:t>5%</w:t>
                  </w:r>
                  <w:r>
                    <w:rPr>
                      <w:rFonts w:hint="eastAsia"/>
                      <w:color w:val="auto"/>
                      <w:sz w:val="18"/>
                      <w:szCs w:val="18"/>
                      <w:lang w:eastAsia="zh-CN"/>
                    </w:rPr>
                    <w:t>）、乙醇胺（</w:t>
                  </w:r>
                  <w:r>
                    <w:rPr>
                      <w:rFonts w:hint="eastAsia"/>
                      <w:color w:val="auto"/>
                      <w:sz w:val="18"/>
                      <w:szCs w:val="18"/>
                      <w:lang w:val="en-US" w:eastAsia="zh-CN"/>
                    </w:rPr>
                    <w:t>5%</w:t>
                  </w:r>
                  <w:r>
                    <w:rPr>
                      <w:rFonts w:hint="eastAsia"/>
                      <w:color w:val="auto"/>
                      <w:sz w:val="18"/>
                      <w:szCs w:val="18"/>
                      <w:lang w:eastAsia="zh-CN"/>
                    </w:rPr>
                    <w:t>）、仲醇聚氧乙烯醚（</w:t>
                  </w:r>
                  <w:r>
                    <w:rPr>
                      <w:rFonts w:hint="eastAsia"/>
                      <w:color w:val="auto"/>
                      <w:sz w:val="18"/>
                      <w:szCs w:val="18"/>
                      <w:lang w:val="en-US" w:eastAsia="zh-CN"/>
                    </w:rPr>
                    <w:t>10%</w:t>
                  </w:r>
                  <w:r>
                    <w:rPr>
                      <w:rFonts w:hint="eastAsia"/>
                      <w:color w:val="auto"/>
                      <w:sz w:val="18"/>
                      <w:szCs w:val="18"/>
                      <w:lang w:eastAsia="zh-CN"/>
                    </w:rPr>
                    <w:t>）、其他添加剂（5%），</w:t>
                  </w:r>
                  <w:r>
                    <w:rPr>
                      <w:rFonts w:hint="eastAsia"/>
                      <w:color w:val="auto"/>
                      <w:sz w:val="18"/>
                      <w:szCs w:val="18"/>
                      <w:lang w:val="en-US" w:eastAsia="zh-CN"/>
                    </w:rPr>
                    <w:t>去离子水</w:t>
                  </w:r>
                  <w:r>
                    <w:rPr>
                      <w:rFonts w:hint="eastAsia"/>
                      <w:color w:val="auto"/>
                      <w:sz w:val="18"/>
                      <w:szCs w:val="18"/>
                      <w:lang w:eastAsia="zh-CN"/>
                    </w:rPr>
                    <w:t>（</w:t>
                  </w:r>
                  <w:r>
                    <w:rPr>
                      <w:rFonts w:hint="eastAsia"/>
                      <w:color w:val="auto"/>
                      <w:sz w:val="18"/>
                      <w:szCs w:val="18"/>
                      <w:lang w:val="en-US" w:eastAsia="zh-CN"/>
                    </w:rPr>
                    <w:t>20%</w:t>
                  </w:r>
                  <w:r>
                    <w:rPr>
                      <w:rFonts w:hint="eastAsia"/>
                      <w:color w:val="auto"/>
                      <w:sz w:val="18"/>
                      <w:szCs w:val="18"/>
                      <w:lang w:eastAsia="zh-CN"/>
                    </w:rPr>
                    <w:t>）</w:t>
                  </w:r>
                </w:p>
              </w:tc>
              <w:tc>
                <w:tcPr>
                  <w:tcW w:w="673" w:type="pct"/>
                  <w:vAlign w:val="center"/>
                </w:tcPr>
                <w:p w14:paraId="69B94D9A">
                  <w:pPr>
                    <w:spacing w:line="240" w:lineRule="auto"/>
                    <w:jc w:val="center"/>
                    <w:rPr>
                      <w:color w:val="auto"/>
                      <w:sz w:val="18"/>
                      <w:szCs w:val="18"/>
                    </w:rPr>
                  </w:pPr>
                  <w:r>
                    <w:rPr>
                      <w:rFonts w:hint="eastAsia"/>
                      <w:color w:val="auto"/>
                      <w:sz w:val="18"/>
                      <w:szCs w:val="18"/>
                    </w:rPr>
                    <w:t>不易燃不易爆</w:t>
                  </w:r>
                </w:p>
              </w:tc>
              <w:tc>
                <w:tcPr>
                  <w:tcW w:w="857" w:type="pct"/>
                  <w:vAlign w:val="center"/>
                </w:tcPr>
                <w:p w14:paraId="39537D72">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w:t>
                  </w:r>
                </w:p>
              </w:tc>
            </w:tr>
            <w:tr w14:paraId="41F7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0" w:type="pct"/>
                  <w:shd w:val="clear" w:color="auto" w:fill="auto"/>
                  <w:vAlign w:val="center"/>
                </w:tcPr>
                <w:p w14:paraId="3D55263C">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天然气</w:t>
                  </w:r>
                </w:p>
              </w:tc>
              <w:tc>
                <w:tcPr>
                  <w:tcW w:w="2909" w:type="pct"/>
                  <w:vAlign w:val="center"/>
                </w:tcPr>
                <w:p w14:paraId="2D956548">
                  <w:pPr>
                    <w:spacing w:line="240" w:lineRule="auto"/>
                    <w:jc w:val="center"/>
                    <w:rPr>
                      <w:rFonts w:hint="default" w:eastAsia="宋体"/>
                      <w:color w:val="auto"/>
                      <w:sz w:val="18"/>
                      <w:szCs w:val="18"/>
                      <w:lang w:val="en-US" w:eastAsia="zh-CN"/>
                    </w:rPr>
                  </w:pPr>
                  <w:r>
                    <w:rPr>
                      <w:rFonts w:hint="default" w:eastAsia="宋体"/>
                      <w:color w:val="auto"/>
                      <w:sz w:val="18"/>
                      <w:szCs w:val="18"/>
                      <w:lang w:val="en-US" w:eastAsia="zh-CN"/>
                    </w:rPr>
                    <w:t>天然气为无色无臭气体，主要由甲烷组成，沸点-161.5℃，引燃温度 537℃，微溶于水，溶于乙醇、乙醚，相对密度（空气=1）：0.55。爆炸上限（V%）：15，爆炸下限（V%）：蒸汽能与空气形成爆炸性混合物；遇热源、明火着火、爆炸危险。</w:t>
                  </w:r>
                </w:p>
              </w:tc>
              <w:tc>
                <w:tcPr>
                  <w:tcW w:w="673" w:type="pct"/>
                  <w:vAlign w:val="center"/>
                </w:tcPr>
                <w:p w14:paraId="45639518">
                  <w:pPr>
                    <w:spacing w:line="240" w:lineRule="auto"/>
                    <w:jc w:val="center"/>
                    <w:rPr>
                      <w:rFonts w:hint="eastAsia" w:eastAsia="宋体"/>
                      <w:color w:val="auto"/>
                      <w:sz w:val="18"/>
                      <w:szCs w:val="18"/>
                      <w:lang w:val="en-US" w:eastAsia="zh-CN"/>
                    </w:rPr>
                  </w:pPr>
                  <w:r>
                    <w:rPr>
                      <w:rFonts w:hint="eastAsia"/>
                      <w:color w:val="auto"/>
                      <w:sz w:val="18"/>
                      <w:szCs w:val="18"/>
                    </w:rPr>
                    <w:t>遇热源、明火着火、爆炸危险</w:t>
                  </w:r>
                </w:p>
              </w:tc>
              <w:tc>
                <w:tcPr>
                  <w:tcW w:w="857" w:type="pct"/>
                  <w:vAlign w:val="center"/>
                </w:tcPr>
                <w:p w14:paraId="20F304AB">
                  <w:pPr>
                    <w:spacing w:line="240" w:lineRule="auto"/>
                    <w:jc w:val="center"/>
                    <w:rPr>
                      <w:rFonts w:hint="eastAsia"/>
                      <w:color w:val="auto"/>
                      <w:sz w:val="18"/>
                      <w:szCs w:val="18"/>
                      <w:lang w:val="en-US" w:eastAsia="zh-CN"/>
                    </w:rPr>
                  </w:pPr>
                  <w:r>
                    <w:rPr>
                      <w:rFonts w:hint="eastAsia"/>
                      <w:color w:val="auto"/>
                      <w:sz w:val="18"/>
                      <w:szCs w:val="18"/>
                      <w:lang w:val="en-US" w:eastAsia="zh-CN"/>
                    </w:rPr>
                    <w:t>属“单纯窒息性”气体，高浓度是因缺氧而引起窒</w:t>
                  </w:r>
                </w:p>
                <w:p w14:paraId="55C2D400">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息。空气中甲烷达到25-30%时，出现头昏、呼吸加速、运动失调</w:t>
                  </w:r>
                </w:p>
              </w:tc>
            </w:tr>
            <w:tr w14:paraId="63AD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560" w:type="pct"/>
                  <w:vAlign w:val="center"/>
                </w:tcPr>
                <w:p w14:paraId="0959FD80">
                  <w:pPr>
                    <w:widowControl/>
                    <w:spacing w:line="240" w:lineRule="auto"/>
                    <w:jc w:val="center"/>
                    <w:textAlignment w:val="center"/>
                    <w:rPr>
                      <w:rFonts w:hint="eastAsia" w:eastAsia="宋体" w:cs="宋体"/>
                      <w:color w:val="auto"/>
                      <w:sz w:val="18"/>
                      <w:szCs w:val="22"/>
                      <w:lang w:val="en-US" w:eastAsia="zh-CN"/>
                    </w:rPr>
                  </w:pPr>
                  <w:r>
                    <w:rPr>
                      <w:rFonts w:hint="eastAsia" w:cs="宋体"/>
                      <w:color w:val="auto"/>
                      <w:sz w:val="18"/>
                      <w:szCs w:val="22"/>
                      <w:lang w:val="en-US" w:eastAsia="zh-CN"/>
                    </w:rPr>
                    <w:t>润滑油</w:t>
                  </w:r>
                </w:p>
              </w:tc>
              <w:tc>
                <w:tcPr>
                  <w:tcW w:w="2909" w:type="pct"/>
                  <w:vAlign w:val="center"/>
                </w:tcPr>
                <w:p w14:paraId="22E44E29">
                  <w:pPr>
                    <w:spacing w:line="240" w:lineRule="auto"/>
                    <w:jc w:val="center"/>
                    <w:rPr>
                      <w:color w:val="auto"/>
                      <w:sz w:val="18"/>
                      <w:szCs w:val="18"/>
                    </w:rPr>
                  </w:pPr>
                  <w:r>
                    <w:rPr>
                      <w:rFonts w:hint="eastAsia"/>
                      <w:color w:val="auto"/>
                      <w:sz w:val="18"/>
                      <w:szCs w:val="18"/>
                    </w:rPr>
                    <w:t>外观与性状：油状液体，淡黄色至褐色，无气味或带气味；相对密度(水=1)：&lt;1；分子量：230-500；闪点(℃)：76，引燃温度(℃)：248</w:t>
                  </w:r>
                </w:p>
              </w:tc>
              <w:tc>
                <w:tcPr>
                  <w:tcW w:w="673" w:type="pct"/>
                  <w:vAlign w:val="center"/>
                </w:tcPr>
                <w:p w14:paraId="1C2FCDCF">
                  <w:pPr>
                    <w:spacing w:line="240" w:lineRule="auto"/>
                    <w:jc w:val="center"/>
                    <w:rPr>
                      <w:color w:val="auto"/>
                      <w:sz w:val="18"/>
                      <w:szCs w:val="18"/>
                    </w:rPr>
                  </w:pPr>
                  <w:r>
                    <w:rPr>
                      <w:rFonts w:hint="eastAsia"/>
                      <w:color w:val="auto"/>
                      <w:sz w:val="18"/>
                      <w:szCs w:val="18"/>
                    </w:rPr>
                    <w:t>可燃</w:t>
                  </w:r>
                </w:p>
              </w:tc>
              <w:tc>
                <w:tcPr>
                  <w:tcW w:w="857" w:type="pct"/>
                  <w:vAlign w:val="center"/>
                </w:tcPr>
                <w:p w14:paraId="00608F0C">
                  <w:pPr>
                    <w:spacing w:line="240" w:lineRule="auto"/>
                    <w:jc w:val="center"/>
                    <w:rPr>
                      <w:color w:val="auto"/>
                      <w:sz w:val="18"/>
                      <w:szCs w:val="18"/>
                    </w:rPr>
                  </w:pPr>
                  <w:r>
                    <w:rPr>
                      <w:rFonts w:hint="eastAsia" w:cs="Helvetica"/>
                      <w:color w:val="auto"/>
                      <w:sz w:val="18"/>
                      <w:szCs w:val="16"/>
                      <w:shd w:val="clear" w:color="auto" w:fill="FFFFFF"/>
                    </w:rPr>
                    <w:t>/</w:t>
                  </w:r>
                </w:p>
              </w:tc>
            </w:tr>
          </w:tbl>
          <w:p w14:paraId="55FF4482">
            <w:pPr>
              <w:ind w:firstLine="480"/>
              <w:rPr>
                <w:rFonts w:hint="eastAsia"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本项目使用的</w:t>
            </w:r>
            <w:r>
              <w:rPr>
                <w:rFonts w:hint="eastAsia" w:cs="Times New Roman"/>
                <w:color w:val="auto"/>
                <w:szCs w:val="24"/>
                <w:lang w:val="en-US" w:eastAsia="zh-CN"/>
              </w:rPr>
              <w:t>铝料头</w:t>
            </w:r>
            <w:r>
              <w:rPr>
                <w:rFonts w:hint="eastAsia" w:ascii="Times New Roman" w:hAnsi="Times New Roman" w:eastAsia="宋体" w:cs="Times New Roman"/>
                <w:color w:val="auto"/>
                <w:szCs w:val="24"/>
                <w:lang w:val="en-US" w:eastAsia="zh-CN"/>
              </w:rPr>
              <w:t>均来自</w:t>
            </w:r>
            <w:r>
              <w:rPr>
                <w:rFonts w:hint="eastAsia"/>
                <w:color w:val="auto"/>
                <w:szCs w:val="24"/>
                <w:lang w:val="en-US" w:eastAsia="zh-CN"/>
              </w:rPr>
              <w:t>现有</w:t>
            </w:r>
            <w:r>
              <w:rPr>
                <w:rFonts w:hint="eastAsia"/>
                <w:bCs/>
                <w:color w:val="auto"/>
                <w:szCs w:val="24"/>
              </w:rPr>
              <w:t>年产500万件轨道交通及新能源汽车配件扩规项目</w:t>
            </w:r>
            <w:r>
              <w:rPr>
                <w:rFonts w:hint="eastAsia" w:ascii="Times New Roman" w:hAnsi="Times New Roman" w:eastAsia="宋体" w:cs="Times New Roman"/>
                <w:color w:val="auto"/>
                <w:szCs w:val="24"/>
                <w:lang w:val="en-US" w:eastAsia="zh-CN"/>
              </w:rPr>
              <w:t>，</w:t>
            </w:r>
            <w:r>
              <w:rPr>
                <w:rFonts w:hint="eastAsia" w:cs="Times New Roman"/>
                <w:color w:val="auto"/>
                <w:szCs w:val="24"/>
                <w:lang w:val="en-US" w:eastAsia="zh-CN"/>
              </w:rPr>
              <w:t>现有项目铝棒为5系、6系及7系合金，执行标准为《变形铝及铝合金化学成分》（GB/T 3190-2020）</w:t>
            </w:r>
            <w:r>
              <w:rPr>
                <w:rFonts w:hint="eastAsia"/>
                <w:b w:val="0"/>
                <w:color w:val="auto"/>
                <w:kern w:val="0"/>
                <w:szCs w:val="24"/>
                <w:lang w:val="en-US" w:eastAsia="zh-CN"/>
              </w:rPr>
              <w:t>。</w:t>
            </w:r>
            <w:r>
              <w:rPr>
                <w:rFonts w:hint="eastAsia" w:ascii="Times New Roman" w:hAnsi="Times New Roman" w:eastAsia="宋体" w:cs="Times New Roman"/>
                <w:color w:val="auto"/>
                <w:szCs w:val="24"/>
                <w:lang w:val="en-US" w:eastAsia="zh-CN"/>
              </w:rPr>
              <w:t>本环评</w:t>
            </w:r>
            <w:r>
              <w:rPr>
                <w:rFonts w:hint="eastAsia" w:cs="Times New Roman"/>
                <w:color w:val="auto"/>
                <w:szCs w:val="24"/>
                <w:lang w:val="en-US" w:eastAsia="zh-CN"/>
              </w:rPr>
              <w:t>原料来源承诺</w:t>
            </w:r>
            <w:r>
              <w:rPr>
                <w:rFonts w:hint="eastAsia" w:ascii="Times New Roman" w:hAnsi="Times New Roman" w:eastAsia="宋体" w:cs="Times New Roman"/>
                <w:color w:val="auto"/>
                <w:szCs w:val="24"/>
                <w:lang w:val="en-US" w:eastAsia="zh-CN"/>
              </w:rPr>
              <w:t>：</w:t>
            </w:r>
          </w:p>
          <w:p w14:paraId="4A2E7C51">
            <w:pPr>
              <w:ind w:firstLine="480"/>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（1）</w:t>
            </w:r>
            <w:r>
              <w:rPr>
                <w:rFonts w:hint="eastAsia" w:cs="Times New Roman"/>
                <w:color w:val="auto"/>
                <w:szCs w:val="24"/>
                <w:lang w:val="en-US" w:eastAsia="zh-CN"/>
              </w:rPr>
              <w:t>原料</w:t>
            </w:r>
            <w:r>
              <w:rPr>
                <w:rFonts w:hint="eastAsia" w:ascii="Times New Roman" w:hAnsi="Times New Roman" w:eastAsia="宋体" w:cs="Times New Roman"/>
                <w:color w:val="auto"/>
                <w:szCs w:val="24"/>
                <w:lang w:val="en-US" w:eastAsia="zh-CN"/>
              </w:rPr>
              <w:t>来源。</w:t>
            </w:r>
            <w:r>
              <w:rPr>
                <w:rFonts w:hint="eastAsia" w:cs="Times New Roman"/>
                <w:color w:val="auto"/>
                <w:szCs w:val="24"/>
                <w:lang w:val="en-US" w:eastAsia="zh-CN"/>
              </w:rPr>
              <w:t>根据《固体废物鉴别标准 通则（GB34330-2017）》中4.2节，在物质破碎、粉碎、筛分、碾磨、切割、包装等加工处理过程中产生的不能直接作为产品或原材料的可定义为固废；现有项目挤压生产线铝棒剪切和锯切料头可直接作为本项目原料，不属于固体废物，</w:t>
            </w:r>
            <w:r>
              <w:rPr>
                <w:rFonts w:hint="eastAsia" w:ascii="Times New Roman" w:hAnsi="Times New Roman" w:eastAsia="宋体" w:cs="Times New Roman"/>
                <w:color w:val="auto"/>
                <w:szCs w:val="24"/>
                <w:lang w:val="en-US" w:eastAsia="zh-CN"/>
              </w:rPr>
              <w:t>铝原料</w:t>
            </w:r>
            <w:r>
              <w:rPr>
                <w:rFonts w:hint="eastAsia" w:cs="Times New Roman"/>
                <w:color w:val="auto"/>
                <w:szCs w:val="24"/>
                <w:lang w:val="en-US" w:eastAsia="zh-CN"/>
              </w:rPr>
              <w:t>均</w:t>
            </w:r>
            <w:r>
              <w:rPr>
                <w:rFonts w:hint="eastAsia" w:ascii="Times New Roman" w:hAnsi="Times New Roman" w:eastAsia="宋体" w:cs="Times New Roman"/>
                <w:color w:val="auto"/>
                <w:szCs w:val="24"/>
                <w:lang w:val="en-US" w:eastAsia="zh-CN"/>
              </w:rPr>
              <w:t>来自</w:t>
            </w:r>
            <w:r>
              <w:rPr>
                <w:rFonts w:hint="eastAsia"/>
                <w:color w:val="auto"/>
                <w:szCs w:val="24"/>
                <w:lang w:val="en-US" w:eastAsia="zh-CN"/>
              </w:rPr>
              <w:t>现有</w:t>
            </w:r>
            <w:r>
              <w:rPr>
                <w:rFonts w:hint="eastAsia"/>
                <w:bCs/>
                <w:color w:val="auto"/>
                <w:szCs w:val="24"/>
              </w:rPr>
              <w:t>年产500万件轨道交通及新能源汽车配件扩规项目</w:t>
            </w:r>
            <w:r>
              <w:rPr>
                <w:rFonts w:hint="eastAsia" w:cs="Times New Roman"/>
                <w:color w:val="auto"/>
                <w:szCs w:val="24"/>
                <w:lang w:val="en-US" w:eastAsia="zh-CN"/>
              </w:rPr>
              <w:t>挤压生产线铝棒剪切和锯切料头，</w:t>
            </w:r>
            <w:r>
              <w:rPr>
                <w:rFonts w:hint="eastAsia"/>
                <w:bCs/>
                <w:color w:val="auto"/>
                <w:szCs w:val="24"/>
                <w:lang w:val="en-US" w:eastAsia="zh-CN"/>
              </w:rPr>
              <w:t>与原</w:t>
            </w:r>
            <w:r>
              <w:rPr>
                <w:rFonts w:hint="eastAsia" w:eastAsia="宋体" w:cs="Times New Roman"/>
                <w:color w:val="auto"/>
                <w:szCs w:val="24"/>
                <w:lang w:val="en-US" w:eastAsia="zh-CN"/>
              </w:rPr>
              <w:t>铝棒的成分一致</w:t>
            </w:r>
            <w:r>
              <w:rPr>
                <w:rFonts w:hint="eastAsia" w:cs="Times New Roman"/>
                <w:color w:val="auto"/>
                <w:szCs w:val="24"/>
                <w:lang w:val="en-US" w:eastAsia="zh-CN"/>
              </w:rPr>
              <w:t>（附承诺书）</w:t>
            </w:r>
            <w:r>
              <w:rPr>
                <w:rFonts w:hint="eastAsia" w:ascii="Times New Roman" w:hAnsi="Times New Roman" w:eastAsia="宋体" w:cs="Times New Roman"/>
                <w:color w:val="auto"/>
                <w:szCs w:val="24"/>
                <w:lang w:val="en-US" w:eastAsia="zh-CN"/>
              </w:rPr>
              <w:t>；</w:t>
            </w:r>
            <w:r>
              <w:rPr>
                <w:rFonts w:hint="eastAsia" w:cs="Times New Roman"/>
                <w:color w:val="auto"/>
                <w:szCs w:val="24"/>
                <w:lang w:val="en-US" w:eastAsia="zh-CN"/>
              </w:rPr>
              <w:t>根据企业提供资料，现有项目铝棒使用量为150000t/a，实际产生的料头约为8%（12000吨），可满足本项目8000t铝原料的需求。</w:t>
            </w:r>
          </w:p>
          <w:p w14:paraId="7654FCA6">
            <w:pPr>
              <w:ind w:firstLine="480"/>
              <w:rPr>
                <w:rFonts w:hint="eastAsia"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（2）</w:t>
            </w:r>
            <w:r>
              <w:rPr>
                <w:rFonts w:hint="eastAsia" w:cs="Times New Roman"/>
                <w:color w:val="auto"/>
                <w:szCs w:val="24"/>
                <w:lang w:val="en-US" w:eastAsia="zh-CN"/>
              </w:rPr>
              <w:t>成分清洁性：本项目所使用</w:t>
            </w:r>
            <w:r>
              <w:rPr>
                <w:rFonts w:hint="eastAsia" w:ascii="Times New Roman" w:hAnsi="Times New Roman" w:eastAsia="宋体" w:cs="Times New Roman"/>
                <w:color w:val="auto"/>
                <w:szCs w:val="24"/>
                <w:lang w:val="en-US" w:eastAsia="zh-CN"/>
              </w:rPr>
              <w:t>铝</w:t>
            </w:r>
            <w:r>
              <w:rPr>
                <w:rFonts w:hint="eastAsia" w:cs="Times New Roman"/>
                <w:color w:val="auto"/>
                <w:szCs w:val="24"/>
                <w:lang w:val="en-US" w:eastAsia="zh-CN"/>
              </w:rPr>
              <w:t>料头为现有</w:t>
            </w:r>
            <w:r>
              <w:rPr>
                <w:rFonts w:hint="eastAsia"/>
                <w:bCs/>
                <w:color w:val="auto"/>
                <w:szCs w:val="24"/>
              </w:rPr>
              <w:t>年产500万件轨道交通及新能源汽车配件扩规项目</w:t>
            </w:r>
            <w:r>
              <w:rPr>
                <w:rFonts w:hint="eastAsia" w:cs="Times New Roman"/>
                <w:color w:val="auto"/>
                <w:szCs w:val="24"/>
                <w:lang w:val="en-US" w:eastAsia="zh-CN"/>
              </w:rPr>
              <w:t>铝棒剪切和锯切料头，工艺流程详见下图。</w:t>
            </w:r>
          </w:p>
          <w:p w14:paraId="4FA300C9">
            <w:pPr>
              <w:jc w:val="center"/>
              <w:rPr>
                <w:rFonts w:hint="eastAsia" w:ascii="Times New Roman" w:hAnsi="Times New Roman" w:eastAsia="宋体" w:cs="Times New Roman"/>
                <w:color w:val="auto"/>
                <w:szCs w:val="24"/>
                <w:lang w:val="en-US" w:eastAsia="zh-CN"/>
              </w:rPr>
            </w:pPr>
            <w:r>
              <w:rPr>
                <w:color w:val="auto"/>
              </w:rPr>
              <w:drawing>
                <wp:inline distT="0" distB="0" distL="114300" distR="114300">
                  <wp:extent cx="4477385" cy="2655570"/>
                  <wp:effectExtent l="0" t="0" r="18415" b="1143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6"/>
                          <a:stretch>
                            <a:fillRect/>
                          </a:stretch>
                        </pic:blipFill>
                        <pic:spPr>
                          <a:xfrm>
                            <a:off x="0" y="0"/>
                            <a:ext cx="4477385" cy="2655570"/>
                          </a:xfrm>
                          <a:prstGeom prst="rect">
                            <a:avLst/>
                          </a:prstGeom>
                          <a:noFill/>
                          <a:ln>
                            <a:noFill/>
                          </a:ln>
                        </pic:spPr>
                      </pic:pic>
                    </a:graphicData>
                  </a:graphic>
                </wp:inline>
              </w:drawing>
            </w:r>
          </w:p>
          <w:p w14:paraId="11522B24">
            <w:pPr>
              <w:jc w:val="center"/>
              <w:rPr>
                <w:rFonts w:hint="default" w:ascii="Times New Roman" w:hAnsi="Times New Roman" w:eastAsia="宋体" w:cs="Times New Roman"/>
                <w:color w:val="auto"/>
                <w:szCs w:val="24"/>
                <w:lang w:val="en-US" w:eastAsia="zh-CN"/>
              </w:rPr>
            </w:pPr>
            <w:r>
              <w:rPr>
                <w:rFonts w:hint="eastAsia" w:ascii="黑体" w:hAnsi="黑体" w:eastAsia="黑体" w:cs="Times New Roman"/>
                <w:color w:val="auto"/>
                <w:szCs w:val="24"/>
                <w:lang w:val="en-US" w:eastAsia="zh-CN"/>
              </w:rPr>
              <w:t>图</w:t>
            </w:r>
            <w:r>
              <w:rPr>
                <w:rFonts w:hint="default" w:ascii="Times New Roman" w:hAnsi="Times New Roman" w:eastAsia="黑体" w:cs="Times New Roman"/>
                <w:color w:val="auto"/>
                <w:szCs w:val="24"/>
                <w:lang w:val="en-US" w:eastAsia="zh-CN"/>
              </w:rPr>
              <w:t>2-</w:t>
            </w:r>
            <w:r>
              <w:rPr>
                <w:rFonts w:hint="eastAsia" w:eastAsia="黑体" w:cs="Times New Roman"/>
                <w:color w:val="auto"/>
                <w:szCs w:val="24"/>
                <w:lang w:val="en-US" w:eastAsia="zh-CN"/>
              </w:rPr>
              <w:t>1</w:t>
            </w:r>
            <w:r>
              <w:rPr>
                <w:rFonts w:hint="default" w:ascii="Times New Roman" w:hAnsi="Times New Roman" w:eastAsia="黑体" w:cs="Times New Roman"/>
                <w:color w:val="auto"/>
                <w:szCs w:val="24"/>
                <w:lang w:val="en-US" w:eastAsia="zh-CN"/>
              </w:rPr>
              <w:t xml:space="preserve"> </w:t>
            </w:r>
            <w:r>
              <w:rPr>
                <w:rFonts w:hint="eastAsia" w:ascii="黑体" w:hAnsi="黑体" w:eastAsia="黑体" w:cs="Times New Roman"/>
                <w:color w:val="auto"/>
                <w:szCs w:val="24"/>
                <w:lang w:val="en-US" w:eastAsia="zh-CN"/>
              </w:rPr>
              <w:t xml:space="preserve"> 现有</w:t>
            </w:r>
            <w:r>
              <w:rPr>
                <w:rFonts w:hint="default" w:ascii="黑体" w:hAnsi="黑体" w:eastAsia="黑体" w:cs="Times New Roman"/>
                <w:color w:val="auto"/>
                <w:szCs w:val="24"/>
                <w:lang w:val="en-US" w:eastAsia="zh-CN"/>
              </w:rPr>
              <w:t>项目挤压生产线</w:t>
            </w:r>
            <w:r>
              <w:rPr>
                <w:rFonts w:hint="eastAsia" w:ascii="黑体" w:hAnsi="黑体" w:eastAsia="黑体" w:cs="Times New Roman"/>
                <w:color w:val="auto"/>
                <w:szCs w:val="24"/>
                <w:lang w:val="en-US" w:eastAsia="zh-CN"/>
              </w:rPr>
              <w:t>工艺流程</w:t>
            </w:r>
          </w:p>
          <w:p w14:paraId="599E7C87">
            <w:pPr>
              <w:ind w:firstLine="480"/>
              <w:rPr>
                <w:rFonts w:hint="eastAsia"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本项目天然气用量情况见下表：</w:t>
            </w:r>
          </w:p>
          <w:p w14:paraId="32D9E160">
            <w:pPr>
              <w:jc w:val="center"/>
              <w:rPr>
                <w:rFonts w:hint="eastAsia" w:ascii="Times New Roman" w:hAnsi="Times New Roman" w:eastAsia="宋体" w:cs="Times New Roman"/>
                <w:color w:val="auto"/>
                <w:szCs w:val="24"/>
                <w:lang w:val="en-US" w:eastAsia="zh-CN"/>
              </w:rPr>
            </w:pPr>
            <w:r>
              <w:rPr>
                <w:rFonts w:hint="default" w:ascii="黑体" w:hAnsi="黑体" w:eastAsia="黑体" w:cs="Times New Roman"/>
                <w:color w:val="auto"/>
                <w:szCs w:val="24"/>
                <w:lang w:val="en-US" w:eastAsia="zh-CN"/>
              </w:rPr>
              <w:t>表</w:t>
            </w:r>
            <w:r>
              <w:rPr>
                <w:rFonts w:hint="default" w:ascii="Times New Roman" w:hAnsi="Times New Roman" w:eastAsia="黑体" w:cs="Times New Roman"/>
                <w:color w:val="auto"/>
                <w:szCs w:val="24"/>
                <w:lang w:val="en-US" w:eastAsia="zh-CN"/>
              </w:rPr>
              <w:t>2-</w:t>
            </w:r>
            <w:r>
              <w:rPr>
                <w:rFonts w:hint="eastAsia" w:eastAsia="黑体" w:cs="Times New Roman"/>
                <w:color w:val="auto"/>
                <w:szCs w:val="24"/>
                <w:lang w:val="en-US" w:eastAsia="zh-CN"/>
              </w:rPr>
              <w:t>9</w:t>
            </w:r>
            <w:r>
              <w:rPr>
                <w:rFonts w:hint="default" w:ascii="Times New Roman" w:hAnsi="Times New Roman" w:eastAsia="黑体" w:cs="Times New Roman"/>
                <w:color w:val="auto"/>
                <w:szCs w:val="24"/>
                <w:lang w:val="en-US" w:eastAsia="zh-CN"/>
              </w:rPr>
              <w:t xml:space="preserve"> </w:t>
            </w:r>
            <w:r>
              <w:rPr>
                <w:rFonts w:hint="eastAsia" w:ascii="黑体" w:hAnsi="黑体" w:eastAsia="黑体" w:cs="Times New Roman"/>
                <w:color w:val="auto"/>
                <w:szCs w:val="24"/>
                <w:lang w:val="en-US" w:eastAsia="zh-CN"/>
              </w:rPr>
              <w:t xml:space="preserve"> </w:t>
            </w:r>
            <w:r>
              <w:rPr>
                <w:rFonts w:hint="default" w:ascii="黑体" w:hAnsi="黑体" w:eastAsia="黑体" w:cs="Times New Roman"/>
                <w:color w:val="auto"/>
                <w:szCs w:val="24"/>
                <w:lang w:val="en-US" w:eastAsia="zh-CN"/>
              </w:rPr>
              <w:t>项目使用天然气</w:t>
            </w:r>
            <w:r>
              <w:rPr>
                <w:rFonts w:hint="eastAsia" w:ascii="黑体" w:hAnsi="黑体" w:eastAsia="黑体" w:cs="Times New Roman"/>
                <w:color w:val="auto"/>
                <w:szCs w:val="24"/>
                <w:lang w:val="en-US" w:eastAsia="zh-CN"/>
              </w:rPr>
              <w:t>用量</w:t>
            </w:r>
            <w:r>
              <w:rPr>
                <w:rFonts w:hint="default" w:ascii="黑体" w:hAnsi="黑体" w:eastAsia="黑体" w:cs="Times New Roman"/>
                <w:color w:val="auto"/>
                <w:szCs w:val="24"/>
                <w:lang w:val="en-US" w:eastAsia="zh-CN"/>
              </w:rPr>
              <w:t>一览表</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2"/>
              <w:gridCol w:w="3161"/>
              <w:gridCol w:w="3531"/>
            </w:tblGrid>
            <w:tr w14:paraId="7FB2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2382" w:type="dxa"/>
                  <w:vAlign w:val="center"/>
                </w:tcPr>
                <w:p w14:paraId="7DB4A3C6">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工艺</w:t>
                  </w:r>
                </w:p>
              </w:tc>
              <w:tc>
                <w:tcPr>
                  <w:tcW w:w="3161" w:type="dxa"/>
                  <w:vAlign w:val="center"/>
                </w:tcPr>
                <w:p w14:paraId="66C92016">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设备</w:t>
                  </w:r>
                </w:p>
              </w:tc>
              <w:tc>
                <w:tcPr>
                  <w:tcW w:w="3531" w:type="dxa"/>
                  <w:vAlign w:val="center"/>
                </w:tcPr>
                <w:p w14:paraId="004CD56B">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用量</w:t>
                  </w:r>
                </w:p>
              </w:tc>
            </w:tr>
            <w:tr w14:paraId="70ED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2382" w:type="dxa"/>
                  <w:vAlign w:val="center"/>
                </w:tcPr>
                <w:p w14:paraId="44B44955">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ascii="Times New Roman" w:hAnsi="Times New Roman" w:eastAsia="宋体" w:cs="宋体"/>
                      <w:color w:val="auto"/>
                      <w:kern w:val="2"/>
                      <w:sz w:val="18"/>
                      <w:szCs w:val="18"/>
                      <w:lang w:val="en-US" w:eastAsia="zh-CN" w:bidi="ar-SA"/>
                    </w:rPr>
                    <w:t>熔炼</w:t>
                  </w:r>
                </w:p>
              </w:tc>
              <w:tc>
                <w:tcPr>
                  <w:tcW w:w="3161" w:type="dxa"/>
                  <w:vAlign w:val="center"/>
                </w:tcPr>
                <w:p w14:paraId="79A7D581">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集中熔铝炉</w:t>
                  </w:r>
                </w:p>
              </w:tc>
              <w:tc>
                <w:tcPr>
                  <w:tcW w:w="3531" w:type="dxa"/>
                  <w:vAlign w:val="center"/>
                </w:tcPr>
                <w:p w14:paraId="047C140D">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39万</w:t>
                  </w:r>
                  <w:r>
                    <w:rPr>
                      <w:rFonts w:hint="eastAsia"/>
                      <w:color w:val="auto"/>
                      <w:kern w:val="0"/>
                      <w:sz w:val="18"/>
                      <w:szCs w:val="18"/>
                      <w:lang w:val="en-US" w:eastAsia="zh-CN" w:bidi="ar"/>
                    </w:rPr>
                    <w:t>m</w:t>
                  </w:r>
                  <w:r>
                    <w:rPr>
                      <w:rFonts w:hint="eastAsia"/>
                      <w:color w:val="auto"/>
                      <w:kern w:val="0"/>
                      <w:sz w:val="18"/>
                      <w:szCs w:val="18"/>
                      <w:vertAlign w:val="superscript"/>
                      <w:lang w:val="en-US" w:eastAsia="zh-CN" w:bidi="ar"/>
                    </w:rPr>
                    <w:t>3</w:t>
                  </w:r>
                  <w:r>
                    <w:rPr>
                      <w:rFonts w:hint="eastAsia"/>
                      <w:color w:val="auto"/>
                      <w:kern w:val="0"/>
                      <w:sz w:val="18"/>
                      <w:szCs w:val="18"/>
                      <w:vertAlign w:val="baseline"/>
                      <w:lang w:val="en-US" w:eastAsia="zh-CN" w:bidi="ar"/>
                    </w:rPr>
                    <w:t>/a</w:t>
                  </w:r>
                </w:p>
              </w:tc>
            </w:tr>
          </w:tbl>
          <w:p w14:paraId="6EE12F7B">
            <w:pPr>
              <w:jc w:val="center"/>
              <w:rPr>
                <w:rFonts w:hint="eastAsia" w:ascii="Times New Roman" w:hAnsi="Times New Roman" w:eastAsia="宋体" w:cs="Times New Roman"/>
                <w:color w:val="auto"/>
                <w:szCs w:val="24"/>
                <w:lang w:val="en-US" w:eastAsia="zh-CN"/>
              </w:rPr>
            </w:pPr>
            <w:r>
              <w:rPr>
                <w:rFonts w:hint="default" w:ascii="黑体" w:hAnsi="黑体" w:eastAsia="黑体" w:cs="Times New Roman"/>
                <w:color w:val="auto"/>
                <w:szCs w:val="24"/>
                <w:lang w:val="en-US" w:eastAsia="zh-CN"/>
              </w:rPr>
              <w:t>表</w:t>
            </w:r>
            <w:r>
              <w:rPr>
                <w:rFonts w:hint="default" w:ascii="Times New Roman" w:hAnsi="Times New Roman" w:eastAsia="黑体" w:cs="Times New Roman"/>
                <w:color w:val="auto"/>
                <w:szCs w:val="24"/>
                <w:lang w:val="en-US" w:eastAsia="zh-CN"/>
              </w:rPr>
              <w:t>2-</w:t>
            </w:r>
            <w:r>
              <w:rPr>
                <w:rFonts w:hint="eastAsia" w:eastAsia="黑体" w:cs="Times New Roman"/>
                <w:color w:val="auto"/>
                <w:szCs w:val="24"/>
                <w:lang w:val="en-US" w:eastAsia="zh-CN"/>
              </w:rPr>
              <w:t>10</w:t>
            </w:r>
            <w:r>
              <w:rPr>
                <w:rFonts w:hint="default" w:ascii="Times New Roman" w:hAnsi="Times New Roman" w:eastAsia="黑体" w:cs="Times New Roman"/>
                <w:color w:val="auto"/>
                <w:szCs w:val="24"/>
                <w:lang w:val="en-US" w:eastAsia="zh-CN"/>
              </w:rPr>
              <w:t xml:space="preserve"> </w:t>
            </w:r>
            <w:r>
              <w:rPr>
                <w:rFonts w:hint="eastAsia" w:ascii="黑体" w:hAnsi="黑体" w:eastAsia="黑体" w:cs="Times New Roman"/>
                <w:color w:val="auto"/>
                <w:szCs w:val="24"/>
                <w:lang w:val="en-US" w:eastAsia="zh-CN"/>
              </w:rPr>
              <w:t xml:space="preserve"> 高端工业铝材浇铸件物料平衡</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2001"/>
              <w:gridCol w:w="2001"/>
              <w:gridCol w:w="2001"/>
              <w:gridCol w:w="2003"/>
            </w:tblGrid>
            <w:tr w14:paraId="27B0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068" w:type="dxa"/>
                  <w:vMerge w:val="restart"/>
                  <w:vAlign w:val="center"/>
                </w:tcPr>
                <w:p w14:paraId="11062D00">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序号</w:t>
                  </w:r>
                </w:p>
              </w:tc>
              <w:tc>
                <w:tcPr>
                  <w:tcW w:w="4002" w:type="dxa"/>
                  <w:gridSpan w:val="2"/>
                  <w:vAlign w:val="center"/>
                </w:tcPr>
                <w:p w14:paraId="289C9CAA">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物料投入</w:t>
                  </w:r>
                </w:p>
              </w:tc>
              <w:tc>
                <w:tcPr>
                  <w:tcW w:w="4004" w:type="dxa"/>
                  <w:gridSpan w:val="2"/>
                  <w:vAlign w:val="center"/>
                </w:tcPr>
                <w:p w14:paraId="335D7AFA">
                  <w:pPr>
                    <w:widowControl/>
                    <w:spacing w:line="240" w:lineRule="auto"/>
                    <w:jc w:val="center"/>
                    <w:textAlignment w:val="center"/>
                    <w:rPr>
                      <w:rFonts w:hint="eastAsia" w:cs="宋体"/>
                      <w:color w:val="auto"/>
                      <w:kern w:val="2"/>
                      <w:sz w:val="18"/>
                      <w:szCs w:val="18"/>
                      <w:lang w:val="en-US" w:eastAsia="zh-CN" w:bidi="ar-SA"/>
                    </w:rPr>
                  </w:pPr>
                  <w:r>
                    <w:rPr>
                      <w:rFonts w:hint="eastAsia" w:cs="宋体"/>
                      <w:color w:val="auto"/>
                      <w:kern w:val="2"/>
                      <w:sz w:val="18"/>
                      <w:szCs w:val="18"/>
                      <w:lang w:val="en-US" w:eastAsia="zh-CN" w:bidi="ar-SA"/>
                    </w:rPr>
                    <w:t>产出</w:t>
                  </w:r>
                </w:p>
              </w:tc>
            </w:tr>
            <w:tr w14:paraId="7B9D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Merge w:val="continue"/>
                  <w:vAlign w:val="center"/>
                </w:tcPr>
                <w:p w14:paraId="30878B8F">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p>
              </w:tc>
              <w:tc>
                <w:tcPr>
                  <w:tcW w:w="2001" w:type="dxa"/>
                  <w:vAlign w:val="center"/>
                </w:tcPr>
                <w:p w14:paraId="3DCB61AA">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物料名称</w:t>
                  </w:r>
                </w:p>
              </w:tc>
              <w:tc>
                <w:tcPr>
                  <w:tcW w:w="2001" w:type="dxa"/>
                  <w:vAlign w:val="center"/>
                </w:tcPr>
                <w:p w14:paraId="30E877CD">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用量t/a</w:t>
                  </w:r>
                </w:p>
              </w:tc>
              <w:tc>
                <w:tcPr>
                  <w:tcW w:w="2001" w:type="dxa"/>
                  <w:vAlign w:val="center"/>
                </w:tcPr>
                <w:p w14:paraId="2DE71E2E">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产出名称</w:t>
                  </w:r>
                </w:p>
              </w:tc>
              <w:tc>
                <w:tcPr>
                  <w:tcW w:w="2003" w:type="dxa"/>
                  <w:vAlign w:val="center"/>
                </w:tcPr>
                <w:p w14:paraId="22D078AA">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产生量t/a</w:t>
                  </w:r>
                </w:p>
              </w:tc>
            </w:tr>
            <w:tr w14:paraId="43C17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Align w:val="center"/>
                </w:tcPr>
                <w:p w14:paraId="6686F279">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1</w:t>
                  </w:r>
                </w:p>
              </w:tc>
              <w:tc>
                <w:tcPr>
                  <w:tcW w:w="2001" w:type="dxa"/>
                  <w:vAlign w:val="center"/>
                </w:tcPr>
                <w:p w14:paraId="07D684DC">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铝料头</w:t>
                  </w:r>
                </w:p>
              </w:tc>
              <w:tc>
                <w:tcPr>
                  <w:tcW w:w="2001" w:type="dxa"/>
                  <w:vAlign w:val="center"/>
                </w:tcPr>
                <w:p w14:paraId="7EEFB6D7">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8000</w:t>
                  </w:r>
                </w:p>
              </w:tc>
              <w:tc>
                <w:tcPr>
                  <w:tcW w:w="2001" w:type="dxa"/>
                  <w:vAlign w:val="center"/>
                </w:tcPr>
                <w:p w14:paraId="7D2F509B">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铝材浇铸件</w:t>
                  </w:r>
                </w:p>
              </w:tc>
              <w:tc>
                <w:tcPr>
                  <w:tcW w:w="2003" w:type="dxa"/>
                  <w:vAlign w:val="center"/>
                </w:tcPr>
                <w:p w14:paraId="2E600985">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8000</w:t>
                  </w:r>
                </w:p>
              </w:tc>
            </w:tr>
            <w:tr w14:paraId="28192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Align w:val="center"/>
                </w:tcPr>
                <w:p w14:paraId="07871C80">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2</w:t>
                  </w:r>
                </w:p>
              </w:tc>
              <w:tc>
                <w:tcPr>
                  <w:tcW w:w="2001" w:type="dxa"/>
                  <w:vAlign w:val="center"/>
                </w:tcPr>
                <w:p w14:paraId="5D556EEF">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铝锭</w:t>
                  </w:r>
                </w:p>
              </w:tc>
              <w:tc>
                <w:tcPr>
                  <w:tcW w:w="2001" w:type="dxa"/>
                  <w:vAlign w:val="center"/>
                </w:tcPr>
                <w:p w14:paraId="44E20EFE">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385</w:t>
                  </w:r>
                </w:p>
              </w:tc>
              <w:tc>
                <w:tcPr>
                  <w:tcW w:w="2001" w:type="dxa"/>
                  <w:vAlign w:val="center"/>
                </w:tcPr>
                <w:p w14:paraId="68C2EE9C">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颗粒物</w:t>
                  </w:r>
                </w:p>
              </w:tc>
              <w:tc>
                <w:tcPr>
                  <w:tcW w:w="2003" w:type="dxa"/>
                  <w:vAlign w:val="center"/>
                </w:tcPr>
                <w:p w14:paraId="529EF032">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8.68</w:t>
                  </w:r>
                </w:p>
              </w:tc>
            </w:tr>
            <w:tr w14:paraId="7169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Align w:val="center"/>
                </w:tcPr>
                <w:p w14:paraId="670B5887">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3</w:t>
                  </w:r>
                </w:p>
              </w:tc>
              <w:tc>
                <w:tcPr>
                  <w:tcW w:w="2001" w:type="dxa"/>
                  <w:vAlign w:val="center"/>
                </w:tcPr>
                <w:p w14:paraId="343D387B">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除渣剂</w:t>
                  </w:r>
                </w:p>
              </w:tc>
              <w:tc>
                <w:tcPr>
                  <w:tcW w:w="2001" w:type="dxa"/>
                  <w:vAlign w:val="center"/>
                </w:tcPr>
                <w:p w14:paraId="4C421AF9">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0.2</w:t>
                  </w:r>
                </w:p>
              </w:tc>
              <w:tc>
                <w:tcPr>
                  <w:tcW w:w="2001" w:type="dxa"/>
                  <w:vAlign w:val="center"/>
                </w:tcPr>
                <w:p w14:paraId="76D451E2">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铝灰渣</w:t>
                  </w:r>
                </w:p>
              </w:tc>
              <w:tc>
                <w:tcPr>
                  <w:tcW w:w="2003" w:type="dxa"/>
                  <w:vAlign w:val="center"/>
                </w:tcPr>
                <w:p w14:paraId="7191BFBA">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120</w:t>
                  </w:r>
                </w:p>
              </w:tc>
            </w:tr>
            <w:tr w14:paraId="36C2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Align w:val="center"/>
                </w:tcPr>
                <w:p w14:paraId="6A20F828">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4</w:t>
                  </w:r>
                </w:p>
              </w:tc>
              <w:tc>
                <w:tcPr>
                  <w:tcW w:w="2001" w:type="dxa"/>
                  <w:vAlign w:val="center"/>
                </w:tcPr>
                <w:p w14:paraId="4C884806">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w:t>
                  </w:r>
                </w:p>
              </w:tc>
              <w:tc>
                <w:tcPr>
                  <w:tcW w:w="2001" w:type="dxa"/>
                  <w:vAlign w:val="center"/>
                </w:tcPr>
                <w:p w14:paraId="40F8F2D5">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w:t>
                  </w:r>
                </w:p>
              </w:tc>
              <w:tc>
                <w:tcPr>
                  <w:tcW w:w="2001" w:type="dxa"/>
                  <w:vAlign w:val="center"/>
                </w:tcPr>
                <w:p w14:paraId="6A2EF233">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边角料</w:t>
                  </w:r>
                </w:p>
              </w:tc>
              <w:tc>
                <w:tcPr>
                  <w:tcW w:w="2003" w:type="dxa"/>
                  <w:vAlign w:val="center"/>
                </w:tcPr>
                <w:p w14:paraId="466157D6">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240</w:t>
                  </w:r>
                </w:p>
              </w:tc>
            </w:tr>
            <w:tr w14:paraId="017E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Align w:val="center"/>
                </w:tcPr>
                <w:p w14:paraId="2859985E">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5</w:t>
                  </w:r>
                </w:p>
              </w:tc>
              <w:tc>
                <w:tcPr>
                  <w:tcW w:w="2001" w:type="dxa"/>
                  <w:vAlign w:val="center"/>
                </w:tcPr>
                <w:p w14:paraId="2F996C4E">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w:t>
                  </w:r>
                </w:p>
              </w:tc>
              <w:tc>
                <w:tcPr>
                  <w:tcW w:w="2001" w:type="dxa"/>
                  <w:vAlign w:val="center"/>
                </w:tcPr>
                <w:p w14:paraId="263FADAB">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w:t>
                  </w:r>
                </w:p>
              </w:tc>
              <w:tc>
                <w:tcPr>
                  <w:tcW w:w="2001" w:type="dxa"/>
                  <w:vAlign w:val="center"/>
                </w:tcPr>
                <w:p w14:paraId="54A931F1">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不合格品</w:t>
                  </w:r>
                </w:p>
              </w:tc>
              <w:tc>
                <w:tcPr>
                  <w:tcW w:w="2003" w:type="dxa"/>
                  <w:vAlign w:val="center"/>
                </w:tcPr>
                <w:p w14:paraId="1916F3AC">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16</w:t>
                  </w:r>
                </w:p>
              </w:tc>
            </w:tr>
            <w:tr w14:paraId="132E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068" w:type="dxa"/>
                  <w:vAlign w:val="center"/>
                </w:tcPr>
                <w:p w14:paraId="63C5F2B5">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w:t>
                  </w:r>
                </w:p>
              </w:tc>
              <w:tc>
                <w:tcPr>
                  <w:tcW w:w="2001" w:type="dxa"/>
                  <w:vAlign w:val="center"/>
                </w:tcPr>
                <w:p w14:paraId="26025156">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合计</w:t>
                  </w:r>
                </w:p>
              </w:tc>
              <w:tc>
                <w:tcPr>
                  <w:tcW w:w="2001" w:type="dxa"/>
                  <w:vAlign w:val="center"/>
                </w:tcPr>
                <w:p w14:paraId="0088926F">
                  <w:pPr>
                    <w:widowControl/>
                    <w:spacing w:line="240" w:lineRule="auto"/>
                    <w:jc w:val="center"/>
                    <w:textAlignment w:val="center"/>
                    <w:rPr>
                      <w:rFonts w:hint="eastAsia" w:cs="宋体"/>
                      <w:color w:val="auto"/>
                      <w:kern w:val="2"/>
                      <w:sz w:val="18"/>
                      <w:szCs w:val="18"/>
                      <w:lang w:val="en-US" w:eastAsia="zh-CN" w:bidi="ar-SA"/>
                    </w:rPr>
                  </w:pPr>
                  <w:r>
                    <w:rPr>
                      <w:rFonts w:hint="eastAsia" w:cs="宋体"/>
                      <w:color w:val="auto"/>
                      <w:kern w:val="2"/>
                      <w:sz w:val="18"/>
                      <w:szCs w:val="18"/>
                      <w:lang w:val="en-US" w:eastAsia="zh-CN" w:bidi="ar-SA"/>
                    </w:rPr>
                    <w:t>8385.2</w:t>
                  </w:r>
                </w:p>
              </w:tc>
              <w:tc>
                <w:tcPr>
                  <w:tcW w:w="2001" w:type="dxa"/>
                  <w:vAlign w:val="center"/>
                </w:tcPr>
                <w:p w14:paraId="213C9495">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合计</w:t>
                  </w:r>
                </w:p>
              </w:tc>
              <w:tc>
                <w:tcPr>
                  <w:tcW w:w="2003" w:type="dxa"/>
                  <w:vAlign w:val="center"/>
                </w:tcPr>
                <w:p w14:paraId="2AA10E04">
                  <w:pPr>
                    <w:widowControl/>
                    <w:spacing w:line="240" w:lineRule="auto"/>
                    <w:jc w:val="center"/>
                    <w:textAlignment w:val="center"/>
                    <w:rPr>
                      <w:rFonts w:hint="default" w:cs="宋体"/>
                      <w:color w:val="auto"/>
                      <w:kern w:val="2"/>
                      <w:sz w:val="18"/>
                      <w:szCs w:val="18"/>
                      <w:lang w:val="en-US" w:eastAsia="zh-CN" w:bidi="ar-SA"/>
                    </w:rPr>
                  </w:pPr>
                  <w:r>
                    <w:rPr>
                      <w:rFonts w:hint="eastAsia" w:cs="宋体"/>
                      <w:color w:val="auto"/>
                      <w:kern w:val="2"/>
                      <w:sz w:val="18"/>
                      <w:szCs w:val="18"/>
                      <w:lang w:val="en-US" w:eastAsia="zh-CN" w:bidi="ar-SA"/>
                    </w:rPr>
                    <w:t>8384.68</w:t>
                  </w:r>
                </w:p>
              </w:tc>
            </w:tr>
          </w:tbl>
          <w:p w14:paraId="5442E923">
            <w:pPr>
              <w:ind w:firstLine="480" w:firstLineChars="200"/>
              <w:rPr>
                <w:rFonts w:hint="eastAsia"/>
                <w:color w:val="auto"/>
                <w:szCs w:val="24"/>
                <w:lang w:val="en-US" w:eastAsia="zh-CN"/>
              </w:rPr>
            </w:pPr>
            <w:r>
              <w:rPr>
                <w:rFonts w:hint="eastAsia"/>
                <w:color w:val="auto"/>
                <w:szCs w:val="24"/>
                <w:lang w:val="en-US" w:eastAsia="zh-CN"/>
              </w:rPr>
              <w:t>根据上表分析，建设单位提供的物料投入量与产出量基本符合生产产品物料平衡。</w:t>
            </w:r>
          </w:p>
          <w:p w14:paraId="4FBD81B3">
            <w:pPr>
              <w:rPr>
                <w:b/>
                <w:color w:val="auto"/>
                <w:szCs w:val="24"/>
              </w:rPr>
            </w:pPr>
            <w:r>
              <w:rPr>
                <w:rFonts w:hint="eastAsia"/>
                <w:b/>
                <w:color w:val="auto"/>
                <w:szCs w:val="24"/>
                <w:lang w:val="en-US" w:eastAsia="zh-CN"/>
              </w:rPr>
              <w:t>7</w:t>
            </w:r>
            <w:r>
              <w:rPr>
                <w:rFonts w:hint="eastAsia"/>
                <w:b/>
                <w:color w:val="auto"/>
                <w:szCs w:val="24"/>
              </w:rPr>
              <w:t>、劳动定员</w:t>
            </w:r>
          </w:p>
          <w:p w14:paraId="7840AE41">
            <w:pPr>
              <w:ind w:firstLine="480" w:firstLineChars="200"/>
              <w:rPr>
                <w:color w:val="auto"/>
                <w:szCs w:val="24"/>
              </w:rPr>
            </w:pPr>
            <w:bookmarkStart w:id="27" w:name="_Hlk109726366"/>
            <w:r>
              <w:rPr>
                <w:rFonts w:hint="eastAsia"/>
                <w:color w:val="auto"/>
                <w:szCs w:val="24"/>
              </w:rPr>
              <w:t>现有</w:t>
            </w:r>
            <w:r>
              <w:rPr>
                <w:color w:val="auto"/>
                <w:szCs w:val="24"/>
              </w:rPr>
              <w:t>项目</w:t>
            </w:r>
            <w:r>
              <w:rPr>
                <w:rFonts w:hint="eastAsia"/>
                <w:color w:val="auto"/>
                <w:szCs w:val="24"/>
              </w:rPr>
              <w:t>劳动定员</w:t>
            </w:r>
            <w:r>
              <w:rPr>
                <w:rFonts w:hint="eastAsia"/>
                <w:color w:val="auto"/>
                <w:szCs w:val="24"/>
                <w:lang w:val="en-US" w:eastAsia="zh-CN"/>
              </w:rPr>
              <w:t>800</w:t>
            </w:r>
            <w:r>
              <w:rPr>
                <w:color w:val="auto"/>
                <w:szCs w:val="24"/>
              </w:rPr>
              <w:t>人，</w:t>
            </w:r>
            <w:r>
              <w:rPr>
                <w:rFonts w:hint="eastAsia"/>
                <w:color w:val="auto"/>
                <w:szCs w:val="24"/>
              </w:rPr>
              <w:t>本项目新增员工</w:t>
            </w:r>
            <w:r>
              <w:rPr>
                <w:rFonts w:hint="eastAsia"/>
                <w:color w:val="auto"/>
                <w:szCs w:val="24"/>
                <w:lang w:val="en-US" w:eastAsia="zh-CN"/>
              </w:rPr>
              <w:t>3</w:t>
            </w:r>
            <w:r>
              <w:rPr>
                <w:rFonts w:hint="eastAsia"/>
                <w:color w:val="auto"/>
                <w:szCs w:val="24"/>
              </w:rPr>
              <w:t>0人，</w:t>
            </w:r>
            <w:r>
              <w:rPr>
                <w:rFonts w:hint="eastAsia"/>
                <w:color w:val="auto"/>
                <w:szCs w:val="24"/>
                <w:lang w:val="en-US" w:eastAsia="zh-CN"/>
              </w:rPr>
              <w:t>改</w:t>
            </w:r>
            <w:r>
              <w:rPr>
                <w:rFonts w:hint="eastAsia"/>
                <w:color w:val="auto"/>
                <w:szCs w:val="24"/>
              </w:rPr>
              <w:t>建后全厂员工共</w:t>
            </w:r>
            <w:r>
              <w:rPr>
                <w:rFonts w:hint="eastAsia"/>
                <w:color w:val="auto"/>
                <w:szCs w:val="24"/>
                <w:lang w:val="en-US" w:eastAsia="zh-CN"/>
              </w:rPr>
              <w:t>830</w:t>
            </w:r>
            <w:r>
              <w:rPr>
                <w:rFonts w:hint="eastAsia"/>
                <w:color w:val="auto"/>
                <w:szCs w:val="24"/>
              </w:rPr>
              <w:t>人</w:t>
            </w:r>
            <w:r>
              <w:rPr>
                <w:rFonts w:hint="eastAsia"/>
                <w:color w:val="auto"/>
                <w:szCs w:val="24"/>
                <w:lang w:eastAsia="zh-CN"/>
              </w:rPr>
              <w:t>，</w:t>
            </w:r>
            <w:r>
              <w:rPr>
                <w:rFonts w:hint="eastAsia"/>
                <w:color w:val="auto"/>
                <w:szCs w:val="24"/>
                <w:lang w:val="en-US" w:eastAsia="zh-CN"/>
              </w:rPr>
              <w:t>本项目依托现有食堂及倒班房</w:t>
            </w:r>
            <w:r>
              <w:rPr>
                <w:rFonts w:hint="eastAsia"/>
                <w:color w:val="auto"/>
                <w:szCs w:val="24"/>
              </w:rPr>
              <w:t>。全厂额定年工作300天，实行</w:t>
            </w:r>
            <w:r>
              <w:rPr>
                <w:rFonts w:hint="eastAsia"/>
                <w:color w:val="auto"/>
                <w:szCs w:val="24"/>
                <w:lang w:val="en-US" w:eastAsia="zh-CN"/>
              </w:rPr>
              <w:t>两</w:t>
            </w:r>
            <w:r>
              <w:rPr>
                <w:rFonts w:hint="eastAsia"/>
                <w:color w:val="auto"/>
                <w:szCs w:val="24"/>
              </w:rPr>
              <w:t>班制，每班</w:t>
            </w:r>
            <w:r>
              <w:rPr>
                <w:color w:val="auto"/>
                <w:szCs w:val="24"/>
              </w:rPr>
              <w:t>8</w:t>
            </w:r>
            <w:r>
              <w:rPr>
                <w:rFonts w:hint="eastAsia"/>
                <w:color w:val="auto"/>
                <w:szCs w:val="24"/>
              </w:rPr>
              <w:t>小时，</w:t>
            </w:r>
            <w:r>
              <w:rPr>
                <w:rFonts w:hint="eastAsia"/>
                <w:color w:val="auto"/>
                <w:szCs w:val="24"/>
                <w:lang w:val="en-US" w:eastAsia="zh-CN"/>
              </w:rPr>
              <w:t>年工作时间4800h</w:t>
            </w:r>
            <w:r>
              <w:rPr>
                <w:rFonts w:hint="eastAsia"/>
                <w:color w:val="auto"/>
                <w:szCs w:val="24"/>
              </w:rPr>
              <w:t>。</w:t>
            </w:r>
          </w:p>
          <w:bookmarkEnd w:id="27"/>
          <w:p w14:paraId="456E1C13">
            <w:pPr>
              <w:rPr>
                <w:b/>
                <w:color w:val="auto"/>
                <w:szCs w:val="24"/>
              </w:rPr>
            </w:pPr>
            <w:r>
              <w:rPr>
                <w:rFonts w:hint="eastAsia"/>
                <w:b/>
                <w:color w:val="auto"/>
                <w:szCs w:val="24"/>
                <w:lang w:val="en-US" w:eastAsia="zh-CN"/>
              </w:rPr>
              <w:t>8</w:t>
            </w:r>
            <w:r>
              <w:rPr>
                <w:rFonts w:hint="eastAsia"/>
                <w:b/>
                <w:color w:val="auto"/>
                <w:szCs w:val="24"/>
              </w:rPr>
              <w:t>、厂区平面布置</w:t>
            </w:r>
          </w:p>
          <w:p w14:paraId="15101263">
            <w:pPr>
              <w:autoSpaceDE w:val="0"/>
              <w:autoSpaceDN w:val="0"/>
              <w:adjustRightInd w:val="0"/>
              <w:ind w:firstLine="480" w:firstLineChars="200"/>
              <w:rPr>
                <w:rFonts w:hint="eastAsia" w:eastAsia="宋体"/>
                <w:color w:val="auto"/>
                <w:lang w:eastAsia="zh-CN"/>
              </w:rPr>
            </w:pPr>
            <w:bookmarkStart w:id="28" w:name="_Hlk24096285"/>
            <w:r>
              <w:rPr>
                <w:rFonts w:hint="eastAsia"/>
                <w:bCs/>
                <w:color w:val="auto"/>
                <w:szCs w:val="24"/>
              </w:rPr>
              <w:t>本项目位于</w:t>
            </w:r>
            <w:r>
              <w:rPr>
                <w:rFonts w:hint="eastAsia"/>
                <w:color w:val="auto"/>
                <w:szCs w:val="24"/>
                <w:lang w:eastAsia="zh-CN"/>
              </w:rPr>
              <w:t>皖江江南新兴产业集中区安安产业园</w:t>
            </w:r>
            <w:r>
              <w:rPr>
                <w:rFonts w:hint="eastAsia"/>
                <w:color w:val="auto"/>
                <w:szCs w:val="24"/>
              </w:rPr>
              <w:t>，利用</w:t>
            </w:r>
            <w:r>
              <w:rPr>
                <w:rFonts w:hint="eastAsia"/>
                <w:color w:val="auto"/>
                <w:szCs w:val="24"/>
                <w:lang w:val="en-US" w:eastAsia="zh-CN"/>
              </w:rPr>
              <w:t>厂区内</w:t>
            </w:r>
            <w:r>
              <w:rPr>
                <w:rFonts w:hint="eastAsia"/>
                <w:color w:val="auto"/>
                <w:szCs w:val="24"/>
              </w:rPr>
              <w:t>现有</w:t>
            </w:r>
            <w:r>
              <w:rPr>
                <w:rFonts w:hint="eastAsia"/>
                <w:color w:val="auto"/>
                <w:szCs w:val="24"/>
                <w:lang w:val="en-US" w:eastAsia="zh-CN"/>
              </w:rPr>
              <w:t>7#</w:t>
            </w:r>
            <w:r>
              <w:rPr>
                <w:rFonts w:hint="eastAsia"/>
                <w:color w:val="auto"/>
                <w:szCs w:val="24"/>
              </w:rPr>
              <w:t>厂房</w:t>
            </w:r>
            <w:r>
              <w:rPr>
                <w:rFonts w:hint="eastAsia"/>
                <w:color w:val="auto"/>
                <w:szCs w:val="24"/>
                <w:lang w:val="en-US" w:eastAsia="zh-CN"/>
              </w:rPr>
              <w:t>东侧</w:t>
            </w:r>
            <w:r>
              <w:rPr>
                <w:rFonts w:hint="eastAsia"/>
                <w:bCs/>
                <w:color w:val="auto"/>
                <w:szCs w:val="24"/>
              </w:rPr>
              <w:t>二跨（5500</w:t>
            </w:r>
            <w:r>
              <w:rPr>
                <w:rFonts w:hint="eastAsia"/>
                <w:bCs/>
                <w:color w:val="auto"/>
                <w:szCs w:val="24"/>
                <w:lang w:val="en-US" w:eastAsia="zh-CN"/>
              </w:rPr>
              <w:t>m</w:t>
            </w:r>
            <w:r>
              <w:rPr>
                <w:rFonts w:hint="eastAsia"/>
                <w:bCs/>
                <w:color w:val="auto"/>
                <w:szCs w:val="24"/>
                <w:vertAlign w:val="superscript"/>
                <w:lang w:val="en-US" w:eastAsia="zh-CN"/>
              </w:rPr>
              <w:t>2</w:t>
            </w:r>
            <w:r>
              <w:rPr>
                <w:rFonts w:hint="eastAsia"/>
                <w:bCs/>
                <w:color w:val="auto"/>
                <w:szCs w:val="24"/>
              </w:rPr>
              <w:t>）</w:t>
            </w:r>
            <w:r>
              <w:rPr>
                <w:rFonts w:hint="eastAsia"/>
                <w:color w:val="auto"/>
                <w:szCs w:val="24"/>
              </w:rPr>
              <w:t>，购置</w:t>
            </w:r>
            <w:r>
              <w:rPr>
                <w:rFonts w:hint="eastAsia"/>
                <w:bCs/>
                <w:color w:val="auto"/>
                <w:szCs w:val="24"/>
              </w:rPr>
              <w:t>离心浇铸机、倾倒熔炉、低压浇铸机、</w:t>
            </w:r>
            <w:r>
              <w:rPr>
                <w:rFonts w:hint="eastAsia"/>
                <w:bCs/>
                <w:color w:val="auto"/>
                <w:szCs w:val="24"/>
                <w:lang w:eastAsia="zh-CN"/>
              </w:rPr>
              <w:t>集中熔铝炉</w:t>
            </w:r>
            <w:r>
              <w:rPr>
                <w:rFonts w:hint="eastAsia"/>
                <w:bCs/>
                <w:color w:val="auto"/>
                <w:szCs w:val="24"/>
              </w:rPr>
              <w:t>等生产设备40余台套，建设高端工业铝材浇铸件生产线</w:t>
            </w:r>
            <w:r>
              <w:rPr>
                <w:rFonts w:hint="eastAsia"/>
                <w:bCs/>
                <w:color w:val="auto"/>
                <w:szCs w:val="24"/>
                <w:lang w:val="en-US" w:eastAsia="zh-CN"/>
              </w:rPr>
              <w:t>1</w:t>
            </w:r>
            <w:r>
              <w:rPr>
                <w:rFonts w:hint="eastAsia"/>
                <w:bCs/>
                <w:color w:val="auto"/>
                <w:szCs w:val="24"/>
              </w:rPr>
              <w:t>条</w:t>
            </w:r>
            <w:r>
              <w:rPr>
                <w:rFonts w:hint="eastAsia"/>
                <w:color w:val="auto"/>
                <w:szCs w:val="24"/>
              </w:rPr>
              <w:t>。7#厂房位于厂区</w:t>
            </w:r>
            <w:r>
              <w:rPr>
                <w:rFonts w:hint="eastAsia"/>
                <w:color w:val="auto"/>
                <w:szCs w:val="24"/>
                <w:lang w:val="en-US" w:eastAsia="zh-CN"/>
              </w:rPr>
              <w:t>东南</w:t>
            </w:r>
            <w:r>
              <w:rPr>
                <w:rFonts w:hint="eastAsia"/>
                <w:color w:val="auto"/>
                <w:szCs w:val="24"/>
              </w:rPr>
              <w:t>，</w:t>
            </w:r>
            <w:r>
              <w:rPr>
                <w:rFonts w:hint="eastAsia"/>
                <w:color w:val="auto"/>
                <w:szCs w:val="24"/>
                <w:lang w:val="en-US" w:eastAsia="zh-CN"/>
              </w:rPr>
              <w:t>厂房</w:t>
            </w:r>
            <w:r>
              <w:rPr>
                <w:rFonts w:hint="eastAsia"/>
                <w:color w:val="auto"/>
                <w:szCs w:val="24"/>
              </w:rPr>
              <w:t>西侧</w:t>
            </w:r>
            <w:r>
              <w:rPr>
                <w:rFonts w:hint="eastAsia"/>
                <w:color w:val="auto"/>
                <w:szCs w:val="24"/>
                <w:lang w:val="en-US" w:eastAsia="zh-CN"/>
              </w:rPr>
              <w:t>为</w:t>
            </w:r>
            <w:r>
              <w:rPr>
                <w:rFonts w:hint="eastAsia"/>
                <w:color w:val="auto"/>
                <w:szCs w:val="24"/>
              </w:rPr>
              <w:t>成品</w:t>
            </w:r>
            <w:r>
              <w:rPr>
                <w:rFonts w:hint="eastAsia"/>
                <w:color w:val="auto"/>
                <w:szCs w:val="24"/>
                <w:lang w:val="en-US" w:eastAsia="zh-CN"/>
              </w:rPr>
              <w:t>包装</w:t>
            </w:r>
            <w:r>
              <w:rPr>
                <w:rFonts w:hint="eastAsia"/>
                <w:color w:val="auto"/>
                <w:szCs w:val="24"/>
              </w:rPr>
              <w:t>区，中间</w:t>
            </w:r>
            <w:r>
              <w:rPr>
                <w:rFonts w:hint="eastAsia"/>
                <w:color w:val="auto"/>
                <w:szCs w:val="24"/>
                <w:lang w:val="en-US" w:eastAsia="zh-CN"/>
              </w:rPr>
              <w:t>为</w:t>
            </w:r>
            <w:r>
              <w:rPr>
                <w:rFonts w:hint="eastAsia"/>
                <w:color w:val="auto"/>
                <w:szCs w:val="24"/>
              </w:rPr>
              <w:t>精加工</w:t>
            </w:r>
            <w:r>
              <w:rPr>
                <w:rFonts w:hint="eastAsia"/>
                <w:color w:val="auto"/>
                <w:szCs w:val="24"/>
                <w:lang w:val="en-US" w:eastAsia="zh-CN"/>
              </w:rPr>
              <w:t>区及</w:t>
            </w:r>
            <w:r>
              <w:rPr>
                <w:rFonts w:hint="eastAsia"/>
                <w:color w:val="auto"/>
                <w:szCs w:val="24"/>
              </w:rPr>
              <w:t>成</w:t>
            </w:r>
            <w:r>
              <w:rPr>
                <w:rFonts w:hint="eastAsia"/>
                <w:color w:val="auto"/>
                <w:szCs w:val="24"/>
                <w:lang w:val="en-US" w:eastAsia="zh-CN"/>
              </w:rPr>
              <w:t>品</w:t>
            </w:r>
            <w:r>
              <w:rPr>
                <w:rFonts w:hint="eastAsia"/>
                <w:color w:val="auto"/>
                <w:szCs w:val="24"/>
              </w:rPr>
              <w:t>仓库</w:t>
            </w:r>
            <w:r>
              <w:rPr>
                <w:rFonts w:hint="eastAsia"/>
                <w:color w:val="auto"/>
                <w:szCs w:val="24"/>
                <w:lang w:eastAsia="zh-CN"/>
              </w:rPr>
              <w:t>，</w:t>
            </w:r>
            <w:r>
              <w:rPr>
                <w:rFonts w:hint="eastAsia"/>
                <w:color w:val="auto"/>
                <w:szCs w:val="24"/>
                <w:lang w:val="en-US" w:eastAsia="zh-CN"/>
              </w:rPr>
              <w:t>东侧为本项目区域</w:t>
            </w:r>
            <w:r>
              <w:rPr>
                <w:rFonts w:hint="eastAsia"/>
                <w:color w:val="auto"/>
                <w:szCs w:val="24"/>
                <w:lang w:eastAsia="zh-CN"/>
              </w:rPr>
              <w:t>；</w:t>
            </w:r>
            <w:r>
              <w:rPr>
                <w:rFonts w:hint="eastAsia"/>
                <w:color w:val="auto"/>
              </w:rPr>
              <w:t>本项目</w:t>
            </w:r>
            <w:r>
              <w:rPr>
                <w:rFonts w:hint="eastAsia"/>
                <w:color w:val="auto"/>
                <w:szCs w:val="24"/>
                <w:lang w:val="en-US" w:eastAsia="zh-CN"/>
              </w:rPr>
              <w:t>新建熔炼区、低压压铸区、离心浇铸区、精加工区、质检区及打包区，并</w:t>
            </w:r>
            <w:r>
              <w:rPr>
                <w:rFonts w:hint="eastAsia"/>
                <w:color w:val="auto"/>
              </w:rPr>
              <w:t>依托</w:t>
            </w:r>
            <w:r>
              <w:rPr>
                <w:rFonts w:hint="eastAsia"/>
                <w:color w:val="auto"/>
                <w:szCs w:val="24"/>
              </w:rPr>
              <w:t>现有的</w:t>
            </w:r>
            <w:r>
              <w:rPr>
                <w:rFonts w:hint="eastAsia"/>
                <w:color w:val="auto"/>
                <w:szCs w:val="24"/>
                <w:lang w:val="en-US" w:eastAsia="zh-CN"/>
              </w:rPr>
              <w:t>原辅料仓库、成品仓库、一般固废库、危废库</w:t>
            </w:r>
            <w:r>
              <w:rPr>
                <w:rFonts w:hint="eastAsia"/>
                <w:color w:val="auto"/>
                <w:szCs w:val="24"/>
              </w:rPr>
              <w:t>、</w:t>
            </w:r>
            <w:r>
              <w:rPr>
                <w:rFonts w:hint="eastAsia"/>
                <w:color w:val="auto"/>
                <w:szCs w:val="24"/>
                <w:lang w:val="en-US" w:eastAsia="zh-CN"/>
              </w:rPr>
              <w:t>倒班楼及食堂。</w:t>
            </w:r>
            <w:bookmarkEnd w:id="28"/>
            <w:r>
              <w:rPr>
                <w:rFonts w:hint="eastAsia"/>
                <w:color w:val="auto"/>
              </w:rPr>
              <w:t>本项目建筑面积在合理的程度下最大化使用；</w:t>
            </w:r>
            <w:r>
              <w:rPr>
                <w:rFonts w:hint="eastAsia"/>
                <w:color w:val="auto"/>
                <w:szCs w:val="24"/>
              </w:rPr>
              <w:t>生产车间</w:t>
            </w:r>
            <w:r>
              <w:rPr>
                <w:rFonts w:hint="eastAsia"/>
                <w:color w:val="auto"/>
              </w:rPr>
              <w:t>结合具体的设备、仪器以及生产操作的空间来选择房屋的内部结构，整个生产车间功能分区明确。总平面布局按照规划、安全、消防、环保等要求进行规划设计建设</w:t>
            </w:r>
            <w:r>
              <w:rPr>
                <w:rFonts w:hint="eastAsia"/>
                <w:color w:val="auto"/>
                <w:lang w:eastAsia="zh-CN"/>
              </w:rPr>
              <w:t>。</w:t>
            </w:r>
          </w:p>
          <w:p w14:paraId="01FD87A5">
            <w:pPr>
              <w:ind w:firstLine="480" w:firstLineChars="200"/>
              <w:rPr>
                <w:rFonts w:hint="eastAsia"/>
                <w:color w:val="auto"/>
              </w:rPr>
            </w:pPr>
            <w:r>
              <w:rPr>
                <w:rFonts w:hint="eastAsia"/>
                <w:color w:val="auto"/>
              </w:rPr>
              <w:t>本项目按照生产工序顺畅、物料运输便捷为原则进行布置各功能区，项目厂房内生产工序及仓库等功能区布局合理</w:t>
            </w:r>
            <w:r>
              <w:rPr>
                <w:rFonts w:hint="eastAsia"/>
                <w:color w:val="auto"/>
                <w:lang w:eastAsia="zh-CN"/>
              </w:rPr>
              <w:t>，</w:t>
            </w:r>
            <w:r>
              <w:rPr>
                <w:rFonts w:hint="eastAsia"/>
                <w:color w:val="auto"/>
              </w:rPr>
              <w:t>厂房平面布置见附图</w:t>
            </w:r>
            <w:r>
              <w:rPr>
                <w:rFonts w:hint="eastAsia"/>
                <w:color w:val="auto"/>
                <w:lang w:val="en-US" w:eastAsia="zh-CN"/>
              </w:rPr>
              <w:t>4及附图5</w:t>
            </w:r>
            <w:r>
              <w:rPr>
                <w:rFonts w:hint="eastAsia"/>
                <w:color w:val="auto"/>
              </w:rPr>
              <w:t>。</w:t>
            </w:r>
          </w:p>
          <w:p w14:paraId="1A7CB417">
            <w:pPr>
              <w:rPr>
                <w:b/>
                <w:color w:val="auto"/>
                <w:szCs w:val="24"/>
              </w:rPr>
            </w:pPr>
            <w:r>
              <w:rPr>
                <w:rFonts w:hint="eastAsia"/>
                <w:b/>
                <w:color w:val="auto"/>
                <w:szCs w:val="24"/>
                <w:lang w:val="en-US" w:eastAsia="zh-CN"/>
              </w:rPr>
              <w:t>9</w:t>
            </w:r>
            <w:r>
              <w:rPr>
                <w:rFonts w:hint="eastAsia"/>
                <w:b/>
                <w:color w:val="auto"/>
                <w:szCs w:val="24"/>
              </w:rPr>
              <w:t>、水平衡</w:t>
            </w:r>
          </w:p>
          <w:p w14:paraId="29F16FE9">
            <w:pPr>
              <w:ind w:firstLine="480"/>
              <w:rPr>
                <w:color w:val="auto"/>
                <w:szCs w:val="24"/>
              </w:rPr>
            </w:pPr>
            <w:r>
              <w:rPr>
                <w:rFonts w:hint="eastAsia"/>
                <w:color w:val="auto"/>
                <w:szCs w:val="24"/>
                <w:lang w:val="en-US" w:eastAsia="zh-CN"/>
              </w:rPr>
              <w:t>本次改建</w:t>
            </w:r>
            <w:r>
              <w:rPr>
                <w:rFonts w:hint="eastAsia"/>
                <w:color w:val="auto"/>
                <w:szCs w:val="24"/>
              </w:rPr>
              <w:t>项目用水主要为生活用水及冷却</w:t>
            </w:r>
            <w:r>
              <w:rPr>
                <w:rFonts w:hint="eastAsia"/>
                <w:color w:val="auto"/>
                <w:szCs w:val="24"/>
                <w:lang w:val="en-US" w:eastAsia="zh-CN"/>
              </w:rPr>
              <w:t>循环</w:t>
            </w:r>
            <w:r>
              <w:rPr>
                <w:rFonts w:hint="eastAsia"/>
                <w:color w:val="auto"/>
                <w:szCs w:val="24"/>
              </w:rPr>
              <w:t>水</w:t>
            </w:r>
            <w:r>
              <w:rPr>
                <w:rFonts w:hint="eastAsia"/>
                <w:color w:val="auto"/>
                <w:szCs w:val="24"/>
                <w:lang w:eastAsia="zh-CN"/>
              </w:rPr>
              <w:t>、</w:t>
            </w:r>
            <w:r>
              <w:rPr>
                <w:rFonts w:hint="eastAsia"/>
                <w:color w:val="auto"/>
                <w:szCs w:val="24"/>
                <w:lang w:val="en-US" w:eastAsia="zh-CN"/>
              </w:rPr>
              <w:t>切削液配比用水</w:t>
            </w:r>
            <w:r>
              <w:rPr>
                <w:rFonts w:hint="eastAsia"/>
                <w:color w:val="auto"/>
                <w:szCs w:val="24"/>
              </w:rPr>
              <w:t>。</w:t>
            </w:r>
          </w:p>
          <w:p w14:paraId="7A4737FC">
            <w:pPr>
              <w:pStyle w:val="62"/>
              <w:spacing w:line="360" w:lineRule="auto"/>
              <w:ind w:firstLine="480" w:firstLineChars="200"/>
              <w:jc w:val="both"/>
              <w:rPr>
                <w:color w:val="auto"/>
                <w:sz w:val="24"/>
              </w:rPr>
            </w:pPr>
            <w:r>
              <w:rPr>
                <w:rFonts w:hint="eastAsia"/>
                <w:color w:val="auto"/>
                <w:sz w:val="24"/>
              </w:rPr>
              <w:t>（1）生活用水</w:t>
            </w:r>
          </w:p>
          <w:p w14:paraId="5E00537B">
            <w:pPr>
              <w:ind w:firstLine="480" w:firstLineChars="200"/>
              <w:rPr>
                <w:color w:val="auto"/>
              </w:rPr>
            </w:pPr>
            <w:r>
              <w:rPr>
                <w:rFonts w:hint="eastAsia"/>
                <w:color w:val="auto"/>
              </w:rPr>
              <w:t>本</w:t>
            </w:r>
            <w:r>
              <w:rPr>
                <w:color w:val="auto"/>
              </w:rPr>
              <w:t>项目</w:t>
            </w:r>
            <w:r>
              <w:rPr>
                <w:rFonts w:hint="eastAsia"/>
                <w:color w:val="auto"/>
                <w:lang w:val="en-US" w:eastAsia="zh-CN"/>
              </w:rPr>
              <w:t>新增</w:t>
            </w:r>
            <w:r>
              <w:rPr>
                <w:rFonts w:hint="eastAsia"/>
                <w:color w:val="auto"/>
                <w:szCs w:val="24"/>
              </w:rPr>
              <w:t>劳动定员</w:t>
            </w:r>
            <w:r>
              <w:rPr>
                <w:rFonts w:hint="eastAsia"/>
                <w:color w:val="auto"/>
                <w:szCs w:val="24"/>
                <w:lang w:val="en-US" w:eastAsia="zh-CN"/>
              </w:rPr>
              <w:t>3</w:t>
            </w:r>
            <w:r>
              <w:rPr>
                <w:rFonts w:hint="eastAsia"/>
                <w:color w:val="auto"/>
                <w:szCs w:val="24"/>
              </w:rPr>
              <w:t>0</w:t>
            </w:r>
            <w:r>
              <w:rPr>
                <w:color w:val="auto"/>
                <w:szCs w:val="24"/>
              </w:rPr>
              <w:t>人</w:t>
            </w:r>
            <w:r>
              <w:rPr>
                <w:rFonts w:hint="eastAsia"/>
                <w:color w:val="auto"/>
              </w:rPr>
              <w:t>，</w:t>
            </w:r>
            <w:r>
              <w:rPr>
                <w:color w:val="auto"/>
              </w:rPr>
              <w:t>根据《安徽省行业用水定额》</w:t>
            </w:r>
            <w:r>
              <w:rPr>
                <w:rFonts w:hint="eastAsia"/>
                <w:color w:val="auto"/>
              </w:rPr>
              <w:t>（DB</w:t>
            </w:r>
            <w:r>
              <w:rPr>
                <w:rFonts w:hint="eastAsia"/>
                <w:color w:val="auto"/>
                <w:lang w:val="en-US" w:eastAsia="zh-CN"/>
              </w:rPr>
              <w:t>34</w:t>
            </w:r>
            <w:r>
              <w:rPr>
                <w:rFonts w:hint="eastAsia"/>
                <w:color w:val="auto"/>
              </w:rPr>
              <w:t>/T679</w:t>
            </w:r>
            <w:r>
              <w:rPr>
                <w:rFonts w:hint="eastAsia"/>
                <w:color w:val="auto"/>
                <w:lang w:val="en-US" w:eastAsia="zh-CN"/>
              </w:rPr>
              <w:t>-</w:t>
            </w:r>
            <w:r>
              <w:rPr>
                <w:rFonts w:hint="eastAsia"/>
                <w:color w:val="auto"/>
              </w:rPr>
              <w:t>20</w:t>
            </w:r>
            <w:r>
              <w:rPr>
                <w:rFonts w:hint="eastAsia"/>
                <w:color w:val="auto"/>
                <w:lang w:val="en-US" w:eastAsia="zh-CN"/>
              </w:rPr>
              <w:t>25</w:t>
            </w:r>
            <w:r>
              <w:rPr>
                <w:rFonts w:hint="eastAsia"/>
                <w:color w:val="auto"/>
              </w:rPr>
              <w:t>），中的相关内容，办公用水定额为50-70L/（人</w:t>
            </w:r>
            <w:r>
              <w:rPr>
                <w:color w:val="auto"/>
              </w:rPr>
              <w:t>·</w:t>
            </w:r>
            <w:r>
              <w:rPr>
                <w:rFonts w:hint="eastAsia"/>
                <w:color w:val="auto"/>
              </w:rPr>
              <w:t>d）</w:t>
            </w:r>
            <w:r>
              <w:rPr>
                <w:color w:val="auto"/>
              </w:rPr>
              <w:t>，</w:t>
            </w:r>
            <w:r>
              <w:rPr>
                <w:rFonts w:hint="eastAsia"/>
                <w:color w:val="auto"/>
                <w:lang w:val="en-US" w:eastAsia="zh-CN"/>
              </w:rPr>
              <w:t>本项目</w:t>
            </w:r>
            <w:r>
              <w:rPr>
                <w:color w:val="auto"/>
              </w:rPr>
              <w:t>员工</w:t>
            </w:r>
            <w:r>
              <w:rPr>
                <w:rFonts w:hint="eastAsia"/>
                <w:color w:val="auto"/>
                <w:lang w:val="en-US" w:eastAsia="zh-CN"/>
              </w:rPr>
              <w:t>需住宿，</w:t>
            </w:r>
            <w:r>
              <w:rPr>
                <w:color w:val="auto"/>
              </w:rPr>
              <w:t>用水量按照</w:t>
            </w:r>
            <w:r>
              <w:rPr>
                <w:rFonts w:hint="eastAsia"/>
                <w:color w:val="auto"/>
                <w:lang w:val="en-US" w:eastAsia="zh-CN"/>
              </w:rPr>
              <w:t>7</w:t>
            </w:r>
            <w:r>
              <w:rPr>
                <w:color w:val="auto"/>
              </w:rPr>
              <w:t>0L/人·d计</w:t>
            </w:r>
            <w:r>
              <w:rPr>
                <w:rFonts w:hint="eastAsia"/>
                <w:color w:val="auto"/>
              </w:rPr>
              <w:t>，生活用水总计为</w:t>
            </w:r>
            <w:r>
              <w:rPr>
                <w:rFonts w:hint="eastAsia"/>
                <w:color w:val="auto"/>
                <w:lang w:val="en-US" w:eastAsia="zh-CN"/>
              </w:rPr>
              <w:t>630</w:t>
            </w:r>
            <w:r>
              <w:rPr>
                <w:rFonts w:hint="eastAsia"/>
                <w:color w:val="auto"/>
              </w:rPr>
              <w:t>t/a（</w:t>
            </w:r>
            <w:r>
              <w:rPr>
                <w:rFonts w:hint="eastAsia"/>
                <w:color w:val="auto"/>
                <w:lang w:val="en-US" w:eastAsia="zh-CN"/>
              </w:rPr>
              <w:t>2.1</w:t>
            </w:r>
            <w:r>
              <w:rPr>
                <w:rFonts w:hint="eastAsia"/>
                <w:color w:val="auto"/>
              </w:rPr>
              <w:t>t/d）。</w:t>
            </w:r>
            <w:r>
              <w:rPr>
                <w:color w:val="auto"/>
              </w:rPr>
              <w:t>生活污水产生量按照用水量的80%计算，则生活污水产生量为</w:t>
            </w:r>
            <w:r>
              <w:rPr>
                <w:rFonts w:hint="eastAsia"/>
                <w:color w:val="auto"/>
                <w:lang w:val="en-US" w:eastAsia="zh-CN"/>
              </w:rPr>
              <w:t>504</w:t>
            </w:r>
            <w:r>
              <w:rPr>
                <w:rFonts w:hint="eastAsia"/>
                <w:color w:val="auto"/>
              </w:rPr>
              <w:t>t/a（</w:t>
            </w:r>
            <w:r>
              <w:rPr>
                <w:rFonts w:hint="eastAsia"/>
                <w:color w:val="auto"/>
                <w:lang w:val="en-US" w:eastAsia="zh-CN"/>
              </w:rPr>
              <w:t>1.68</w:t>
            </w:r>
            <w:r>
              <w:rPr>
                <w:rFonts w:hint="eastAsia"/>
                <w:color w:val="auto"/>
              </w:rPr>
              <w:t>t</w:t>
            </w:r>
            <w:r>
              <w:rPr>
                <w:color w:val="auto"/>
              </w:rPr>
              <w:t>/d</w:t>
            </w:r>
            <w:r>
              <w:rPr>
                <w:rFonts w:hint="eastAsia"/>
                <w:color w:val="auto"/>
              </w:rPr>
              <w:t>）</w:t>
            </w:r>
            <w:r>
              <w:rPr>
                <w:color w:val="auto"/>
              </w:rPr>
              <w:t>。</w:t>
            </w:r>
          </w:p>
          <w:p w14:paraId="0DC905EC">
            <w:pPr>
              <w:ind w:firstLine="480"/>
              <w:rPr>
                <w:rFonts w:hint="eastAsia"/>
                <w:color w:val="auto"/>
                <w:szCs w:val="24"/>
                <w:lang w:val="en-US" w:eastAsia="zh-CN"/>
              </w:rPr>
            </w:pPr>
            <w:r>
              <w:rPr>
                <w:rFonts w:hint="eastAsia"/>
                <w:color w:val="auto"/>
                <w:szCs w:val="24"/>
              </w:rPr>
              <w:t>（2）</w:t>
            </w:r>
            <w:r>
              <w:rPr>
                <w:rFonts w:hint="eastAsia"/>
                <w:color w:val="auto"/>
                <w:szCs w:val="24"/>
                <w:lang w:val="en-US" w:eastAsia="zh-CN"/>
              </w:rPr>
              <w:t>食堂用水</w:t>
            </w:r>
          </w:p>
          <w:p w14:paraId="7E26F363">
            <w:pPr>
              <w:ind w:firstLine="480"/>
              <w:rPr>
                <w:color w:val="auto"/>
              </w:rPr>
            </w:pPr>
            <w:r>
              <w:rPr>
                <w:rFonts w:hint="eastAsia"/>
                <w:color w:val="auto"/>
                <w:szCs w:val="24"/>
                <w:lang w:val="en-US" w:eastAsia="zh-CN"/>
              </w:rPr>
              <w:t>本项目</w:t>
            </w:r>
            <w:r>
              <w:rPr>
                <w:rFonts w:hint="eastAsia"/>
                <w:color w:val="auto"/>
                <w:lang w:val="en-US" w:eastAsia="zh-CN"/>
              </w:rPr>
              <w:t>新增</w:t>
            </w:r>
            <w:r>
              <w:rPr>
                <w:rFonts w:hint="eastAsia"/>
                <w:color w:val="auto"/>
                <w:szCs w:val="24"/>
              </w:rPr>
              <w:t>劳动定员</w:t>
            </w:r>
            <w:r>
              <w:rPr>
                <w:rFonts w:hint="eastAsia"/>
                <w:color w:val="auto"/>
                <w:szCs w:val="24"/>
                <w:lang w:val="en-US" w:eastAsia="zh-CN"/>
              </w:rPr>
              <w:t>3</w:t>
            </w:r>
            <w:r>
              <w:rPr>
                <w:rFonts w:hint="eastAsia"/>
                <w:color w:val="auto"/>
                <w:szCs w:val="24"/>
              </w:rPr>
              <w:t>0</w:t>
            </w:r>
            <w:r>
              <w:rPr>
                <w:color w:val="auto"/>
                <w:szCs w:val="24"/>
              </w:rPr>
              <w:t>人</w:t>
            </w:r>
            <w:r>
              <w:rPr>
                <w:rFonts w:hint="eastAsia"/>
                <w:color w:val="auto"/>
                <w:szCs w:val="24"/>
                <w:lang w:eastAsia="zh-CN"/>
              </w:rPr>
              <w:t>，根据《安徽省行业用水定额》（DB</w:t>
            </w:r>
            <w:r>
              <w:rPr>
                <w:rFonts w:hint="eastAsia"/>
                <w:color w:val="auto"/>
                <w:szCs w:val="24"/>
                <w:lang w:val="en-US" w:eastAsia="zh-CN"/>
              </w:rPr>
              <w:t>34</w:t>
            </w:r>
            <w:r>
              <w:rPr>
                <w:rFonts w:hint="eastAsia"/>
                <w:color w:val="auto"/>
                <w:szCs w:val="24"/>
                <w:lang w:eastAsia="zh-CN"/>
              </w:rPr>
              <w:t>/T679</w:t>
            </w:r>
            <w:r>
              <w:rPr>
                <w:rFonts w:hint="eastAsia"/>
                <w:color w:val="auto"/>
                <w:szCs w:val="24"/>
                <w:lang w:val="en-US" w:eastAsia="zh-CN"/>
              </w:rPr>
              <w:t>-</w:t>
            </w:r>
            <w:r>
              <w:rPr>
                <w:rFonts w:hint="eastAsia"/>
                <w:color w:val="auto"/>
                <w:szCs w:val="24"/>
                <w:lang w:eastAsia="zh-CN"/>
              </w:rPr>
              <w:t>20</w:t>
            </w:r>
            <w:r>
              <w:rPr>
                <w:rFonts w:hint="eastAsia"/>
                <w:color w:val="auto"/>
                <w:szCs w:val="24"/>
                <w:lang w:val="en-US" w:eastAsia="zh-CN"/>
              </w:rPr>
              <w:t>25</w:t>
            </w:r>
            <w:r>
              <w:rPr>
                <w:rFonts w:hint="eastAsia"/>
                <w:color w:val="auto"/>
                <w:szCs w:val="24"/>
                <w:lang w:eastAsia="zh-CN"/>
              </w:rPr>
              <w:t>），食堂用水取20L/人</w:t>
            </w:r>
            <w:r>
              <w:rPr>
                <w:rFonts w:hint="default" w:ascii="Times New Roman" w:hAnsi="Times New Roman" w:cs="Times New Roman"/>
                <w:color w:val="auto"/>
                <w:szCs w:val="24"/>
                <w:lang w:eastAsia="zh-CN"/>
              </w:rPr>
              <w:t>·</w:t>
            </w:r>
            <w:r>
              <w:rPr>
                <w:rFonts w:hint="eastAsia"/>
                <w:color w:val="auto"/>
                <w:szCs w:val="24"/>
                <w:lang w:eastAsia="zh-CN"/>
              </w:rPr>
              <w:t>d计，排水系数以0.8计。则食堂用水量为</w:t>
            </w:r>
            <w:r>
              <w:rPr>
                <w:rFonts w:hint="eastAsia"/>
                <w:color w:val="auto"/>
                <w:szCs w:val="24"/>
                <w:lang w:val="en-US" w:eastAsia="zh-CN"/>
              </w:rPr>
              <w:t>180</w:t>
            </w:r>
            <w:r>
              <w:rPr>
                <w:rFonts w:hint="eastAsia"/>
                <w:color w:val="auto"/>
              </w:rPr>
              <w:t>t/a（</w:t>
            </w:r>
            <w:r>
              <w:rPr>
                <w:rFonts w:hint="eastAsia"/>
                <w:color w:val="auto"/>
                <w:lang w:val="en-US" w:eastAsia="zh-CN"/>
              </w:rPr>
              <w:t>0.6</w:t>
            </w:r>
            <w:r>
              <w:rPr>
                <w:rFonts w:hint="eastAsia"/>
                <w:color w:val="auto"/>
              </w:rPr>
              <w:t>t/d）</w:t>
            </w:r>
            <w:r>
              <w:rPr>
                <w:rFonts w:hint="eastAsia"/>
                <w:color w:val="auto"/>
                <w:lang w:eastAsia="zh-CN"/>
              </w:rPr>
              <w:t>，</w:t>
            </w:r>
            <w:r>
              <w:rPr>
                <w:rFonts w:hint="eastAsia"/>
                <w:color w:val="auto"/>
                <w:lang w:val="en-US" w:eastAsia="zh-CN"/>
              </w:rPr>
              <w:t>食堂废水产生量为</w:t>
            </w:r>
            <w:r>
              <w:rPr>
                <w:rFonts w:hint="eastAsia"/>
                <w:color w:val="auto"/>
                <w:szCs w:val="24"/>
                <w:lang w:val="en-US" w:eastAsia="zh-CN"/>
              </w:rPr>
              <w:t>144</w:t>
            </w:r>
            <w:r>
              <w:rPr>
                <w:rFonts w:hint="eastAsia"/>
                <w:color w:val="auto"/>
              </w:rPr>
              <w:t>t/a（</w:t>
            </w:r>
            <w:r>
              <w:rPr>
                <w:rFonts w:hint="eastAsia"/>
                <w:color w:val="auto"/>
                <w:lang w:val="en-US" w:eastAsia="zh-CN"/>
              </w:rPr>
              <w:t>0.48</w:t>
            </w:r>
            <w:r>
              <w:rPr>
                <w:rFonts w:hint="eastAsia"/>
                <w:color w:val="auto"/>
              </w:rPr>
              <w:t>t/d）</w:t>
            </w:r>
            <w:r>
              <w:rPr>
                <w:color w:val="auto"/>
              </w:rPr>
              <w:t>。</w:t>
            </w:r>
          </w:p>
          <w:p w14:paraId="61448AAD">
            <w:pPr>
              <w:ind w:firstLine="480"/>
              <w:rPr>
                <w:rFonts w:hint="eastAsia" w:eastAsia="宋体"/>
                <w:color w:val="auto"/>
                <w:szCs w:val="24"/>
                <w:lang w:val="en-US" w:eastAsia="zh-CN"/>
              </w:rPr>
            </w:pPr>
            <w:r>
              <w:rPr>
                <w:rFonts w:hint="eastAsia"/>
                <w:color w:val="auto"/>
                <w:szCs w:val="24"/>
                <w:lang w:val="en-US" w:eastAsia="zh-CN"/>
              </w:rPr>
              <w:t>（3）</w:t>
            </w:r>
            <w:r>
              <w:rPr>
                <w:rFonts w:hint="eastAsia"/>
                <w:color w:val="auto"/>
                <w:szCs w:val="24"/>
              </w:rPr>
              <w:t>循环冷却</w:t>
            </w:r>
            <w:r>
              <w:rPr>
                <w:rFonts w:hint="eastAsia"/>
                <w:color w:val="auto"/>
                <w:szCs w:val="24"/>
                <w:lang w:val="en-US" w:eastAsia="zh-CN"/>
              </w:rPr>
              <w:t>用水</w:t>
            </w:r>
          </w:p>
          <w:p w14:paraId="36F10DD6">
            <w:pPr>
              <w:ind w:firstLine="480"/>
              <w:rPr>
                <w:rFonts w:hint="default" w:eastAsia="宋体"/>
                <w:color w:val="auto"/>
                <w:szCs w:val="24"/>
                <w:lang w:val="en-US" w:eastAsia="zh-CN"/>
              </w:rPr>
            </w:pPr>
            <w:r>
              <w:rPr>
                <w:rFonts w:hint="eastAsia"/>
                <w:color w:val="auto"/>
                <w:szCs w:val="24"/>
                <w:lang w:val="en-US" w:eastAsia="zh-CN"/>
              </w:rPr>
              <w:t>本项目低压浇铸件冷却需使用</w:t>
            </w:r>
            <w:r>
              <w:rPr>
                <w:rFonts w:hint="eastAsia"/>
                <w:color w:val="auto"/>
                <w:szCs w:val="24"/>
              </w:rPr>
              <w:t>循环冷却水，冷却塔储水量为20m</w:t>
            </w:r>
            <w:r>
              <w:rPr>
                <w:rFonts w:hint="eastAsia"/>
                <w:color w:val="auto"/>
                <w:szCs w:val="24"/>
                <w:vertAlign w:val="superscript"/>
              </w:rPr>
              <w:t>3</w:t>
            </w:r>
            <w:r>
              <w:rPr>
                <w:rFonts w:hint="eastAsia"/>
                <w:color w:val="auto"/>
                <w:szCs w:val="24"/>
              </w:rPr>
              <w:t>，循环水量为20m</w:t>
            </w:r>
            <w:r>
              <w:rPr>
                <w:rFonts w:hint="eastAsia"/>
                <w:color w:val="auto"/>
                <w:szCs w:val="24"/>
                <w:vertAlign w:val="superscript"/>
              </w:rPr>
              <w:t>3</w:t>
            </w:r>
            <w:r>
              <w:rPr>
                <w:rFonts w:hint="eastAsia"/>
                <w:color w:val="auto"/>
                <w:szCs w:val="24"/>
              </w:rPr>
              <w:t>/h，项目</w:t>
            </w:r>
            <w:r>
              <w:rPr>
                <w:rFonts w:hint="eastAsia"/>
                <w:color w:val="auto"/>
                <w:szCs w:val="24"/>
                <w:lang w:val="en-US" w:eastAsia="zh-CN"/>
              </w:rPr>
              <w:t>循环水系统</w:t>
            </w:r>
            <w:r>
              <w:rPr>
                <w:rFonts w:hint="eastAsia"/>
                <w:color w:val="auto"/>
                <w:szCs w:val="24"/>
              </w:rPr>
              <w:t>平均每天运行</w:t>
            </w:r>
            <w:r>
              <w:rPr>
                <w:rFonts w:hint="eastAsia"/>
                <w:color w:val="auto"/>
                <w:szCs w:val="24"/>
                <w:lang w:val="en-US" w:eastAsia="zh-CN"/>
              </w:rPr>
              <w:t>16</w:t>
            </w:r>
            <w:r>
              <w:rPr>
                <w:rFonts w:hint="eastAsia"/>
                <w:color w:val="auto"/>
                <w:szCs w:val="24"/>
              </w:rPr>
              <w:t>h，根据《工业循环冷却水处理设计规范》，闭式系统补水量按循环水量1</w:t>
            </w:r>
            <w:r>
              <w:rPr>
                <w:rFonts w:hint="default" w:ascii="Times New Roman" w:hAnsi="Times New Roman" w:cs="Times New Roman"/>
                <w:color w:val="auto"/>
                <w:szCs w:val="24"/>
                <w:lang w:val="en-US" w:eastAsia="zh-CN"/>
              </w:rPr>
              <w:t>‰</w:t>
            </w:r>
            <w:r>
              <w:rPr>
                <w:rFonts w:hint="eastAsia"/>
                <w:color w:val="auto"/>
                <w:szCs w:val="24"/>
              </w:rPr>
              <w:t>计，每日循环水量为</w:t>
            </w:r>
            <w:r>
              <w:rPr>
                <w:rFonts w:hint="eastAsia"/>
                <w:color w:val="auto"/>
                <w:szCs w:val="24"/>
                <w:lang w:val="en-US" w:eastAsia="zh-CN"/>
              </w:rPr>
              <w:t>320</w:t>
            </w:r>
            <w:r>
              <w:rPr>
                <w:rFonts w:hint="eastAsia"/>
                <w:color w:val="auto"/>
                <w:szCs w:val="24"/>
              </w:rPr>
              <w:t>m</w:t>
            </w:r>
            <w:r>
              <w:rPr>
                <w:rFonts w:hint="eastAsia"/>
                <w:color w:val="auto"/>
                <w:szCs w:val="24"/>
                <w:vertAlign w:val="superscript"/>
              </w:rPr>
              <w:t>3</w:t>
            </w:r>
            <w:r>
              <w:rPr>
                <w:rFonts w:hint="eastAsia"/>
                <w:color w:val="auto"/>
                <w:szCs w:val="24"/>
              </w:rPr>
              <w:t>/d，</w:t>
            </w:r>
            <w:r>
              <w:rPr>
                <w:rFonts w:hint="eastAsia"/>
                <w:color w:val="auto"/>
                <w:szCs w:val="24"/>
                <w:lang w:val="en-US" w:eastAsia="zh-CN"/>
              </w:rPr>
              <w:t>则</w:t>
            </w:r>
            <w:r>
              <w:rPr>
                <w:rFonts w:hint="eastAsia"/>
                <w:color w:val="auto"/>
                <w:szCs w:val="24"/>
              </w:rPr>
              <w:t>循环系统补充水量为</w:t>
            </w:r>
            <w:r>
              <w:rPr>
                <w:rFonts w:hint="eastAsia"/>
                <w:color w:val="auto"/>
                <w:szCs w:val="24"/>
                <w:lang w:val="en-US" w:eastAsia="zh-CN"/>
              </w:rPr>
              <w:t>0.32</w:t>
            </w:r>
            <w:r>
              <w:rPr>
                <w:rFonts w:hint="eastAsia"/>
                <w:color w:val="auto"/>
                <w:szCs w:val="24"/>
              </w:rPr>
              <w:t>m</w:t>
            </w:r>
            <w:r>
              <w:rPr>
                <w:rFonts w:hint="eastAsia"/>
                <w:color w:val="auto"/>
                <w:szCs w:val="24"/>
                <w:vertAlign w:val="superscript"/>
              </w:rPr>
              <w:t>3</w:t>
            </w:r>
            <w:r>
              <w:rPr>
                <w:rFonts w:hint="eastAsia"/>
                <w:color w:val="auto"/>
                <w:szCs w:val="24"/>
              </w:rPr>
              <w:t>/d，</w:t>
            </w:r>
            <w:r>
              <w:rPr>
                <w:rFonts w:hint="eastAsia"/>
                <w:color w:val="auto"/>
                <w:szCs w:val="24"/>
                <w:lang w:val="en-US" w:eastAsia="zh-CN"/>
              </w:rPr>
              <w:t>根据企业提供资料，</w:t>
            </w:r>
            <w:r>
              <w:rPr>
                <w:rFonts w:hint="eastAsia"/>
                <w:color w:val="auto"/>
                <w:szCs w:val="24"/>
              </w:rPr>
              <w:t>本项目冷却水为普通自来水，不添加药剂，冷却方式为间接冷却，冷却水循环使用</w:t>
            </w:r>
            <w:r>
              <w:rPr>
                <w:rFonts w:hint="eastAsia"/>
                <w:color w:val="auto"/>
                <w:szCs w:val="24"/>
                <w:lang w:eastAsia="zh-CN"/>
              </w:rPr>
              <w:t>，</w:t>
            </w:r>
            <w:r>
              <w:rPr>
                <w:rFonts w:hint="eastAsia"/>
                <w:color w:val="auto"/>
                <w:szCs w:val="24"/>
                <w:lang w:val="en-US" w:eastAsia="zh-CN"/>
              </w:rPr>
              <w:t>定期外排，每年排放一次，排放量为4t/a，则用水量100t/a</w:t>
            </w:r>
            <w:r>
              <w:rPr>
                <w:color w:val="auto"/>
              </w:rPr>
              <w:t>。</w:t>
            </w:r>
          </w:p>
          <w:p w14:paraId="16E17853">
            <w:pPr>
              <w:ind w:firstLine="480"/>
              <w:rPr>
                <w:rFonts w:hint="default"/>
                <w:color w:val="auto"/>
                <w:szCs w:val="24"/>
                <w:lang w:val="en-US"/>
              </w:rPr>
            </w:pPr>
            <w:r>
              <w:rPr>
                <w:rFonts w:hint="eastAsia"/>
                <w:color w:val="auto"/>
                <w:szCs w:val="24"/>
                <w:lang w:val="en-US" w:eastAsia="zh-CN"/>
              </w:rPr>
              <w:t>（4）切削液配比用水</w:t>
            </w:r>
          </w:p>
          <w:p w14:paraId="019FD643">
            <w:pPr>
              <w:ind w:firstLine="480"/>
              <w:rPr>
                <w:rFonts w:hint="default" w:eastAsia="宋体"/>
                <w:color w:val="auto"/>
                <w:szCs w:val="24"/>
                <w:lang w:val="en-US" w:eastAsia="zh-CN"/>
              </w:rPr>
            </w:pPr>
            <w:r>
              <w:rPr>
                <w:rFonts w:hint="eastAsia"/>
                <w:color w:val="auto"/>
                <w:szCs w:val="24"/>
                <w:lang w:val="en-US" w:eastAsia="zh-CN"/>
              </w:rPr>
              <w:t>本项目精加工工艺使用切削液，项目切削液：水的配比为1:10。本项目需要用切削液2t/a，故需要用水量为20t/a，此部分水全部在机加工过程中挥发，无废水产生，更换下来的废切削液做危废处理。</w:t>
            </w:r>
          </w:p>
          <w:p w14:paraId="482557C1">
            <w:pPr>
              <w:ind w:firstLine="480"/>
              <w:rPr>
                <w:color w:val="auto"/>
                <w:szCs w:val="24"/>
              </w:rPr>
            </w:pPr>
            <w:r>
              <w:rPr>
                <w:rFonts w:hint="eastAsia"/>
                <w:color w:val="auto"/>
                <w:szCs w:val="24"/>
              </w:rPr>
              <w:t>本项目及全厂水平衡图如下。</w:t>
            </w:r>
          </w:p>
          <w:p w14:paraId="692F6DFC">
            <w:pPr>
              <w:jc w:val="center"/>
              <w:rPr>
                <w:rFonts w:cs="微软雅黑"/>
                <w:color w:val="auto"/>
                <w:szCs w:val="24"/>
              </w:rPr>
            </w:pPr>
            <w:r>
              <w:rPr>
                <w:color w:val="auto"/>
              </w:rPr>
              <w:drawing>
                <wp:inline distT="0" distB="0" distL="114300" distR="114300">
                  <wp:extent cx="4561840" cy="2774950"/>
                  <wp:effectExtent l="0" t="0" r="0" b="6350"/>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
                          <pic:cNvPicPr>
                            <a:picLocks noChangeAspect="1"/>
                          </pic:cNvPicPr>
                        </pic:nvPicPr>
                        <pic:blipFill>
                          <a:blip r:embed="rId17"/>
                          <a:stretch>
                            <a:fillRect/>
                          </a:stretch>
                        </pic:blipFill>
                        <pic:spPr>
                          <a:xfrm>
                            <a:off x="0" y="0"/>
                            <a:ext cx="4561840" cy="2774950"/>
                          </a:xfrm>
                          <a:prstGeom prst="rect">
                            <a:avLst/>
                          </a:prstGeom>
                          <a:noFill/>
                          <a:ln>
                            <a:noFill/>
                          </a:ln>
                        </pic:spPr>
                      </pic:pic>
                    </a:graphicData>
                  </a:graphic>
                </wp:inline>
              </w:drawing>
            </w:r>
          </w:p>
          <w:p w14:paraId="4D0EAD5B">
            <w:pPr>
              <w:adjustRightInd w:val="0"/>
              <w:jc w:val="center"/>
              <w:rPr>
                <w:rFonts w:hint="eastAsia" w:eastAsia="宋体"/>
                <w:color w:val="auto"/>
                <w:lang w:val="en-US" w:eastAsia="zh-CN"/>
              </w:rPr>
            </w:pPr>
            <w:r>
              <w:rPr>
                <w:rFonts w:eastAsia="黑体"/>
                <w:color w:val="auto"/>
                <w:szCs w:val="24"/>
              </w:rPr>
              <w:t>图2-</w:t>
            </w:r>
            <w:r>
              <w:rPr>
                <w:rFonts w:hint="eastAsia" w:eastAsia="黑体"/>
                <w:color w:val="auto"/>
                <w:szCs w:val="24"/>
              </w:rPr>
              <w:t xml:space="preserve">1  </w:t>
            </w:r>
            <w:r>
              <w:rPr>
                <w:rFonts w:eastAsia="黑体"/>
                <w:color w:val="auto"/>
                <w:szCs w:val="24"/>
              </w:rPr>
              <w:t>本项目水平衡图</w:t>
            </w:r>
          </w:p>
        </w:tc>
      </w:tr>
    </w:tbl>
    <w:p w14:paraId="737AFBAA">
      <w:pPr>
        <w:rPr>
          <w:b/>
          <w:color w:val="auto"/>
          <w:sz w:val="32"/>
          <w:szCs w:val="32"/>
        </w:rPr>
        <w:sectPr>
          <w:footerReference r:id="rId9" w:type="default"/>
          <w:pgSz w:w="11907" w:h="16840"/>
          <w:pgMar w:top="1149" w:right="1134" w:bottom="993" w:left="1247" w:header="680" w:footer="680" w:gutter="0"/>
          <w:cols w:space="720" w:num="1"/>
          <w:docGrid w:linePitch="326" w:charSpace="0"/>
        </w:sectPr>
      </w:pP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4134"/>
      </w:tblGrid>
      <w:tr w14:paraId="24EF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21" w:hRule="atLeast"/>
        </w:trPr>
        <w:tc>
          <w:tcPr>
            <w:tcW w:w="780" w:type="dxa"/>
          </w:tcPr>
          <w:p w14:paraId="5D944E14">
            <w:pPr>
              <w:pStyle w:val="85"/>
              <w:jc w:val="both"/>
              <w:rPr>
                <w:color w:val="auto"/>
                <w:vertAlign w:val="baseline"/>
              </w:rPr>
            </w:pPr>
          </w:p>
        </w:tc>
        <w:tc>
          <w:tcPr>
            <w:tcW w:w="14134" w:type="dxa"/>
          </w:tcPr>
          <w:p w14:paraId="280E223E">
            <w:pPr>
              <w:adjustRightInd w:val="0"/>
              <w:jc w:val="center"/>
              <w:rPr>
                <w:color w:val="auto"/>
                <w:vertAlign w:val="baseline"/>
              </w:rPr>
            </w:pPr>
            <w:r>
              <w:rPr>
                <w:color w:val="auto"/>
                <w:sz w:val="24"/>
              </w:rPr>
              <mc:AlternateContent>
                <mc:Choice Requires="wps">
                  <w:drawing>
                    <wp:anchor distT="0" distB="0" distL="114300" distR="114300" simplePos="0" relativeHeight="251670528" behindDoc="0" locked="0" layoutInCell="1" allowOverlap="1">
                      <wp:simplePos x="0" y="0"/>
                      <wp:positionH relativeFrom="column">
                        <wp:posOffset>476885</wp:posOffset>
                      </wp:positionH>
                      <wp:positionV relativeFrom="paragraph">
                        <wp:posOffset>125095</wp:posOffset>
                      </wp:positionV>
                      <wp:extent cx="372110" cy="163830"/>
                      <wp:effectExtent l="0" t="0" r="8890" b="7620"/>
                      <wp:wrapNone/>
                      <wp:docPr id="33" name="文本框 33"/>
                      <wp:cNvGraphicFramePr/>
                      <a:graphic xmlns:a="http://schemas.openxmlformats.org/drawingml/2006/main">
                        <a:graphicData uri="http://schemas.microsoft.com/office/word/2010/wordprocessingShape">
                          <wps:wsp>
                            <wps:cNvSpPr txBox="1"/>
                            <wps:spPr>
                              <a:xfrm>
                                <a:off x="0" y="0"/>
                                <a:ext cx="372110" cy="1638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8E08FC5">
                                  <w:pPr>
                                    <w:rPr>
                                      <w:rFonts w:hint="default" w:eastAsia="宋体"/>
                                      <w:sz w:val="11"/>
                                      <w:szCs w:val="11"/>
                                      <w:lang w:val="en-US" w:eastAsia="zh-CN"/>
                                    </w:rPr>
                                  </w:pPr>
                                  <w:r>
                                    <w:rPr>
                                      <w:rFonts w:hint="eastAsia"/>
                                      <w:sz w:val="11"/>
                                      <w:szCs w:val="11"/>
                                      <w:lang w:val="en-US" w:eastAsia="zh-CN"/>
                                    </w:rPr>
                                    <w:t>164.7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55pt;margin-top:9.85pt;height:12.9pt;width:29.3pt;z-index:251670528;mso-width-relative:page;mso-height-relative:page;" fillcolor="#FFFFFF [3201]" filled="t" stroked="f" coordsize="21600,21600" o:gfxdata="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8s9nd1AAAAAgBAAAPAAAA&#10;AAAAAAEAIAAAACIAAABkcnMvZG93bnJldi54bWxQSwECFAAUAAAACACHTuJAU/HraVICAACQBAAA&#10;DgAAAAAAAAABACAAAAAjAQAAZHJzL2Uyb0RvYy54bWxQSwUGAAAAAAYABgBZAQAA5wUAAAAA&#10;">
                      <v:fill on="t" focussize="0,0"/>
                      <v:stroke on="f" weight="0.5pt"/>
                      <v:imagedata o:title=""/>
                      <o:lock v:ext="edit" aspectratio="f"/>
                      <v:textbox>
                        <w:txbxContent>
                          <w:p w14:paraId="58E08FC5">
                            <w:pPr>
                              <w:rPr>
                                <w:rFonts w:hint="default" w:eastAsia="宋体"/>
                                <w:sz w:val="11"/>
                                <w:szCs w:val="11"/>
                                <w:lang w:val="en-US" w:eastAsia="zh-CN"/>
                              </w:rPr>
                            </w:pPr>
                            <w:r>
                              <w:rPr>
                                <w:rFonts w:hint="eastAsia"/>
                                <w:sz w:val="11"/>
                                <w:szCs w:val="11"/>
                                <w:lang w:val="en-US" w:eastAsia="zh-CN"/>
                              </w:rPr>
                              <w:t>164.7</w:t>
                            </w:r>
                          </w:p>
                        </w:txbxContent>
                      </v:textbox>
                    </v:shape>
                  </w:pict>
                </mc:Fallback>
              </mc:AlternateContent>
            </w:r>
            <w:r>
              <w:rPr>
                <w:color w:val="auto"/>
                <w:sz w:val="24"/>
              </w:rPr>
              <mc:AlternateContent>
                <mc:Choice Requires="wps">
                  <w:drawing>
                    <wp:anchor distT="0" distB="0" distL="114300" distR="114300" simplePos="0" relativeHeight="251674624" behindDoc="0" locked="0" layoutInCell="1" allowOverlap="1">
                      <wp:simplePos x="0" y="0"/>
                      <wp:positionH relativeFrom="column">
                        <wp:posOffset>234315</wp:posOffset>
                      </wp:positionH>
                      <wp:positionV relativeFrom="paragraph">
                        <wp:posOffset>6985</wp:posOffset>
                      </wp:positionV>
                      <wp:extent cx="509905" cy="170815"/>
                      <wp:effectExtent l="0" t="0" r="4445" b="635"/>
                      <wp:wrapNone/>
                      <wp:docPr id="43" name="文本框 43"/>
                      <wp:cNvGraphicFramePr/>
                      <a:graphic xmlns:a="http://schemas.openxmlformats.org/drawingml/2006/main">
                        <a:graphicData uri="http://schemas.microsoft.com/office/word/2010/wordprocessingShape">
                          <wps:wsp>
                            <wps:cNvSpPr txBox="1"/>
                            <wps:spPr>
                              <a:xfrm>
                                <a:off x="0" y="0"/>
                                <a:ext cx="509905" cy="17081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4C64860">
                                  <w:pPr>
                                    <w:rPr>
                                      <w:rFonts w:hint="default" w:eastAsia="宋体"/>
                                      <w:sz w:val="11"/>
                                      <w:szCs w:val="11"/>
                                      <w:lang w:val="en-US" w:eastAsia="zh-CN"/>
                                    </w:rPr>
                                  </w:pPr>
                                  <w:r>
                                    <w:rPr>
                                      <w:rFonts w:hint="eastAsia"/>
                                      <w:sz w:val="11"/>
                                      <w:szCs w:val="11"/>
                                      <w:lang w:val="en-US" w:eastAsia="zh-CN"/>
                                    </w:rPr>
                                    <w:t>1571.960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45pt;margin-top:0.55pt;height:13.45pt;width:40.15pt;z-index:251674624;mso-width-relative:page;mso-height-relative:page;" fillcolor="#FFFFFF [3201]" filled="t" stroked="f" coordsize="21600,21600" o:gfxdata="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XOVYu0gAAAAcBAAAPAAAAAAAA&#10;AAEAIAAAACIAAABkcnMvZG93bnJldi54bWxQSwECFAAUAAAACACHTuJAwxy+ZFECAACQBAAADgAA&#10;AAAAAAABACAAAAAhAQAAZHJzL2Uyb0RvYy54bWxQSwUGAAAAAAYABgBZAQAA5AUAAAAA&#10;">
                      <v:fill on="t" focussize="0,0"/>
                      <v:stroke on="f" weight="0.5pt"/>
                      <v:imagedata o:title=""/>
                      <o:lock v:ext="edit" aspectratio="f"/>
                      <v:textbox>
                        <w:txbxContent>
                          <w:p w14:paraId="14C64860">
                            <w:pPr>
                              <w:rPr>
                                <w:rFonts w:hint="default" w:eastAsia="宋体"/>
                                <w:sz w:val="11"/>
                                <w:szCs w:val="11"/>
                                <w:lang w:val="en-US" w:eastAsia="zh-CN"/>
                              </w:rPr>
                            </w:pPr>
                            <w:r>
                              <w:rPr>
                                <w:rFonts w:hint="eastAsia"/>
                                <w:sz w:val="11"/>
                                <w:szCs w:val="11"/>
                                <w:lang w:val="en-US" w:eastAsia="zh-CN"/>
                              </w:rPr>
                              <w:t>1571.960</w:t>
                            </w:r>
                          </w:p>
                        </w:txbxContent>
                      </v:textbox>
                    </v:shape>
                  </w:pict>
                </mc:Fallback>
              </mc:AlternateContent>
            </w:r>
            <w:r>
              <w:rPr>
                <w:color w:val="auto"/>
                <w:sz w:val="24"/>
              </w:rPr>
              <mc:AlternateContent>
                <mc:Choice Requires="wps">
                  <w:drawing>
                    <wp:anchor distT="0" distB="0" distL="114300" distR="114300" simplePos="0" relativeHeight="251673600" behindDoc="0" locked="0" layoutInCell="1" allowOverlap="1">
                      <wp:simplePos x="0" y="0"/>
                      <wp:positionH relativeFrom="column">
                        <wp:posOffset>4499610</wp:posOffset>
                      </wp:positionH>
                      <wp:positionV relativeFrom="paragraph">
                        <wp:posOffset>16510</wp:posOffset>
                      </wp:positionV>
                      <wp:extent cx="509905" cy="170815"/>
                      <wp:effectExtent l="0" t="0" r="4445" b="635"/>
                      <wp:wrapNone/>
                      <wp:docPr id="36" name="文本框 36"/>
                      <wp:cNvGraphicFramePr/>
                      <a:graphic xmlns:a="http://schemas.openxmlformats.org/drawingml/2006/main">
                        <a:graphicData uri="http://schemas.microsoft.com/office/word/2010/wordprocessingShape">
                          <wps:wsp>
                            <wps:cNvSpPr txBox="1"/>
                            <wps:spPr>
                              <a:xfrm>
                                <a:off x="0" y="0"/>
                                <a:ext cx="509905" cy="17081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5C56FDA">
                                  <w:pPr>
                                    <w:rPr>
                                      <w:rFonts w:hint="default" w:eastAsia="宋体"/>
                                      <w:sz w:val="11"/>
                                      <w:szCs w:val="11"/>
                                      <w:lang w:val="en-US" w:eastAsia="zh-CN"/>
                                    </w:rPr>
                                  </w:pPr>
                                  <w:r>
                                    <w:rPr>
                                      <w:rFonts w:hint="eastAsia"/>
                                      <w:sz w:val="11"/>
                                      <w:szCs w:val="11"/>
                                      <w:lang w:val="en-US" w:eastAsia="zh-CN"/>
                                    </w:rPr>
                                    <w:t>1296.662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4.3pt;margin-top:1.3pt;height:13.45pt;width:40.15pt;z-index:251673600;mso-width-relative:page;mso-height-relative:page;" fillcolor="#FFFFFF [3201]" filled="t" stroked="f" coordsize="21600,21600" o:gfxdata="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NgkcaDUAAAACAEAAA8AAAAA&#10;AAAAAQAgAAAAIgAAAGRycy9kb3ducmV2LnhtbFBLAQIUABQAAAAIAIdO4kALMLWaUQIAAJAEAAAO&#10;AAAAAAAAAAEAIAAAACMBAABkcnMvZTJvRG9jLnhtbFBLBQYAAAAABgAGAFkBAADmBQAAAAA=&#10;">
                      <v:fill on="t" focussize="0,0"/>
                      <v:stroke on="f" weight="0.5pt"/>
                      <v:imagedata o:title=""/>
                      <o:lock v:ext="edit" aspectratio="f"/>
                      <v:textbox>
                        <w:txbxContent>
                          <w:p w14:paraId="35C56FDA">
                            <w:pPr>
                              <w:rPr>
                                <w:rFonts w:hint="default" w:eastAsia="宋体"/>
                                <w:sz w:val="11"/>
                                <w:szCs w:val="11"/>
                                <w:lang w:val="en-US" w:eastAsia="zh-CN"/>
                              </w:rPr>
                            </w:pPr>
                            <w:r>
                              <w:rPr>
                                <w:rFonts w:hint="eastAsia"/>
                                <w:sz w:val="11"/>
                                <w:szCs w:val="11"/>
                                <w:lang w:val="en-US" w:eastAsia="zh-CN"/>
                              </w:rPr>
                              <w:t>1296.662</w:t>
                            </w:r>
                          </w:p>
                        </w:txbxContent>
                      </v:textbox>
                    </v:shape>
                  </w:pict>
                </mc:Fallback>
              </mc:AlternateContent>
            </w:r>
            <w:r>
              <w:rPr>
                <w:color w:val="auto"/>
                <w:sz w:val="24"/>
              </w:rPr>
              <mc:AlternateContent>
                <mc:Choice Requires="wps">
                  <w:drawing>
                    <wp:anchor distT="0" distB="0" distL="114300" distR="114300" simplePos="0" relativeHeight="251672576" behindDoc="0" locked="0" layoutInCell="1" allowOverlap="1">
                      <wp:simplePos x="0" y="0"/>
                      <wp:positionH relativeFrom="column">
                        <wp:posOffset>1628775</wp:posOffset>
                      </wp:positionH>
                      <wp:positionV relativeFrom="paragraph">
                        <wp:posOffset>106680</wp:posOffset>
                      </wp:positionV>
                      <wp:extent cx="393065" cy="184785"/>
                      <wp:effectExtent l="0" t="0" r="6985" b="5715"/>
                      <wp:wrapNone/>
                      <wp:docPr id="35" name="文本框 35"/>
                      <wp:cNvGraphicFramePr/>
                      <a:graphic xmlns:a="http://schemas.openxmlformats.org/drawingml/2006/main">
                        <a:graphicData uri="http://schemas.microsoft.com/office/word/2010/wordprocessingShape">
                          <wps:wsp>
                            <wps:cNvSpPr txBox="1"/>
                            <wps:spPr>
                              <a:xfrm>
                                <a:off x="0" y="0"/>
                                <a:ext cx="393065" cy="1847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9B1A5FC">
                                  <w:pPr>
                                    <w:rPr>
                                      <w:rFonts w:hint="default" w:eastAsia="宋体"/>
                                      <w:sz w:val="11"/>
                                      <w:szCs w:val="11"/>
                                      <w:lang w:val="en-US" w:eastAsia="zh-CN"/>
                                    </w:rPr>
                                  </w:pPr>
                                  <w:r>
                                    <w:rPr>
                                      <w:rFonts w:hint="eastAsia"/>
                                      <w:sz w:val="11"/>
                                      <w:szCs w:val="11"/>
                                      <w:lang w:val="en-US" w:eastAsia="zh-CN"/>
                                    </w:rPr>
                                    <w:t>139.36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8.25pt;margin-top:8.4pt;height:14.55pt;width:30.95pt;z-index:251672576;mso-width-relative:page;mso-height-relative:page;" fillcolor="#FFFFFF [3201]" filled="t" stroked="f" coordsize="21600,21600" o:gfxdata="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N/JO4zVAAAACQEAAA8A&#10;AAAAAAAAAQAgAAAAIgAAAGRycy9kb3ducmV2LnhtbFBLAQIUABQAAAAIAIdO4kCVxFv9UwIAAJAE&#10;AAAOAAAAAAAAAAEAIAAAACQBAABkcnMvZTJvRG9jLnhtbFBLBQYAAAAABgAGAFkBAADpBQAAAAA=&#10;">
                      <v:fill on="t" focussize="0,0"/>
                      <v:stroke on="f" weight="0.5pt"/>
                      <v:imagedata o:title=""/>
                      <o:lock v:ext="edit" aspectratio="f"/>
                      <v:textbox>
                        <w:txbxContent>
                          <w:p w14:paraId="29B1A5FC">
                            <w:pPr>
                              <w:rPr>
                                <w:rFonts w:hint="default" w:eastAsia="宋体"/>
                                <w:sz w:val="11"/>
                                <w:szCs w:val="11"/>
                                <w:lang w:val="en-US" w:eastAsia="zh-CN"/>
                              </w:rPr>
                            </w:pPr>
                            <w:r>
                              <w:rPr>
                                <w:rFonts w:hint="eastAsia"/>
                                <w:sz w:val="11"/>
                                <w:szCs w:val="11"/>
                                <w:lang w:val="en-US" w:eastAsia="zh-CN"/>
                              </w:rPr>
                              <w:t>139.36</w:t>
                            </w:r>
                          </w:p>
                        </w:txbxContent>
                      </v:textbox>
                    </v:shape>
                  </w:pict>
                </mc:Fallback>
              </mc:AlternateContent>
            </w:r>
            <w:r>
              <w:rPr>
                <w:color w:val="auto"/>
                <w:sz w:val="24"/>
              </w:rPr>
              <mc:AlternateContent>
                <mc:Choice Requires="wps">
                  <w:drawing>
                    <wp:anchor distT="0" distB="0" distL="114300" distR="114300" simplePos="0" relativeHeight="251668480" behindDoc="0" locked="0" layoutInCell="1" allowOverlap="1">
                      <wp:simplePos x="0" y="0"/>
                      <wp:positionH relativeFrom="column">
                        <wp:posOffset>6324600</wp:posOffset>
                      </wp:positionH>
                      <wp:positionV relativeFrom="paragraph">
                        <wp:posOffset>116205</wp:posOffset>
                      </wp:positionV>
                      <wp:extent cx="474345" cy="200025"/>
                      <wp:effectExtent l="0" t="0" r="1905" b="9525"/>
                      <wp:wrapNone/>
                      <wp:docPr id="31" name="文本框 31"/>
                      <wp:cNvGraphicFramePr/>
                      <a:graphic xmlns:a="http://schemas.openxmlformats.org/drawingml/2006/main">
                        <a:graphicData uri="http://schemas.microsoft.com/office/word/2010/wordprocessingShape">
                          <wps:wsp>
                            <wps:cNvSpPr txBox="1"/>
                            <wps:spPr>
                              <a:xfrm>
                                <a:off x="0" y="0"/>
                                <a:ext cx="474345" cy="2000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D9F487A">
                                  <w:pPr>
                                    <w:rPr>
                                      <w:rFonts w:hint="default" w:eastAsia="宋体"/>
                                      <w:sz w:val="13"/>
                                      <w:szCs w:val="10"/>
                                      <w:lang w:val="en-US" w:eastAsia="zh-CN"/>
                                    </w:rPr>
                                  </w:pPr>
                                  <w:r>
                                    <w:rPr>
                                      <w:rFonts w:hint="eastAsia"/>
                                      <w:sz w:val="13"/>
                                      <w:szCs w:val="10"/>
                                      <w:lang w:val="en-US" w:eastAsia="zh-CN"/>
                                    </w:rPr>
                                    <w:t>3.013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98pt;margin-top:9.15pt;height:15.75pt;width:37.35pt;z-index:251668480;mso-width-relative:page;mso-height-relative:page;" fillcolor="#FFFFFF [3201]" filled="t" stroked="f" coordsize="21600,21600" o:gfxdata="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Sb7Qg9UAAAAKAQAADwAAAAAA&#10;AAABACAAAAAiAAAAZHJzL2Rvd25yZXYueG1sUEsBAhQAFAAAAAgAh07iQEO8qw1PAgAAkAQAAA4A&#10;AAAAAAAAAQAgAAAAJAEAAGRycy9lMm9Eb2MueG1sUEsFBgAAAAAGAAYAWQEAAOUFAAAAAA==&#10;">
                      <v:fill on="t" focussize="0,0"/>
                      <v:stroke on="f" weight="0.5pt"/>
                      <v:imagedata o:title=""/>
                      <o:lock v:ext="edit" aspectratio="f"/>
                      <v:textbox>
                        <w:txbxContent>
                          <w:p w14:paraId="4D9F487A">
                            <w:pPr>
                              <w:rPr>
                                <w:rFonts w:hint="default" w:eastAsia="宋体"/>
                                <w:sz w:val="13"/>
                                <w:szCs w:val="10"/>
                                <w:lang w:val="en-US" w:eastAsia="zh-CN"/>
                              </w:rPr>
                            </w:pPr>
                            <w:r>
                              <w:rPr>
                                <w:rFonts w:hint="eastAsia"/>
                                <w:sz w:val="13"/>
                                <w:szCs w:val="10"/>
                                <w:lang w:val="en-US" w:eastAsia="zh-CN"/>
                              </w:rPr>
                              <w:t>3.013</w:t>
                            </w:r>
                          </w:p>
                        </w:txbxContent>
                      </v:textbox>
                    </v:shape>
                  </w:pict>
                </mc:Fallback>
              </mc:AlternateContent>
            </w:r>
            <w:r>
              <w:rPr>
                <w:color w:val="auto"/>
                <w:sz w:val="24"/>
              </w:rPr>
              <mc:AlternateContent>
                <mc:Choice Requires="wps">
                  <w:drawing>
                    <wp:anchor distT="0" distB="0" distL="114300" distR="114300" simplePos="0" relativeHeight="251671552" behindDoc="0" locked="0" layoutInCell="1" allowOverlap="1">
                      <wp:simplePos x="0" y="0"/>
                      <wp:positionH relativeFrom="column">
                        <wp:posOffset>1259205</wp:posOffset>
                      </wp:positionH>
                      <wp:positionV relativeFrom="paragraph">
                        <wp:posOffset>13335</wp:posOffset>
                      </wp:positionV>
                      <wp:extent cx="393065" cy="184785"/>
                      <wp:effectExtent l="0" t="0" r="6985" b="5715"/>
                      <wp:wrapNone/>
                      <wp:docPr id="34" name="文本框 34"/>
                      <wp:cNvGraphicFramePr/>
                      <a:graphic xmlns:a="http://schemas.openxmlformats.org/drawingml/2006/main">
                        <a:graphicData uri="http://schemas.microsoft.com/office/word/2010/wordprocessingShape">
                          <wps:wsp>
                            <wps:cNvSpPr txBox="1"/>
                            <wps:spPr>
                              <a:xfrm>
                                <a:off x="0" y="0"/>
                                <a:ext cx="393065" cy="1847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2A64F29">
                                  <w:pPr>
                                    <w:rPr>
                                      <w:rFonts w:hint="default" w:eastAsia="宋体"/>
                                      <w:sz w:val="11"/>
                                      <w:szCs w:val="11"/>
                                      <w:lang w:val="en-US" w:eastAsia="zh-CN"/>
                                    </w:rPr>
                                  </w:pPr>
                                  <w:r>
                                    <w:rPr>
                                      <w:rFonts w:hint="eastAsia"/>
                                      <w:sz w:val="11"/>
                                      <w:szCs w:val="11"/>
                                      <w:lang w:val="en-US" w:eastAsia="zh-CN"/>
                                    </w:rPr>
                                    <w:t>25.34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9.15pt;margin-top:1.05pt;height:14.55pt;width:30.95pt;z-index:251671552;mso-width-relative:page;mso-height-relative:page;" fillcolor="#FFFFFF [3201]" filled="t" stroked="f" coordsize="21600,21600" o:gfxdata="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K9gN7TAAAACAEAAA8AAAAA&#10;AAAAAQAgAAAAIgAAAGRycy9kb3ducmV2LnhtbFBLAQIUABQAAAAIAIdO4kC1WTlYUgIAAJAEAAAO&#10;AAAAAAAAAAEAIAAAACIBAABkcnMvZTJvRG9jLnhtbFBLBQYAAAAABgAGAFkBAADmBQAAAAA=&#10;">
                      <v:fill on="t" focussize="0,0"/>
                      <v:stroke on="f" weight="0.5pt"/>
                      <v:imagedata o:title=""/>
                      <o:lock v:ext="edit" aspectratio="f"/>
                      <v:textbox>
                        <w:txbxContent>
                          <w:p w14:paraId="72A64F29">
                            <w:pPr>
                              <w:rPr>
                                <w:rFonts w:hint="default" w:eastAsia="宋体"/>
                                <w:sz w:val="11"/>
                                <w:szCs w:val="11"/>
                                <w:lang w:val="en-US" w:eastAsia="zh-CN"/>
                              </w:rPr>
                            </w:pPr>
                            <w:r>
                              <w:rPr>
                                <w:rFonts w:hint="eastAsia"/>
                                <w:sz w:val="11"/>
                                <w:szCs w:val="11"/>
                                <w:lang w:val="en-US" w:eastAsia="zh-CN"/>
                              </w:rPr>
                              <w:t>25.34</w:t>
                            </w:r>
                          </w:p>
                        </w:txbxContent>
                      </v:textbox>
                    </v:shape>
                  </w:pict>
                </mc:Fallback>
              </mc:AlternateContent>
            </w: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6909435</wp:posOffset>
                      </wp:positionH>
                      <wp:positionV relativeFrom="paragraph">
                        <wp:posOffset>41910</wp:posOffset>
                      </wp:positionV>
                      <wp:extent cx="620395" cy="200025"/>
                      <wp:effectExtent l="0" t="0" r="8255" b="9525"/>
                      <wp:wrapNone/>
                      <wp:docPr id="32" name="文本框 32"/>
                      <wp:cNvGraphicFramePr/>
                      <a:graphic xmlns:a="http://schemas.openxmlformats.org/drawingml/2006/main">
                        <a:graphicData uri="http://schemas.microsoft.com/office/word/2010/wordprocessingShape">
                          <wps:wsp>
                            <wps:cNvSpPr txBox="1"/>
                            <wps:spPr>
                              <a:xfrm>
                                <a:off x="0" y="0"/>
                                <a:ext cx="620395" cy="2000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C1D8DFD">
                                  <w:pPr>
                                    <w:rPr>
                                      <w:rFonts w:hint="default" w:eastAsia="宋体"/>
                                      <w:sz w:val="13"/>
                                      <w:szCs w:val="10"/>
                                      <w:lang w:val="en-US" w:eastAsia="zh-CN"/>
                                    </w:rPr>
                                  </w:pPr>
                                  <w:r>
                                    <w:rPr>
                                      <w:rFonts w:hint="eastAsia"/>
                                      <w:sz w:val="13"/>
                                      <w:szCs w:val="10"/>
                                      <w:lang w:val="en-US" w:eastAsia="zh-CN"/>
                                    </w:rPr>
                                    <w:t>损耗10.32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4.05pt;margin-top:3.3pt;height:15.75pt;width:48.85pt;z-index:251669504;mso-width-relative:page;mso-height-relative:page;" fillcolor="#FFFFFF [3201]" filled="t" stroked="f" coordsize="21600,21600" o:gfxdata="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NGlRKHTAAAACgEAAA8AAAAAAAAA&#10;AQAgAAAAIgAAAGRycy9kb3ducmV2LnhtbFBLAQIUABQAAAAIAIdO4kBX843uTwIAAJAEAAAOAAAA&#10;AAAAAAEAIAAAACIBAABkcnMvZTJvRG9jLnhtbFBLBQYAAAAABgAGAFkBAADjBQAAAAA=&#10;">
                      <v:fill on="t" focussize="0,0"/>
                      <v:stroke on="f" weight="0.5pt"/>
                      <v:imagedata o:title=""/>
                      <o:lock v:ext="edit" aspectratio="f"/>
                      <v:textbox>
                        <w:txbxContent>
                          <w:p w14:paraId="4C1D8DFD">
                            <w:pPr>
                              <w:rPr>
                                <w:rFonts w:hint="default" w:eastAsia="宋体"/>
                                <w:sz w:val="13"/>
                                <w:szCs w:val="10"/>
                                <w:lang w:val="en-US" w:eastAsia="zh-CN"/>
                              </w:rPr>
                            </w:pPr>
                            <w:r>
                              <w:rPr>
                                <w:rFonts w:hint="eastAsia"/>
                                <w:sz w:val="13"/>
                                <w:szCs w:val="10"/>
                                <w:lang w:val="en-US" w:eastAsia="zh-CN"/>
                              </w:rPr>
                              <w:t>损耗10.32</w:t>
                            </w:r>
                          </w:p>
                        </w:txbxContent>
                      </v:textbox>
                    </v:shape>
                  </w:pict>
                </mc:Fallback>
              </mc:AlternateContent>
            </w:r>
            <w:r>
              <w:rPr>
                <w:color w:val="auto"/>
                <w:sz w:val="24"/>
              </w:rPr>
              <mc:AlternateContent>
                <mc:Choice Requires="wps">
                  <w:drawing>
                    <wp:anchor distT="0" distB="0" distL="114300" distR="114300" simplePos="0" relativeHeight="251667456" behindDoc="0" locked="0" layoutInCell="1" allowOverlap="1">
                      <wp:simplePos x="0" y="0"/>
                      <wp:positionH relativeFrom="column">
                        <wp:posOffset>7821295</wp:posOffset>
                      </wp:positionH>
                      <wp:positionV relativeFrom="paragraph">
                        <wp:posOffset>119380</wp:posOffset>
                      </wp:positionV>
                      <wp:extent cx="474345" cy="200025"/>
                      <wp:effectExtent l="0" t="0" r="1905" b="9525"/>
                      <wp:wrapNone/>
                      <wp:docPr id="4" name="文本框 4"/>
                      <wp:cNvGraphicFramePr/>
                      <a:graphic xmlns:a="http://schemas.openxmlformats.org/drawingml/2006/main">
                        <a:graphicData uri="http://schemas.microsoft.com/office/word/2010/wordprocessingShape">
                          <wps:wsp>
                            <wps:cNvSpPr txBox="1"/>
                            <wps:spPr>
                              <a:xfrm>
                                <a:off x="9079865" y="984250"/>
                                <a:ext cx="474345" cy="2000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5C9D368">
                                  <w:pPr>
                                    <w:rPr>
                                      <w:rFonts w:hint="default" w:eastAsia="宋体"/>
                                      <w:sz w:val="13"/>
                                      <w:szCs w:val="10"/>
                                      <w:lang w:val="en-US" w:eastAsia="zh-CN"/>
                                    </w:rPr>
                                  </w:pPr>
                                  <w:r>
                                    <w:rPr>
                                      <w:rFonts w:hint="eastAsia"/>
                                      <w:sz w:val="13"/>
                                      <w:szCs w:val="10"/>
                                      <w:lang w:val="en-US" w:eastAsia="zh-CN"/>
                                    </w:rPr>
                                    <w:t>13.83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15.85pt;margin-top:9.4pt;height:15.75pt;width:37.35pt;z-index:251667456;mso-width-relative:page;mso-height-relative:page;" fillcolor="#FFFFFF [3201]" filled="t" stroked="f" coordsize="21600,21600" o:gfxdata="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rVM9DtUAAAAL&#10;AQAADwAAAAAAAAABACAAAAAiAAAAZHJzL2Rvd25yZXYueG1sUEsBAhQAFAAAAAgAh07iQMyg9iFY&#10;AgAAmQQAAA4AAAAAAAAAAQAgAAAAJAEAAGRycy9lMm9Eb2MueG1sUEsFBgAAAAAGAAYAWQEAAO4F&#10;AAAAAA==&#10;">
                      <v:fill on="t" focussize="0,0"/>
                      <v:stroke on="f" weight="0.5pt"/>
                      <v:imagedata o:title=""/>
                      <o:lock v:ext="edit" aspectratio="f"/>
                      <v:textbox>
                        <w:txbxContent>
                          <w:p w14:paraId="25C9D368">
                            <w:pPr>
                              <w:rPr>
                                <w:rFonts w:hint="default" w:eastAsia="宋体"/>
                                <w:sz w:val="13"/>
                                <w:szCs w:val="10"/>
                                <w:lang w:val="en-US" w:eastAsia="zh-CN"/>
                              </w:rPr>
                            </w:pPr>
                            <w:r>
                              <w:rPr>
                                <w:rFonts w:hint="eastAsia"/>
                                <w:sz w:val="13"/>
                                <w:szCs w:val="10"/>
                                <w:lang w:val="en-US" w:eastAsia="zh-CN"/>
                              </w:rPr>
                              <w:t>13.83</w:t>
                            </w:r>
                          </w:p>
                        </w:txbxContent>
                      </v:textbox>
                    </v:shape>
                  </w:pict>
                </mc:Fallback>
              </mc:AlternateContent>
            </w:r>
            <w:r>
              <w:rPr>
                <w:color w:val="auto"/>
                <w:sz w:val="24"/>
              </w:rPr>
              <mc:AlternateContent>
                <mc:Choice Requires="wps">
                  <w:drawing>
                    <wp:anchor distT="0" distB="0" distL="114300" distR="114300" simplePos="0" relativeHeight="251666432" behindDoc="0" locked="0" layoutInCell="1" allowOverlap="1">
                      <wp:simplePos x="0" y="0"/>
                      <wp:positionH relativeFrom="column">
                        <wp:posOffset>3140710</wp:posOffset>
                      </wp:positionH>
                      <wp:positionV relativeFrom="paragraph">
                        <wp:posOffset>5749925</wp:posOffset>
                      </wp:positionV>
                      <wp:extent cx="2298065" cy="314325"/>
                      <wp:effectExtent l="0" t="0" r="0" b="0"/>
                      <wp:wrapNone/>
                      <wp:docPr id="7" name="文本框 7"/>
                      <wp:cNvGraphicFramePr/>
                      <a:graphic xmlns:a="http://schemas.openxmlformats.org/drawingml/2006/main">
                        <a:graphicData uri="http://schemas.microsoft.com/office/word/2010/wordprocessingShape">
                          <wps:wsp>
                            <wps:cNvSpPr txBox="1"/>
                            <wps:spPr>
                              <a:xfrm>
                                <a:off x="5292725" y="6675120"/>
                                <a:ext cx="2298065" cy="3143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494B0">
                                  <w:pPr>
                                    <w:adjustRightInd w:val="0"/>
                                    <w:jc w:val="center"/>
                                    <w:rPr>
                                      <w:rFonts w:eastAsia="黑体"/>
                                      <w:color w:val="000000" w:themeColor="text1"/>
                                      <w:szCs w:val="24"/>
                                      <w14:textFill>
                                        <w14:solidFill>
                                          <w14:schemeClr w14:val="tx1"/>
                                        </w14:solidFill>
                                      </w14:textFill>
                                    </w:rPr>
                                  </w:pPr>
                                  <w:r>
                                    <w:rPr>
                                      <w:rFonts w:hint="eastAsia" w:eastAsia="黑体"/>
                                      <w:color w:val="000000" w:themeColor="text1"/>
                                      <w:szCs w:val="24"/>
                                      <w14:textFill>
                                        <w14:solidFill>
                                          <w14:schemeClr w14:val="tx1"/>
                                        </w14:solidFill>
                                      </w14:textFill>
                                    </w:rPr>
                                    <w:t>图2-2  改建后全厂水平衡图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7.3pt;margin-top:452.75pt;height:24.75pt;width:180.95pt;z-index:251666432;mso-width-relative:page;mso-height-relative:page;" filled="f" stroked="f" coordsize="21600,21600" o:gfxdata="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DjRqe2wAAAAsBAAAPAAAAAAAA&#10;AAEAIAAAACIAAABkcnMvZG93bnJldi54bWxQSwECFAAUAAAACACHTuJA+epPcEgCAAByBAAADgAA&#10;AAAAAAABACAAAAAqAQAAZHJzL2Uyb0RvYy54bWxQSwUGAAAAAAYABgBZAQAA5AUAAAAA&#10;">
                      <v:fill on="f" focussize="0,0"/>
                      <v:stroke on="f" weight="0.5pt"/>
                      <v:imagedata o:title=""/>
                      <o:lock v:ext="edit" aspectratio="f"/>
                      <v:textbox>
                        <w:txbxContent>
                          <w:p w14:paraId="63B494B0">
                            <w:pPr>
                              <w:adjustRightInd w:val="0"/>
                              <w:jc w:val="center"/>
                              <w:rPr>
                                <w:rFonts w:eastAsia="黑体"/>
                                <w:color w:val="000000" w:themeColor="text1"/>
                                <w:szCs w:val="24"/>
                                <w14:textFill>
                                  <w14:solidFill>
                                    <w14:schemeClr w14:val="tx1"/>
                                  </w14:solidFill>
                                </w14:textFill>
                              </w:rPr>
                            </w:pPr>
                            <w:r>
                              <w:rPr>
                                <w:rFonts w:hint="eastAsia" w:eastAsia="黑体"/>
                                <w:color w:val="000000" w:themeColor="text1"/>
                                <w:szCs w:val="24"/>
                                <w14:textFill>
                                  <w14:solidFill>
                                    <w14:schemeClr w14:val="tx1"/>
                                  </w14:solidFill>
                                </w14:textFill>
                              </w:rPr>
                              <w:t>图2-2  改建后全厂水平衡图</w:t>
                            </w:r>
                          </w:p>
                        </w:txbxContent>
                      </v:textbox>
                    </v:shape>
                  </w:pict>
                </mc:Fallback>
              </mc:AlternateContent>
            </w:r>
            <w:r>
              <w:rPr>
                <w:color w:val="auto"/>
              </w:rPr>
              <w:drawing>
                <wp:inline distT="0" distB="0" distL="114300" distR="114300">
                  <wp:extent cx="8189595" cy="5827395"/>
                  <wp:effectExtent l="0" t="0" r="1905" b="190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8"/>
                          <a:stretch>
                            <a:fillRect/>
                          </a:stretch>
                        </pic:blipFill>
                        <pic:spPr>
                          <a:xfrm>
                            <a:off x="0" y="0"/>
                            <a:ext cx="8189595" cy="5827395"/>
                          </a:xfrm>
                          <a:prstGeom prst="rect">
                            <a:avLst/>
                          </a:prstGeom>
                          <a:noFill/>
                          <a:ln>
                            <a:noFill/>
                          </a:ln>
                        </pic:spPr>
                      </pic:pic>
                    </a:graphicData>
                  </a:graphic>
                </wp:inline>
              </w:drawing>
            </w:r>
          </w:p>
        </w:tc>
      </w:tr>
    </w:tbl>
    <w:p w14:paraId="41672F38">
      <w:pPr>
        <w:pStyle w:val="85"/>
        <w:rPr>
          <w:color w:val="auto"/>
        </w:rPr>
        <w:sectPr>
          <w:pgSz w:w="16840" w:h="11907" w:orient="landscape"/>
          <w:pgMar w:top="1247" w:right="1149" w:bottom="1134" w:left="993" w:header="680" w:footer="680" w:gutter="0"/>
          <w:cols w:space="720" w:num="1"/>
          <w:docGrid w:linePitch="326" w:charSpace="0"/>
        </w:sectPr>
      </w:pPr>
    </w:p>
    <w:tbl>
      <w:tblPr>
        <w:tblStyle w:val="69"/>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9286"/>
      </w:tblGrid>
      <w:tr w14:paraId="4AFA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34" w:hRule="atLeast"/>
        </w:trPr>
        <w:tc>
          <w:tcPr>
            <w:tcW w:w="234" w:type="pct"/>
            <w:tcBorders>
              <w:top w:val="single" w:color="auto" w:sz="4" w:space="0"/>
              <w:left w:val="single" w:color="auto" w:sz="4" w:space="0"/>
              <w:bottom w:val="single" w:color="auto" w:sz="4" w:space="0"/>
              <w:right w:val="single" w:color="auto" w:sz="4" w:space="0"/>
            </w:tcBorders>
            <w:vAlign w:val="center"/>
          </w:tcPr>
          <w:p w14:paraId="5D6ADFD3">
            <w:pPr>
              <w:spacing w:before="120" w:beforeLines="50"/>
              <w:jc w:val="center"/>
              <w:rPr>
                <w:color w:val="auto"/>
                <w:szCs w:val="24"/>
              </w:rPr>
            </w:pPr>
            <w:r>
              <w:rPr>
                <w:rFonts w:hint="eastAsia"/>
                <w:color w:val="auto"/>
                <w:szCs w:val="24"/>
              </w:rPr>
              <w:t>工艺流程和产排污环节</w:t>
            </w:r>
          </w:p>
        </w:tc>
        <w:tc>
          <w:tcPr>
            <w:tcW w:w="4765" w:type="pct"/>
            <w:tcBorders>
              <w:top w:val="single" w:color="auto" w:sz="4" w:space="0"/>
              <w:left w:val="single" w:color="auto" w:sz="4" w:space="0"/>
              <w:bottom w:val="single" w:color="auto" w:sz="4" w:space="0"/>
              <w:right w:val="single" w:color="auto" w:sz="4" w:space="0"/>
            </w:tcBorders>
            <w:vAlign w:val="center"/>
          </w:tcPr>
          <w:p w14:paraId="20CD9F87">
            <w:pPr>
              <w:adjustRightInd w:val="0"/>
              <w:snapToGrid w:val="0"/>
              <w:outlineLvl w:val="0"/>
              <w:rPr>
                <w:bCs/>
                <w:color w:val="auto"/>
                <w:szCs w:val="24"/>
              </w:rPr>
            </w:pPr>
            <w:bookmarkStart w:id="29" w:name="_Toc6505"/>
            <w:bookmarkStart w:id="30" w:name="_Toc7294"/>
            <w:bookmarkStart w:id="31" w:name="_Hlk112073836"/>
            <w:r>
              <w:rPr>
                <w:rFonts w:hint="eastAsia"/>
                <w:b/>
                <w:color w:val="auto"/>
                <w:szCs w:val="24"/>
              </w:rPr>
              <w:t>1、工艺流程</w:t>
            </w:r>
            <w:bookmarkEnd w:id="29"/>
            <w:bookmarkEnd w:id="30"/>
          </w:p>
          <w:p w14:paraId="47F55C3F">
            <w:pPr>
              <w:ind w:firstLine="480" w:firstLineChars="200"/>
              <w:rPr>
                <w:color w:val="auto"/>
              </w:rPr>
            </w:pPr>
            <w:r>
              <w:rPr>
                <w:rFonts w:hint="eastAsia"/>
                <w:color w:val="auto"/>
              </w:rPr>
              <w:t>本项目</w:t>
            </w:r>
            <w:r>
              <w:rPr>
                <w:rFonts w:hint="eastAsia"/>
                <w:color w:val="auto"/>
                <w:lang w:val="en-US" w:eastAsia="zh-CN"/>
              </w:rPr>
              <w:t>主要建设</w:t>
            </w:r>
            <w:r>
              <w:rPr>
                <w:rFonts w:hint="eastAsia"/>
                <w:bCs/>
                <w:color w:val="auto"/>
                <w:szCs w:val="24"/>
              </w:rPr>
              <w:t>高端工业铝材浇铸件生产线</w:t>
            </w:r>
            <w:r>
              <w:rPr>
                <w:rFonts w:hint="eastAsia"/>
                <w:color w:val="auto"/>
                <w:szCs w:val="24"/>
                <w:lang w:val="en-US" w:eastAsia="zh-CN"/>
              </w:rPr>
              <w:t>，原材料为现有</w:t>
            </w:r>
            <w:r>
              <w:rPr>
                <w:rFonts w:hint="eastAsia"/>
                <w:bCs/>
                <w:color w:val="auto"/>
                <w:szCs w:val="24"/>
              </w:rPr>
              <w:t>年产500万件轨道交通及新能源汽车配件扩规项目</w:t>
            </w:r>
            <w:r>
              <w:rPr>
                <w:rFonts w:hint="eastAsia"/>
                <w:color w:val="auto"/>
                <w:szCs w:val="24"/>
                <w:lang w:val="en-US" w:eastAsia="zh-CN"/>
              </w:rPr>
              <w:t>挤压线上产生的未经表面处理过的清洁锯切料头，利用新增离心浇铸机、倾倒熔炉、低压浇铸机、集中熔铝炉等设备生产</w:t>
            </w:r>
            <w:r>
              <w:rPr>
                <w:rFonts w:hint="eastAsia"/>
                <w:bCs/>
                <w:color w:val="auto"/>
                <w:szCs w:val="24"/>
              </w:rPr>
              <w:t>铝材浇铸件</w:t>
            </w:r>
            <w:r>
              <w:rPr>
                <w:rFonts w:hint="eastAsia"/>
                <w:bCs/>
                <w:color w:val="auto"/>
                <w:szCs w:val="24"/>
                <w:lang w:eastAsia="zh-CN"/>
              </w:rPr>
              <w:t>，</w:t>
            </w:r>
            <w:r>
              <w:rPr>
                <w:rFonts w:hint="eastAsia"/>
                <w:bCs/>
                <w:color w:val="auto"/>
                <w:szCs w:val="24"/>
                <w:lang w:val="en-US" w:eastAsia="zh-CN"/>
              </w:rPr>
              <w:t>产品应用于汽车零部件，</w:t>
            </w:r>
            <w:r>
              <w:rPr>
                <w:rFonts w:hint="eastAsia"/>
                <w:color w:val="auto"/>
                <w:lang w:val="en-US" w:eastAsia="zh-CN"/>
              </w:rPr>
              <w:t>本项目分为离心浇铸和低压压铸，离心浇铸工艺无需除渣，浮渣冷却后位于半成品表层，待后续精加工切削去除，低压压铸工艺要求铝液成分均匀，需要进行除气除渣工艺，具体生产</w:t>
            </w:r>
            <w:r>
              <w:rPr>
                <w:rFonts w:hint="eastAsia"/>
                <w:color w:val="auto"/>
              </w:rPr>
              <w:t>工艺描述如下：</w:t>
            </w:r>
          </w:p>
          <w:p w14:paraId="0481F973">
            <w:pPr>
              <w:bidi w:val="0"/>
              <w:jc w:val="center"/>
              <w:rPr>
                <w:rFonts w:hint="eastAsia"/>
                <w:color w:val="auto"/>
                <w:lang w:val="en-US" w:eastAsia="zh-CN"/>
              </w:rPr>
            </w:pPr>
            <w:r>
              <w:drawing>
                <wp:inline distT="0" distB="0" distL="114300" distR="114300">
                  <wp:extent cx="4709795" cy="4754880"/>
                  <wp:effectExtent l="0" t="0" r="0" b="7620"/>
                  <wp:docPr id="6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
                          <pic:cNvPicPr>
                            <a:picLocks noChangeAspect="1"/>
                          </pic:cNvPicPr>
                        </pic:nvPicPr>
                        <pic:blipFill>
                          <a:blip r:embed="rId19"/>
                          <a:stretch>
                            <a:fillRect/>
                          </a:stretch>
                        </pic:blipFill>
                        <pic:spPr>
                          <a:xfrm>
                            <a:off x="0" y="0"/>
                            <a:ext cx="4709795" cy="4754880"/>
                          </a:xfrm>
                          <a:prstGeom prst="rect">
                            <a:avLst/>
                          </a:prstGeom>
                          <a:noFill/>
                          <a:ln>
                            <a:noFill/>
                          </a:ln>
                        </pic:spPr>
                      </pic:pic>
                    </a:graphicData>
                  </a:graphic>
                </wp:inline>
              </w:drawing>
            </w:r>
          </w:p>
          <w:p w14:paraId="54CDC03C">
            <w:pPr>
              <w:bidi w:val="0"/>
              <w:ind w:firstLine="480" w:firstLineChars="200"/>
              <w:jc w:val="center"/>
              <w:rPr>
                <w:rFonts w:hint="eastAsia"/>
                <w:color w:val="auto"/>
                <w:lang w:val="en-US" w:eastAsia="zh-CN"/>
              </w:rPr>
            </w:pPr>
            <w:r>
              <w:rPr>
                <w:color w:val="auto"/>
              </w:rPr>
              <w:drawing>
                <wp:inline distT="0" distB="0" distL="114300" distR="114300">
                  <wp:extent cx="0" cy="0"/>
                  <wp:effectExtent l="0" t="0" r="0" b="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20"/>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21"/>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22"/>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23"/>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pic:cNvPicPr>
                            <a:picLocks noChangeAspect="1"/>
                          </pic:cNvPicPr>
                        </pic:nvPicPr>
                        <pic:blipFill>
                          <a:blip r:embed="rId24"/>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3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pic:cNvPicPr>
                            <a:picLocks noChangeAspect="1"/>
                          </pic:cNvPicPr>
                        </pic:nvPicPr>
                        <pic:blipFill>
                          <a:blip r:embed="rId25"/>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3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pic:cNvPicPr>
                            <a:picLocks noChangeAspect="1"/>
                          </pic:cNvPicPr>
                        </pic:nvPicPr>
                        <pic:blipFill>
                          <a:blip r:embed="rId26"/>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3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3"/>
                          <pic:cNvPicPr>
                            <a:picLocks noChangeAspect="1"/>
                          </pic:cNvPicPr>
                        </pic:nvPicPr>
                        <pic:blipFill>
                          <a:blip r:embed="rId27"/>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4"/>
                          <pic:cNvPicPr>
                            <a:picLocks noChangeAspect="1"/>
                          </pic:cNvPicPr>
                        </pic:nvPicPr>
                        <pic:blipFill>
                          <a:blip r:embed="rId28"/>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5"/>
                          <pic:cNvPicPr>
                            <a:picLocks noChangeAspect="1"/>
                          </pic:cNvPicPr>
                        </pic:nvPicPr>
                        <pic:blipFill>
                          <a:blip r:embed="rId26"/>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
                          <pic:cNvPicPr>
                            <a:picLocks noChangeAspect="1"/>
                          </pic:cNvPicPr>
                        </pic:nvPicPr>
                        <pic:blipFill>
                          <a:blip r:embed="rId29"/>
                          <a:stretch>
                            <a:fillRect/>
                          </a:stretch>
                        </pic:blipFill>
                        <pic:spPr>
                          <a:xfrm>
                            <a:off x="0" y="0"/>
                            <a:ext cx="0" cy="0"/>
                          </a:xfrm>
                          <a:prstGeom prst="rect">
                            <a:avLst/>
                          </a:prstGeom>
                          <a:noFill/>
                          <a:ln>
                            <a:noFill/>
                          </a:ln>
                        </pic:spPr>
                      </pic:pic>
                    </a:graphicData>
                  </a:graphic>
                </wp:inline>
              </w:drawing>
            </w:r>
            <w:r>
              <w:rPr>
                <w:rFonts w:eastAsia="黑体"/>
                <w:color w:val="auto"/>
              </w:rPr>
              <w:t>图</w:t>
            </w:r>
            <w:r>
              <w:rPr>
                <w:rFonts w:ascii="Times New Roman" w:eastAsia="黑体" w:cs="Times New Roman"/>
                <w:color w:val="auto"/>
              </w:rPr>
              <w:t>2-</w:t>
            </w:r>
            <w:r>
              <w:rPr>
                <w:rFonts w:hint="eastAsia" w:ascii="Times New Roman" w:eastAsia="黑体" w:cs="Times New Roman"/>
                <w:color w:val="auto"/>
              </w:rPr>
              <w:t>3</w:t>
            </w:r>
            <w:r>
              <w:rPr>
                <w:rFonts w:hint="eastAsia" w:eastAsia="黑体"/>
                <w:color w:val="auto"/>
              </w:rPr>
              <w:t xml:space="preserve">  </w:t>
            </w:r>
            <w:r>
              <w:rPr>
                <w:rFonts w:hint="eastAsia" w:eastAsia="黑体"/>
                <w:color w:val="auto"/>
                <w:lang w:val="en-US" w:eastAsia="zh-CN"/>
              </w:rPr>
              <w:t>本项目</w:t>
            </w:r>
            <w:r>
              <w:rPr>
                <w:rFonts w:hint="eastAsia" w:ascii="Times New Roman" w:eastAsia="黑体"/>
                <w:color w:val="auto"/>
              </w:rPr>
              <w:t>生产工艺</w:t>
            </w:r>
            <w:r>
              <w:rPr>
                <w:rFonts w:hint="eastAsia" w:eastAsia="黑体"/>
                <w:color w:val="auto"/>
              </w:rPr>
              <w:t>及产污节点图</w:t>
            </w:r>
          </w:p>
          <w:p w14:paraId="6591D60E">
            <w:pPr>
              <w:ind w:firstLine="480" w:firstLineChars="200"/>
              <w:rPr>
                <w:b/>
                <w:bCs/>
                <w:color w:val="auto"/>
              </w:rPr>
            </w:pPr>
            <w:r>
              <w:rPr>
                <w:rFonts w:hint="eastAsia"/>
                <w:b w:val="0"/>
                <w:bCs w:val="0"/>
                <w:color w:val="auto"/>
              </w:rPr>
              <w:t>一、</w:t>
            </w:r>
            <w:r>
              <w:rPr>
                <w:rFonts w:hint="eastAsia"/>
                <w:b w:val="0"/>
                <w:bCs w:val="0"/>
                <w:color w:val="auto"/>
                <w:lang w:val="en-US" w:eastAsia="zh-CN"/>
              </w:rPr>
              <w:t>离心浇注</w:t>
            </w:r>
            <w:r>
              <w:rPr>
                <w:rFonts w:hint="eastAsia"/>
                <w:b w:val="0"/>
                <w:bCs w:val="0"/>
                <w:color w:val="auto"/>
              </w:rPr>
              <w:t>生产工艺</w:t>
            </w:r>
          </w:p>
          <w:p w14:paraId="5682859D">
            <w:pPr>
              <w:bidi w:val="0"/>
              <w:ind w:firstLine="480" w:firstLineChars="200"/>
              <w:rPr>
                <w:rFonts w:hint="default"/>
                <w:color w:val="auto"/>
                <w:lang w:val="en-US" w:eastAsia="zh-CN"/>
              </w:rPr>
            </w:pPr>
            <w:r>
              <w:rPr>
                <w:rFonts w:hint="eastAsia"/>
                <w:b w:val="0"/>
                <w:bCs w:val="0"/>
                <w:color w:val="auto"/>
                <w:lang w:val="en-US" w:eastAsia="zh-CN"/>
              </w:rPr>
              <w:t>离心浇铸是将液态金属浇入旋转的铸型中，在离心力作用下充型并凝固成型的一种铸造方法，本项目离心浇铸机为熔铝浇注一体式设备，</w:t>
            </w:r>
            <w:r>
              <w:rPr>
                <w:rFonts w:hint="default"/>
                <w:color w:val="auto"/>
                <w:lang w:val="en-US" w:eastAsia="zh-CN"/>
              </w:rPr>
              <w:t>工艺流程说明：</w:t>
            </w:r>
          </w:p>
          <w:p w14:paraId="7C8F2D95">
            <w:pPr>
              <w:bidi w:val="0"/>
              <w:ind w:firstLine="480" w:firstLineChars="200"/>
              <w:rPr>
                <w:rFonts w:hint="eastAsia"/>
                <w:color w:val="auto"/>
                <w:lang w:val="en-US" w:eastAsia="zh-CN"/>
              </w:rPr>
            </w:pPr>
            <w:r>
              <w:rPr>
                <w:rFonts w:hint="eastAsia"/>
                <w:color w:val="auto"/>
                <w:lang w:val="en-US" w:eastAsia="zh-CN"/>
              </w:rPr>
              <w:t>（1）投料：将铝锭及挑选后的铝料头经铲车投入集中熔铝炉，本项目铝料头为现有项目锯切料头，此处无粉尘产生，</w:t>
            </w:r>
            <w:r>
              <w:rPr>
                <w:rFonts w:hint="eastAsia"/>
                <w:bCs/>
                <w:color w:val="auto"/>
                <w:szCs w:val="24"/>
              </w:rPr>
              <w:t>该工段有噪声N产生</w:t>
            </w:r>
            <w:r>
              <w:rPr>
                <w:rFonts w:hint="eastAsia"/>
                <w:color w:val="auto"/>
                <w:lang w:val="en-US" w:eastAsia="zh-CN"/>
              </w:rPr>
              <w:t>；</w:t>
            </w:r>
          </w:p>
          <w:p w14:paraId="531E4E5B">
            <w:pPr>
              <w:keepNext w:val="0"/>
              <w:keepLines w:val="0"/>
              <w:widowControl/>
              <w:suppressLineNumbers w:val="0"/>
              <w:ind w:firstLine="480" w:firstLineChars="200"/>
              <w:jc w:val="left"/>
              <w:rPr>
                <w:rFonts w:hint="eastAsia"/>
                <w:color w:val="auto"/>
                <w:highlight w:val="none"/>
                <w:lang w:val="en-US" w:eastAsia="zh-CN"/>
              </w:rPr>
            </w:pPr>
            <w:r>
              <w:rPr>
                <w:rFonts w:hint="eastAsia"/>
                <w:color w:val="auto"/>
                <w:lang w:val="en-US" w:eastAsia="zh-CN"/>
              </w:rPr>
              <w:t>（2）熔炼（配套电炉）：</w:t>
            </w:r>
            <w:bookmarkStart w:id="32" w:name="OLE_LINK3"/>
            <w:bookmarkStart w:id="33" w:name="OLE_LINK4"/>
            <w:r>
              <w:rPr>
                <w:rFonts w:hint="eastAsia"/>
                <w:color w:val="auto"/>
                <w:lang w:val="en-US" w:eastAsia="zh-CN"/>
              </w:rPr>
              <w:t>将铝料</w:t>
            </w:r>
            <w:r>
              <w:rPr>
                <w:rFonts w:hint="eastAsia"/>
                <w:color w:val="auto"/>
                <w:highlight w:val="none"/>
                <w:lang w:val="en-US" w:eastAsia="zh-CN"/>
              </w:rPr>
              <w:t>放入</w:t>
            </w:r>
            <w:r>
              <w:rPr>
                <w:rFonts w:hint="eastAsia"/>
                <w:color w:val="auto"/>
                <w:lang w:val="en-US" w:eastAsia="zh-CN"/>
              </w:rPr>
              <w:t>离心浇铸机配套的电熔炉</w:t>
            </w:r>
            <w:r>
              <w:rPr>
                <w:rFonts w:hint="eastAsia"/>
                <w:color w:val="auto"/>
                <w:highlight w:val="none"/>
                <w:lang w:val="en-US" w:eastAsia="zh-CN"/>
              </w:rPr>
              <w:t>中加热熔化成铝水，熔化过程中需严格控制温度、时间和炉内气氛等参数，铝合金熔化温度一般控制在700-780℃</w:t>
            </w:r>
            <w:r>
              <w:rPr>
                <w:rFonts w:hint="eastAsia"/>
                <w:color w:val="auto"/>
                <w:lang w:val="en-US" w:eastAsia="zh-CN"/>
              </w:rPr>
              <w:t>，</w:t>
            </w:r>
            <w:r>
              <w:rPr>
                <w:rFonts w:hint="eastAsia"/>
                <w:color w:val="auto"/>
                <w:highlight w:val="none"/>
                <w:lang w:val="en-US" w:eastAsia="zh-CN"/>
              </w:rPr>
              <w:t>以保证金属液的质量。</w:t>
            </w:r>
          </w:p>
          <w:p w14:paraId="35E8A20F">
            <w:pPr>
              <w:keepNext w:val="0"/>
              <w:keepLines w:val="0"/>
              <w:widowControl/>
              <w:suppressLineNumbers w:val="0"/>
              <w:ind w:firstLine="480" w:firstLineChars="200"/>
              <w:jc w:val="left"/>
              <w:rPr>
                <w:rFonts w:hint="eastAsia"/>
                <w:color w:val="auto"/>
                <w:lang w:val="en-US" w:eastAsia="zh-CN"/>
              </w:rPr>
            </w:pPr>
            <w:r>
              <w:rPr>
                <w:rFonts w:hint="eastAsia"/>
                <w:color w:val="auto"/>
                <w:highlight w:val="none"/>
                <w:lang w:val="en-US" w:eastAsia="zh-CN"/>
              </w:rPr>
              <w:t>产排污：</w:t>
            </w:r>
            <w:r>
              <w:rPr>
                <w:rFonts w:hint="eastAsia"/>
                <w:color w:val="auto"/>
                <w:lang w:val="en-US" w:eastAsia="zh-CN"/>
              </w:rPr>
              <w:t>此工段产生熔炼废气G2-1（颗粒物）、</w:t>
            </w:r>
            <w:r>
              <w:rPr>
                <w:rFonts w:hint="eastAsia"/>
                <w:bCs/>
                <w:color w:val="auto"/>
                <w:szCs w:val="24"/>
              </w:rPr>
              <w:t>噪声N</w:t>
            </w:r>
            <w:r>
              <w:rPr>
                <w:rFonts w:hint="eastAsia"/>
                <w:color w:val="auto"/>
                <w:lang w:val="en-US" w:eastAsia="zh-CN"/>
              </w:rPr>
              <w:t>；</w:t>
            </w:r>
            <w:bookmarkEnd w:id="32"/>
          </w:p>
          <w:p w14:paraId="13A0A180">
            <w:pPr>
              <w:numPr>
                <w:ilvl w:val="0"/>
                <w:numId w:val="22"/>
              </w:numPr>
              <w:bidi w:val="0"/>
              <w:ind w:left="0" w:leftChars="0" w:firstLine="480" w:firstLineChars="200"/>
              <w:rPr>
                <w:rFonts w:hint="eastAsia"/>
                <w:color w:val="auto"/>
                <w:lang w:val="en-US" w:eastAsia="zh-CN"/>
              </w:rPr>
            </w:pPr>
            <w:r>
              <w:rPr>
                <w:rFonts w:hint="eastAsia"/>
                <w:color w:val="auto"/>
                <w:lang w:val="en-US" w:eastAsia="zh-CN"/>
              </w:rPr>
              <w:t>离心浇铸：先准备好模具，将准备好的模具安装在</w:t>
            </w:r>
            <w:bookmarkStart w:id="34" w:name="OLE_LINK38"/>
            <w:r>
              <w:rPr>
                <w:rFonts w:hint="eastAsia"/>
                <w:color w:val="auto"/>
                <w:lang w:val="en-US" w:eastAsia="zh-CN"/>
              </w:rPr>
              <w:t>离心浇铸机</w:t>
            </w:r>
            <w:bookmarkEnd w:id="34"/>
            <w:r>
              <w:rPr>
                <w:rFonts w:hint="eastAsia"/>
                <w:color w:val="auto"/>
                <w:lang w:val="en-US" w:eastAsia="zh-CN"/>
              </w:rPr>
              <w:t>的旋转轴上，确保模具安装牢固，旋转轴线与离心机的轴线重合。然后调整离心机参数，根据铸件的要求，调整离心机的转速、旋转方向和浇铸时间等参数，本项目离心机保持3500转左右。最后浇入金属液，当离心机达到预定转速后，通过设备自带的机械手将融化的铝水金属液缓慢地倒入模具中。金属液在离心力的作用下，迅速向模具的内壁流动并均匀分布，同时开始凝固</w:t>
            </w:r>
            <w:r>
              <w:rPr>
                <w:rFonts w:hint="eastAsia"/>
                <w:color w:val="auto"/>
              </w:rPr>
              <w:t>。</w:t>
            </w:r>
            <w:bookmarkStart w:id="35" w:name="OLE_LINK2"/>
            <w:r>
              <w:rPr>
                <w:rFonts w:hint="eastAsia"/>
                <w:color w:val="auto"/>
                <w:lang w:val="en-US" w:eastAsia="zh-CN"/>
              </w:rPr>
              <w:t>本项目离心浇铸模具使用寿命较长，无需更换模具。</w:t>
            </w:r>
          </w:p>
          <w:p w14:paraId="76703B66">
            <w:pPr>
              <w:numPr>
                <w:ilvl w:val="0"/>
                <w:numId w:val="0"/>
              </w:numPr>
              <w:bidi w:val="0"/>
              <w:ind w:leftChars="200"/>
              <w:rPr>
                <w:rFonts w:hint="eastAsia"/>
                <w:color w:val="auto"/>
                <w:lang w:val="en-US" w:eastAsia="zh-CN"/>
              </w:rPr>
            </w:pPr>
            <w:r>
              <w:rPr>
                <w:rFonts w:hint="eastAsia"/>
                <w:color w:val="auto"/>
                <w:lang w:val="en-US" w:eastAsia="zh-CN"/>
              </w:rPr>
              <w:t>产排污：</w:t>
            </w:r>
            <w:r>
              <w:rPr>
                <w:rFonts w:hint="eastAsia"/>
                <w:color w:val="auto"/>
              </w:rPr>
              <w:t>该工段有</w:t>
            </w:r>
            <w:bookmarkEnd w:id="35"/>
            <w:r>
              <w:rPr>
                <w:rFonts w:hint="eastAsia"/>
                <w:color w:val="auto"/>
                <w:lang w:val="en-US" w:eastAsia="zh-CN"/>
              </w:rPr>
              <w:t>浇铸废气G2-2（颗粒物）、</w:t>
            </w:r>
            <w:r>
              <w:rPr>
                <w:rFonts w:hint="eastAsia"/>
                <w:color w:val="auto"/>
              </w:rPr>
              <w:t>噪声N产生</w:t>
            </w:r>
            <w:r>
              <w:rPr>
                <w:rFonts w:hint="eastAsia"/>
                <w:color w:val="auto"/>
                <w:lang w:val="en-US" w:eastAsia="zh-CN"/>
              </w:rPr>
              <w:t>；</w:t>
            </w:r>
          </w:p>
          <w:bookmarkEnd w:id="33"/>
          <w:p w14:paraId="61BD947B">
            <w:pPr>
              <w:bidi w:val="0"/>
              <w:ind w:firstLine="480" w:firstLineChars="200"/>
              <w:rPr>
                <w:rFonts w:hint="eastAsia"/>
                <w:color w:val="auto"/>
                <w:lang w:val="en-US" w:eastAsia="zh-CN"/>
              </w:rPr>
            </w:pPr>
            <w:r>
              <w:rPr>
                <w:rFonts w:hint="eastAsia"/>
                <w:color w:val="auto"/>
                <w:lang w:val="en-US" w:eastAsia="zh-CN"/>
              </w:rPr>
              <w:t>（4）冷却脱模：铸件采用自然冷却方式，当铸件冷却到一定温度后，停止离心机旋转，打开模具，取出铸件。脱模时要注意避免损伤铸件表面和破坏其形状，本次采用机械顶出装置辅助脱模，无需脱模剂。</w:t>
            </w:r>
            <w:r>
              <w:rPr>
                <w:rFonts w:hint="eastAsia"/>
                <w:color w:val="auto"/>
              </w:rPr>
              <w:t>该工段有噪声N产生</w:t>
            </w:r>
            <w:r>
              <w:rPr>
                <w:rFonts w:hint="eastAsia"/>
                <w:color w:val="auto"/>
                <w:lang w:val="en-US" w:eastAsia="zh-CN"/>
              </w:rPr>
              <w:t>；</w:t>
            </w:r>
          </w:p>
          <w:p w14:paraId="37E80E80">
            <w:pPr>
              <w:bidi w:val="0"/>
              <w:ind w:firstLine="480" w:firstLineChars="200"/>
              <w:rPr>
                <w:rFonts w:hint="eastAsia"/>
                <w:color w:val="auto"/>
                <w:lang w:val="en-US" w:eastAsia="zh-CN"/>
              </w:rPr>
            </w:pPr>
            <w:r>
              <w:rPr>
                <w:rFonts w:hint="eastAsia"/>
                <w:color w:val="auto"/>
                <w:lang w:val="en-US" w:eastAsia="zh-CN"/>
              </w:rPr>
              <w:t>（5）精加工：通过卧式带锯、立式车床、卧式车床等机加工设备对铝件进行加工，通过切削、磨削等物理作用，改变材料的形状、尺寸或性能，从而获得精确的尺寸通知，确保零件的几何精度和表面质量。此过程切削液循环使用，定期收集作为危废。</w:t>
            </w:r>
          </w:p>
          <w:p w14:paraId="6DC0C3B0">
            <w:pPr>
              <w:bidi w:val="0"/>
              <w:ind w:firstLine="480" w:firstLineChars="200"/>
              <w:rPr>
                <w:rFonts w:hint="eastAsia"/>
                <w:color w:val="auto"/>
                <w:lang w:val="en-US" w:eastAsia="zh-CN"/>
              </w:rPr>
            </w:pPr>
            <w:r>
              <w:rPr>
                <w:rFonts w:hint="eastAsia"/>
                <w:color w:val="auto"/>
                <w:lang w:val="en-US" w:eastAsia="zh-CN"/>
              </w:rPr>
              <w:t>产排污：</w:t>
            </w:r>
            <w:r>
              <w:rPr>
                <w:rFonts w:hint="eastAsia"/>
                <w:color w:val="auto"/>
              </w:rPr>
              <w:t>该工段有</w:t>
            </w:r>
            <w:r>
              <w:rPr>
                <w:rFonts w:hint="eastAsia"/>
                <w:color w:val="auto"/>
                <w:lang w:val="en-US" w:eastAsia="zh-CN"/>
              </w:rPr>
              <w:t>S1-3金属边角料、S1-4废切削液、</w:t>
            </w:r>
            <w:r>
              <w:rPr>
                <w:rFonts w:hint="eastAsia"/>
                <w:color w:val="auto"/>
              </w:rPr>
              <w:t>噪声N产生</w:t>
            </w:r>
            <w:r>
              <w:rPr>
                <w:rFonts w:hint="eastAsia"/>
                <w:color w:val="auto"/>
                <w:lang w:val="en-US" w:eastAsia="zh-CN"/>
              </w:rPr>
              <w:t>；</w:t>
            </w:r>
          </w:p>
          <w:p w14:paraId="62391D63">
            <w:pPr>
              <w:numPr>
                <w:ilvl w:val="0"/>
                <w:numId w:val="25"/>
              </w:numPr>
              <w:bidi w:val="0"/>
              <w:ind w:firstLine="480" w:firstLineChars="200"/>
              <w:rPr>
                <w:rFonts w:hint="eastAsia"/>
                <w:color w:val="auto"/>
                <w:lang w:val="en-US" w:eastAsia="zh-CN"/>
              </w:rPr>
            </w:pPr>
            <w:r>
              <w:rPr>
                <w:rFonts w:hint="eastAsia"/>
                <w:color w:val="auto"/>
                <w:lang w:val="en-US" w:eastAsia="zh-CN"/>
              </w:rPr>
              <w:t>检验：对成品通过带表卡尺、检验平台、韦氏硬度计、投影仪、万能试验机等检测设备进行检测，经检验合格的产品进行包装外售。</w:t>
            </w:r>
          </w:p>
          <w:p w14:paraId="18C42896">
            <w:pPr>
              <w:numPr>
                <w:ilvl w:val="0"/>
                <w:numId w:val="0"/>
              </w:numPr>
              <w:bidi w:val="0"/>
              <w:ind w:firstLine="480" w:firstLineChars="200"/>
              <w:rPr>
                <w:rFonts w:hint="default"/>
                <w:color w:val="auto"/>
                <w:lang w:val="en-US" w:eastAsia="zh-CN"/>
              </w:rPr>
            </w:pPr>
            <w:r>
              <w:rPr>
                <w:rFonts w:hint="eastAsia"/>
                <w:color w:val="auto"/>
                <w:lang w:val="en-US" w:eastAsia="zh-CN"/>
              </w:rPr>
              <w:t>产排污：此处产生S1-5不合格品，不合格品外售综合利用；</w:t>
            </w:r>
          </w:p>
          <w:p w14:paraId="6E52CF64">
            <w:pPr>
              <w:ind w:firstLine="480" w:firstLineChars="200"/>
              <w:rPr>
                <w:rFonts w:hint="eastAsia"/>
                <w:b w:val="0"/>
                <w:bCs w:val="0"/>
                <w:color w:val="auto"/>
              </w:rPr>
            </w:pPr>
            <w:r>
              <w:rPr>
                <w:rFonts w:hint="eastAsia"/>
                <w:color w:val="auto"/>
                <w:lang w:val="en-US" w:eastAsia="zh-CN"/>
              </w:rPr>
              <w:t>（7）包装外售：将检验合格的产品进行包装入库，等待外售。</w:t>
            </w:r>
          </w:p>
          <w:p w14:paraId="18EA7C41">
            <w:pPr>
              <w:ind w:firstLine="480" w:firstLineChars="200"/>
              <w:rPr>
                <w:b/>
                <w:bCs/>
                <w:color w:val="auto"/>
              </w:rPr>
            </w:pPr>
            <w:r>
              <w:rPr>
                <w:rFonts w:hint="eastAsia"/>
                <w:b w:val="0"/>
                <w:bCs w:val="0"/>
                <w:color w:val="auto"/>
                <w:lang w:val="en-US" w:eastAsia="zh-CN"/>
              </w:rPr>
              <w:t>二</w:t>
            </w:r>
            <w:r>
              <w:rPr>
                <w:rFonts w:hint="eastAsia"/>
                <w:b w:val="0"/>
                <w:bCs w:val="0"/>
                <w:color w:val="auto"/>
              </w:rPr>
              <w:t>、</w:t>
            </w:r>
            <w:r>
              <w:rPr>
                <w:rFonts w:hint="eastAsia"/>
                <w:b w:val="0"/>
                <w:bCs w:val="0"/>
                <w:color w:val="auto"/>
                <w:lang w:val="en-US" w:eastAsia="zh-CN"/>
              </w:rPr>
              <w:t>低压</w:t>
            </w:r>
            <w:r>
              <w:rPr>
                <w:rFonts w:hint="eastAsia"/>
                <w:color w:val="auto"/>
                <w:lang w:val="en-US" w:eastAsia="zh-CN"/>
              </w:rPr>
              <w:t>压铸</w:t>
            </w:r>
            <w:r>
              <w:rPr>
                <w:rFonts w:hint="eastAsia"/>
                <w:b w:val="0"/>
                <w:bCs w:val="0"/>
                <w:color w:val="auto"/>
              </w:rPr>
              <w:t>生产工艺</w:t>
            </w:r>
          </w:p>
          <w:p w14:paraId="13F75C67">
            <w:pPr>
              <w:ind w:firstLine="480" w:firstLineChars="200"/>
              <w:rPr>
                <w:rFonts w:hint="default" w:eastAsia="宋体"/>
                <w:bCs/>
                <w:color w:val="auto"/>
                <w:szCs w:val="24"/>
                <w:lang w:val="en-US" w:eastAsia="zh-CN"/>
              </w:rPr>
            </w:pPr>
            <w:r>
              <w:rPr>
                <w:rFonts w:hint="eastAsia"/>
                <w:bCs/>
                <w:color w:val="auto"/>
                <w:szCs w:val="24"/>
                <w:lang w:val="en-US" w:eastAsia="zh-CN"/>
              </w:rPr>
              <w:t>本项目</w:t>
            </w:r>
            <w:r>
              <w:rPr>
                <w:rFonts w:hint="eastAsia"/>
                <w:bCs/>
                <w:color w:val="auto"/>
                <w:szCs w:val="24"/>
              </w:rPr>
              <w:t>低压铸造</w:t>
            </w:r>
            <w:r>
              <w:rPr>
                <w:rFonts w:hint="eastAsia"/>
                <w:bCs/>
                <w:color w:val="auto"/>
                <w:szCs w:val="24"/>
                <w:lang w:val="en-US" w:eastAsia="zh-CN"/>
              </w:rPr>
              <w:t>为</w:t>
            </w:r>
            <w:r>
              <w:rPr>
                <w:rFonts w:hint="eastAsia"/>
                <w:bCs/>
                <w:color w:val="auto"/>
                <w:szCs w:val="24"/>
              </w:rPr>
              <w:t>铸型</w:t>
            </w:r>
            <w:r>
              <w:rPr>
                <w:rFonts w:hint="eastAsia"/>
                <w:bCs/>
                <w:color w:val="auto"/>
                <w:szCs w:val="24"/>
                <w:lang w:val="en-US" w:eastAsia="zh-CN"/>
              </w:rPr>
              <w:t>安装</w:t>
            </w:r>
            <w:r>
              <w:rPr>
                <w:rFonts w:hint="eastAsia"/>
                <w:bCs/>
                <w:color w:val="auto"/>
                <w:szCs w:val="24"/>
              </w:rPr>
              <w:t>在密封的坩埚上方，</w:t>
            </w:r>
            <w:r>
              <w:rPr>
                <w:rFonts w:hint="eastAsia"/>
                <w:bCs/>
                <w:color w:val="auto"/>
                <w:szCs w:val="24"/>
                <w:lang w:val="en-US" w:eastAsia="zh-CN"/>
              </w:rPr>
              <w:t>保温</w:t>
            </w:r>
            <w:r>
              <w:rPr>
                <w:rFonts w:hint="eastAsia"/>
                <w:bCs/>
                <w:color w:val="auto"/>
                <w:szCs w:val="24"/>
              </w:rPr>
              <w:t>坩埚中通入压缩空气，在熔融金属的表面上造成低压力（0.06～0.15MPa），使金属液由升液管上升填充铸型和控制凝固的铸造方法。这种铸造方法</w:t>
            </w:r>
            <w:r>
              <w:rPr>
                <w:rFonts w:hint="eastAsia"/>
                <w:bCs/>
                <w:color w:val="auto"/>
                <w:szCs w:val="24"/>
                <w:lang w:val="en-US" w:eastAsia="zh-CN"/>
              </w:rPr>
              <w:t>生产</w:t>
            </w:r>
            <w:r>
              <w:rPr>
                <w:rFonts w:hint="eastAsia"/>
                <w:bCs/>
                <w:color w:val="auto"/>
                <w:szCs w:val="24"/>
              </w:rPr>
              <w:t>铸件组织致密，无需冒口，金属收得率达95%</w:t>
            </w:r>
            <w:r>
              <w:rPr>
                <w:rFonts w:hint="eastAsia"/>
                <w:bCs/>
                <w:color w:val="auto"/>
                <w:szCs w:val="24"/>
                <w:lang w:eastAsia="zh-CN"/>
              </w:rPr>
              <w:t>；</w:t>
            </w:r>
            <w:r>
              <w:rPr>
                <w:rFonts w:hint="eastAsia"/>
                <w:bCs/>
                <w:color w:val="auto"/>
                <w:szCs w:val="24"/>
                <w:lang w:val="en-US" w:eastAsia="zh-CN"/>
              </w:rPr>
              <w:t>详细工艺如下：</w:t>
            </w:r>
          </w:p>
          <w:p w14:paraId="2A352BB5">
            <w:pPr>
              <w:ind w:firstLine="480" w:firstLineChars="200"/>
              <w:rPr>
                <w:bCs/>
                <w:color w:val="auto"/>
                <w:szCs w:val="24"/>
              </w:rPr>
            </w:pPr>
            <w:r>
              <w:rPr>
                <w:rFonts w:hint="eastAsia"/>
                <w:bCs/>
                <w:color w:val="auto"/>
                <w:szCs w:val="24"/>
              </w:rPr>
              <w:t>（1）投料：</w:t>
            </w:r>
            <w:r>
              <w:rPr>
                <w:rFonts w:hint="eastAsia"/>
                <w:color w:val="auto"/>
                <w:lang w:val="en-US" w:eastAsia="zh-CN"/>
              </w:rPr>
              <w:t>将铝锭及挑选后的铝料头经铲车投入集中熔铝炉，本项目铝料头为现有项目锯切料头，此处无粉尘产生，</w:t>
            </w:r>
            <w:r>
              <w:rPr>
                <w:rFonts w:hint="eastAsia"/>
                <w:bCs/>
                <w:color w:val="auto"/>
                <w:szCs w:val="24"/>
              </w:rPr>
              <w:t>该工段有噪声N产生</w:t>
            </w:r>
            <w:r>
              <w:rPr>
                <w:rFonts w:hint="eastAsia"/>
                <w:color w:val="auto"/>
                <w:lang w:val="en-US" w:eastAsia="zh-CN"/>
              </w:rPr>
              <w:t>；</w:t>
            </w:r>
          </w:p>
          <w:p w14:paraId="04D47BD4">
            <w:pPr>
              <w:ind w:firstLine="480" w:firstLineChars="200"/>
              <w:rPr>
                <w:rFonts w:hint="eastAsia" w:ascii="宋体" w:hAnsi="宋体" w:eastAsia="宋体" w:cs="宋体"/>
                <w:color w:val="auto"/>
                <w:kern w:val="0"/>
                <w:sz w:val="24"/>
                <w:szCs w:val="24"/>
                <w:lang w:val="en-US" w:eastAsia="zh-CN" w:bidi="ar"/>
              </w:rPr>
            </w:pPr>
            <w:r>
              <w:rPr>
                <w:rFonts w:hint="eastAsia"/>
                <w:color w:val="auto"/>
              </w:rPr>
              <w:t>（2）</w:t>
            </w:r>
            <w:r>
              <w:rPr>
                <w:rFonts w:hint="eastAsia"/>
                <w:color w:val="auto"/>
                <w:lang w:val="en-US" w:eastAsia="zh-CN"/>
              </w:rPr>
              <w:t>熔炼：铝料</w:t>
            </w:r>
            <w:r>
              <w:rPr>
                <w:rFonts w:hint="eastAsia"/>
                <w:color w:val="auto"/>
                <w:highlight w:val="none"/>
                <w:lang w:val="en-US" w:eastAsia="zh-CN"/>
              </w:rPr>
              <w:t>在</w:t>
            </w:r>
            <w:r>
              <w:rPr>
                <w:rFonts w:hint="eastAsia"/>
                <w:color w:val="auto"/>
                <w:lang w:val="en-US" w:eastAsia="zh-CN"/>
              </w:rPr>
              <w:t>集中熔铝炉</w:t>
            </w:r>
            <w:r>
              <w:rPr>
                <w:rFonts w:hint="eastAsia"/>
                <w:color w:val="auto"/>
                <w:highlight w:val="none"/>
                <w:lang w:val="en-US" w:eastAsia="zh-CN"/>
              </w:rPr>
              <w:t>中利用天然气燃烧加热熔化成铝水，加热方式为间接加热，熔化过程中需严格控制温度、时间和炉内气氛等参数，铝合金熔化温度一般控制在700-780℃</w:t>
            </w:r>
            <w:r>
              <w:rPr>
                <w:rFonts w:hint="eastAsia"/>
                <w:color w:val="auto"/>
                <w:lang w:val="en-US" w:eastAsia="zh-CN"/>
              </w:rPr>
              <w:t>，</w:t>
            </w:r>
            <w:r>
              <w:rPr>
                <w:rFonts w:hint="eastAsia"/>
                <w:color w:val="auto"/>
                <w:highlight w:val="none"/>
                <w:lang w:val="en-US" w:eastAsia="zh-CN"/>
              </w:rPr>
              <w:t>以保证金属液的质量。</w:t>
            </w:r>
            <w:r>
              <w:rPr>
                <w:rFonts w:hint="eastAsia" w:ascii="宋体" w:hAnsi="宋体" w:eastAsia="宋体" w:cs="宋体"/>
                <w:color w:val="auto"/>
                <w:kern w:val="0"/>
                <w:sz w:val="24"/>
                <w:szCs w:val="24"/>
                <w:lang w:val="en-US" w:eastAsia="zh-CN" w:bidi="ar"/>
              </w:rPr>
              <w:t>长时间熔炼炉腔内会产生一层炉渣，通过人工定期清理炉内炉渣。</w:t>
            </w:r>
          </w:p>
          <w:p w14:paraId="55A76E5E">
            <w:pPr>
              <w:ind w:firstLine="480" w:firstLineChars="200"/>
              <w:rPr>
                <w:rFonts w:hint="default" w:eastAsia="宋体"/>
                <w:color w:val="auto"/>
                <w:lang w:val="en-US" w:eastAsia="zh-CN"/>
              </w:rPr>
            </w:pPr>
            <w:r>
              <w:rPr>
                <w:rFonts w:hint="eastAsia" w:ascii="宋体" w:hAnsi="宋体" w:cs="宋体"/>
                <w:color w:val="auto"/>
                <w:kern w:val="0"/>
                <w:sz w:val="24"/>
                <w:szCs w:val="24"/>
                <w:lang w:val="en-US" w:eastAsia="zh-CN" w:bidi="ar"/>
              </w:rPr>
              <w:t>产排污：</w:t>
            </w:r>
            <w:r>
              <w:rPr>
                <w:rFonts w:hint="eastAsia"/>
                <w:color w:val="auto"/>
                <w:lang w:val="en-US" w:eastAsia="zh-CN"/>
              </w:rPr>
              <w:t>此工段产生熔炼废气G1-1（颗粒物）、天然气燃烧废气G1-2（颗粒物、二氧化硫、氮氧化物）、扒渣废气G1-3（颗粒物）、及熔炼产生的铝灰渣S1-1、</w:t>
            </w:r>
            <w:r>
              <w:rPr>
                <w:rFonts w:hint="eastAsia"/>
                <w:bCs/>
                <w:color w:val="auto"/>
                <w:szCs w:val="24"/>
              </w:rPr>
              <w:t>噪声N</w:t>
            </w:r>
            <w:r>
              <w:rPr>
                <w:rFonts w:hint="eastAsia"/>
                <w:color w:val="auto"/>
                <w:lang w:val="en-US" w:eastAsia="zh-CN"/>
              </w:rPr>
              <w:t>；</w:t>
            </w:r>
          </w:p>
          <w:p w14:paraId="133B8150">
            <w:pPr>
              <w:numPr>
                <w:ilvl w:val="0"/>
                <w:numId w:val="22"/>
              </w:numPr>
              <w:ind w:left="0" w:leftChars="0" w:firstLine="480" w:firstLineChars="200"/>
              <w:rPr>
                <w:rFonts w:hint="eastAsia"/>
                <w:color w:val="auto"/>
                <w:lang w:val="en-US" w:eastAsia="zh-CN"/>
              </w:rPr>
            </w:pPr>
            <w:r>
              <w:rPr>
                <w:rFonts w:hint="eastAsia"/>
                <w:color w:val="auto"/>
                <w:lang w:val="en-US" w:eastAsia="zh-CN"/>
              </w:rPr>
              <w:t>除渣除气：除渣除气的目的是清除铝液内部的氢和浮游的氧化夹渣，使铝液更加纯净。将熔炼完成的铝液转移到倾倒熔炉，同时固定除气机，添加除渣剂，并通入惰性气体氩气，氩气为外购，利用气体产生大量气泡在铝液中靠气体分压差和表面吸附原理吸收熔体中的氢，吸附氧化夹渣，并随气泡上升而被带出铝液表面，使铝液得以净化。除渣除气时间约为30分钟。</w:t>
            </w:r>
          </w:p>
          <w:p w14:paraId="52AFC944">
            <w:pPr>
              <w:numPr>
                <w:ilvl w:val="0"/>
                <w:numId w:val="0"/>
              </w:numPr>
              <w:ind w:leftChars="200"/>
              <w:rPr>
                <w:rFonts w:hint="default" w:eastAsia="宋体"/>
                <w:color w:val="auto"/>
                <w:lang w:val="en-US" w:eastAsia="zh-CN"/>
              </w:rPr>
            </w:pPr>
            <w:r>
              <w:rPr>
                <w:rFonts w:hint="eastAsia"/>
                <w:color w:val="auto"/>
                <w:lang w:val="en-US" w:eastAsia="zh-CN"/>
              </w:rPr>
              <w:t>产排污：此过程产生除渣废气G1-4（氯化氢、氟化物）。</w:t>
            </w:r>
          </w:p>
          <w:p w14:paraId="47136BB7">
            <w:pPr>
              <w:numPr>
                <w:ilvl w:val="0"/>
                <w:numId w:val="22"/>
              </w:numPr>
              <w:ind w:left="0" w:leftChars="0" w:firstLine="480" w:firstLineChars="200"/>
              <w:rPr>
                <w:rFonts w:hint="eastAsia"/>
                <w:color w:val="auto"/>
                <w:lang w:val="en-US" w:eastAsia="zh-CN"/>
              </w:rPr>
            </w:pPr>
            <w:bookmarkStart w:id="36" w:name="OLE_LINK10"/>
            <w:r>
              <w:rPr>
                <w:rFonts w:hint="eastAsia"/>
                <w:color w:val="auto"/>
                <w:lang w:val="en-US" w:eastAsia="zh-CN"/>
              </w:rPr>
              <w:t>保温扒渣：倾倒熔炉中铝水经转运包将净化后的铝液转移至保温炉内，每套压铸机配备1台保温炉，通过电加热确保保温炉内铝液保持在650℃左右，保证可以持续供给压铸工序使用，保温阶段氧化夹渣</w:t>
            </w:r>
            <w:r>
              <w:rPr>
                <w:rFonts w:hint="eastAsia" w:ascii="宋体" w:hAnsi="宋体" w:eastAsia="宋体" w:cs="宋体"/>
                <w:color w:val="auto"/>
                <w:kern w:val="0"/>
                <w:sz w:val="24"/>
                <w:szCs w:val="24"/>
                <w:lang w:val="en-US" w:eastAsia="zh-CN" w:bidi="ar"/>
              </w:rPr>
              <w:t>通过人工扒渣</w:t>
            </w:r>
            <w:r>
              <w:rPr>
                <w:rFonts w:hint="eastAsia"/>
                <w:color w:val="auto"/>
                <w:lang w:val="en-US" w:eastAsia="zh-CN"/>
              </w:rPr>
              <w:t>，此时产生扒渣废气。</w:t>
            </w:r>
          </w:p>
          <w:p w14:paraId="6E7ADE50">
            <w:pPr>
              <w:numPr>
                <w:ilvl w:val="0"/>
                <w:numId w:val="0"/>
              </w:numPr>
              <w:ind w:leftChars="200"/>
              <w:rPr>
                <w:color w:val="auto"/>
              </w:rPr>
            </w:pPr>
            <w:r>
              <w:rPr>
                <w:rFonts w:hint="eastAsia"/>
                <w:color w:val="auto"/>
                <w:lang w:val="en-US" w:eastAsia="zh-CN"/>
              </w:rPr>
              <w:t>产排污：此工序产生扒渣废气G1-3（颗粒物）、铝灰渣S1-2。</w:t>
            </w:r>
            <w:bookmarkEnd w:id="36"/>
          </w:p>
          <w:p w14:paraId="4C05F83C">
            <w:pPr>
              <w:numPr>
                <w:ilvl w:val="0"/>
                <w:numId w:val="22"/>
              </w:numPr>
              <w:ind w:left="0" w:leftChars="0" w:firstLine="480" w:firstLineChars="200"/>
              <w:rPr>
                <w:rFonts w:hint="eastAsia"/>
                <w:color w:val="auto"/>
                <w:lang w:val="en-US" w:eastAsia="zh-CN"/>
              </w:rPr>
            </w:pPr>
            <w:r>
              <w:rPr>
                <w:rFonts w:hint="eastAsia"/>
                <w:color w:val="auto"/>
                <w:lang w:val="en-US" w:eastAsia="zh-CN"/>
              </w:rPr>
              <w:t>低压压铸：通过气压（通常低于0.1MPa）将下方保温坩埚的熔融铝注入模具，压力可控且充型平稳，所需能耗显著低于依赖重力自然填充的重力铸造。此外，其封闭式浇注系统减少了金属液与空气接触，热能损失更少，进一步提升了能源利用率。压铸机需通过冷却循环水进行冷却，冷却循环水间接冷却，不接触产品，冷却循环水循环使用，定期外排。脱模采用机械顶出装置辅助脱模，不使用脱模剂，不产生压铸废气，本项目压铸模具使用寿命较长，无需更换模具。</w:t>
            </w:r>
            <w:r>
              <w:rPr>
                <w:rFonts w:hint="eastAsia"/>
                <w:bCs/>
                <w:color w:val="auto"/>
                <w:szCs w:val="24"/>
              </w:rPr>
              <w:t>该工段</w:t>
            </w:r>
            <w:r>
              <w:rPr>
                <w:rFonts w:hint="eastAsia"/>
                <w:bCs/>
                <w:color w:val="auto"/>
                <w:szCs w:val="24"/>
                <w:lang w:val="en-US" w:eastAsia="zh-CN"/>
              </w:rPr>
              <w:t>仅</w:t>
            </w:r>
            <w:r>
              <w:rPr>
                <w:rFonts w:hint="eastAsia"/>
                <w:bCs/>
                <w:color w:val="auto"/>
                <w:szCs w:val="24"/>
              </w:rPr>
              <w:t>有噪声N产生</w:t>
            </w:r>
            <w:r>
              <w:rPr>
                <w:rFonts w:hint="eastAsia"/>
                <w:color w:val="auto"/>
                <w:lang w:val="en-US" w:eastAsia="zh-CN"/>
              </w:rPr>
              <w:t>；</w:t>
            </w:r>
          </w:p>
          <w:p w14:paraId="629F4328">
            <w:pPr>
              <w:numPr>
                <w:ilvl w:val="0"/>
                <w:numId w:val="22"/>
              </w:numPr>
              <w:bidi w:val="0"/>
              <w:ind w:left="0" w:leftChars="0" w:firstLine="480" w:firstLineChars="200"/>
              <w:rPr>
                <w:rFonts w:hint="eastAsia"/>
                <w:color w:val="auto"/>
                <w:lang w:val="en-US" w:eastAsia="zh-CN"/>
              </w:rPr>
            </w:pPr>
            <w:r>
              <w:rPr>
                <w:rFonts w:hint="eastAsia"/>
                <w:color w:val="auto"/>
                <w:lang w:val="en-US" w:eastAsia="zh-CN"/>
              </w:rPr>
              <w:t>精加工：通过卧式带锯、立式车床、卧式车床等机加工设备对铝件进行加工，通过切削、磨削等物理作用，改变材料的形状、尺寸或性能，从而获得精确的尺寸通知，确保零件的几何精度和表面质量。此过程使用切削液循环使用，定期收集作为危废。</w:t>
            </w:r>
          </w:p>
          <w:p w14:paraId="713DAC2F">
            <w:pPr>
              <w:numPr>
                <w:ilvl w:val="0"/>
                <w:numId w:val="0"/>
              </w:numPr>
              <w:bidi w:val="0"/>
              <w:ind w:leftChars="200"/>
              <w:rPr>
                <w:rFonts w:hint="default" w:eastAsia="宋体"/>
                <w:color w:val="auto"/>
                <w:lang w:val="en-US" w:eastAsia="zh-CN"/>
              </w:rPr>
            </w:pPr>
            <w:r>
              <w:rPr>
                <w:rFonts w:hint="eastAsia"/>
                <w:color w:val="auto"/>
                <w:lang w:val="en-US" w:eastAsia="zh-CN"/>
              </w:rPr>
              <w:t>产排污：</w:t>
            </w:r>
            <w:r>
              <w:rPr>
                <w:rFonts w:hint="eastAsia"/>
                <w:color w:val="auto"/>
              </w:rPr>
              <w:t>该工段</w:t>
            </w:r>
            <w:r>
              <w:rPr>
                <w:rFonts w:hint="eastAsia"/>
                <w:color w:val="auto"/>
                <w:lang w:val="en-US" w:eastAsia="zh-CN"/>
              </w:rPr>
              <w:t>有S1-3金属边角料、S1-4废切削液、</w:t>
            </w:r>
            <w:r>
              <w:rPr>
                <w:rFonts w:hint="eastAsia"/>
                <w:color w:val="auto"/>
              </w:rPr>
              <w:t>噪声N产生</w:t>
            </w:r>
            <w:r>
              <w:rPr>
                <w:rFonts w:hint="eastAsia"/>
                <w:bCs/>
                <w:color w:val="auto"/>
                <w:szCs w:val="24"/>
              </w:rPr>
              <w:t>。</w:t>
            </w:r>
          </w:p>
          <w:p w14:paraId="07682717">
            <w:pPr>
              <w:numPr>
                <w:ilvl w:val="0"/>
                <w:numId w:val="22"/>
              </w:numPr>
              <w:bidi w:val="0"/>
              <w:ind w:left="0" w:leftChars="0" w:firstLine="480" w:firstLineChars="200"/>
              <w:rPr>
                <w:rFonts w:hint="eastAsia"/>
                <w:color w:val="auto"/>
                <w:lang w:val="en-US" w:eastAsia="zh-CN"/>
              </w:rPr>
            </w:pPr>
            <w:r>
              <w:rPr>
                <w:rFonts w:hint="eastAsia"/>
                <w:color w:val="auto"/>
                <w:lang w:val="en-US" w:eastAsia="zh-CN"/>
              </w:rPr>
              <w:t>检验：使用气密仪进行气密检测，接着对成品通过带表卡尺、检验平台、韦氏硬度计、投影仪、万能试验机等检测设备进行检测，经检验合格的产品进行包装外售。</w:t>
            </w:r>
          </w:p>
          <w:p w14:paraId="4D8EE901">
            <w:pPr>
              <w:numPr>
                <w:ilvl w:val="0"/>
                <w:numId w:val="0"/>
              </w:numPr>
              <w:bidi w:val="0"/>
              <w:ind w:leftChars="200"/>
              <w:rPr>
                <w:rFonts w:hint="default" w:eastAsia="宋体"/>
                <w:color w:val="auto"/>
                <w:lang w:val="en-US" w:eastAsia="zh-CN"/>
              </w:rPr>
            </w:pPr>
            <w:r>
              <w:rPr>
                <w:rFonts w:hint="eastAsia"/>
                <w:color w:val="auto"/>
                <w:lang w:val="en-US" w:eastAsia="zh-CN"/>
              </w:rPr>
              <w:t>产排污：此处产生S1-5不合格品，不合格品外售综合利用；</w:t>
            </w:r>
          </w:p>
          <w:p w14:paraId="029778E0">
            <w:pPr>
              <w:numPr>
                <w:ilvl w:val="0"/>
                <w:numId w:val="0"/>
              </w:numPr>
              <w:ind w:leftChars="200"/>
              <w:rPr>
                <w:rFonts w:hint="eastAsia"/>
                <w:color w:val="auto"/>
                <w:lang w:val="en-US" w:eastAsia="zh-CN"/>
              </w:rPr>
            </w:pPr>
            <w:r>
              <w:rPr>
                <w:rFonts w:hint="eastAsia"/>
                <w:color w:val="auto"/>
              </w:rPr>
              <w:t>（</w:t>
            </w:r>
            <w:r>
              <w:rPr>
                <w:rFonts w:hint="eastAsia"/>
                <w:color w:val="auto"/>
                <w:lang w:val="en-US" w:eastAsia="zh-CN"/>
              </w:rPr>
              <w:t>9</w:t>
            </w:r>
            <w:r>
              <w:rPr>
                <w:rFonts w:hint="eastAsia"/>
                <w:color w:val="auto"/>
              </w:rPr>
              <w:t>）</w:t>
            </w:r>
            <w:r>
              <w:rPr>
                <w:rFonts w:hint="eastAsia"/>
                <w:color w:val="auto"/>
                <w:lang w:val="en-US" w:eastAsia="zh-CN"/>
              </w:rPr>
              <w:t>包装：将检验合格的产品进行包装入库，等待外售。</w:t>
            </w:r>
          </w:p>
          <w:p w14:paraId="4F84748D">
            <w:pPr>
              <w:adjustRightInd w:val="0"/>
              <w:snapToGrid w:val="0"/>
              <w:outlineLvl w:val="0"/>
              <w:rPr>
                <w:b/>
                <w:color w:val="auto"/>
                <w:szCs w:val="24"/>
              </w:rPr>
            </w:pPr>
            <w:bookmarkStart w:id="37" w:name="_Toc4645"/>
            <w:bookmarkStart w:id="38" w:name="_Toc8767"/>
            <w:r>
              <w:rPr>
                <w:rFonts w:hint="eastAsia"/>
                <w:b/>
                <w:color w:val="auto"/>
                <w:szCs w:val="24"/>
              </w:rPr>
              <w:t>2、产污环节</w:t>
            </w:r>
            <w:bookmarkEnd w:id="37"/>
            <w:bookmarkEnd w:id="38"/>
          </w:p>
          <w:p w14:paraId="2848D6B9">
            <w:pPr>
              <w:adjustRightInd w:val="0"/>
              <w:snapToGrid w:val="0"/>
              <w:ind w:firstLine="480" w:firstLineChars="200"/>
              <w:outlineLvl w:val="0"/>
              <w:rPr>
                <w:bCs/>
                <w:color w:val="auto"/>
                <w:szCs w:val="24"/>
              </w:rPr>
            </w:pPr>
            <w:bookmarkStart w:id="39" w:name="_Toc14606"/>
            <w:bookmarkStart w:id="40" w:name="_Toc10911"/>
            <w:r>
              <w:rPr>
                <w:rFonts w:hint="eastAsia"/>
                <w:bCs/>
                <w:color w:val="auto"/>
                <w:szCs w:val="24"/>
              </w:rPr>
              <w:t>本项目产污环节</w:t>
            </w:r>
            <w:r>
              <w:rPr>
                <w:rFonts w:hint="eastAsia"/>
                <w:bCs/>
                <w:color w:val="auto"/>
                <w:szCs w:val="24"/>
                <w:lang w:val="en-US" w:eastAsia="zh-CN"/>
              </w:rPr>
              <w:t>汇总</w:t>
            </w:r>
            <w:r>
              <w:rPr>
                <w:rFonts w:hint="eastAsia"/>
                <w:bCs/>
                <w:color w:val="auto"/>
                <w:szCs w:val="24"/>
              </w:rPr>
              <w:t>见下表。</w:t>
            </w:r>
            <w:bookmarkEnd w:id="39"/>
            <w:bookmarkEnd w:id="40"/>
          </w:p>
          <w:p w14:paraId="1A10BB28">
            <w:pPr>
              <w:jc w:val="center"/>
              <w:rPr>
                <w:rFonts w:hint="eastAsia" w:ascii="黑体" w:hAnsi="黑体" w:eastAsia="黑体"/>
                <w:color w:val="auto"/>
                <w:szCs w:val="24"/>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10</w:t>
            </w:r>
            <w:r>
              <w:rPr>
                <w:rFonts w:ascii="黑体" w:hAnsi="黑体" w:eastAsia="黑体"/>
                <w:color w:val="auto"/>
                <w:szCs w:val="24"/>
              </w:rPr>
              <w:t xml:space="preserve"> </w:t>
            </w:r>
            <w:r>
              <w:rPr>
                <w:rFonts w:hint="eastAsia" w:ascii="黑体" w:hAnsi="黑体" w:eastAsia="黑体"/>
                <w:color w:val="auto"/>
                <w:szCs w:val="24"/>
              </w:rPr>
              <w:t xml:space="preserve"> 产污环节一览表</w:t>
            </w:r>
          </w:p>
          <w:bookmarkEnd w:id="31"/>
          <w:tbl>
            <w:tblPr>
              <w:tblStyle w:val="69"/>
              <w:tblW w:w="4997" w:type="pct"/>
              <w:tblInd w:w="0" w:type="dxa"/>
              <w:tblLayout w:type="fixed"/>
              <w:tblCellMar>
                <w:top w:w="0" w:type="dxa"/>
                <w:left w:w="108" w:type="dxa"/>
                <w:bottom w:w="0" w:type="dxa"/>
                <w:right w:w="108" w:type="dxa"/>
              </w:tblCellMar>
            </w:tblPr>
            <w:tblGrid>
              <w:gridCol w:w="902"/>
              <w:gridCol w:w="874"/>
              <w:gridCol w:w="1466"/>
              <w:gridCol w:w="1631"/>
              <w:gridCol w:w="1888"/>
              <w:gridCol w:w="2304"/>
            </w:tblGrid>
            <w:tr w14:paraId="724B32F4">
              <w:tblPrEx>
                <w:tblCellMar>
                  <w:top w:w="0" w:type="dxa"/>
                  <w:left w:w="108" w:type="dxa"/>
                  <w:bottom w:w="0" w:type="dxa"/>
                  <w:right w:w="108" w:type="dxa"/>
                </w:tblCellMar>
              </w:tblPrEx>
              <w:trPr>
                <w:trHeight w:val="340" w:hRule="atLeast"/>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4AB0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污染源分类</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496A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编号</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23D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产污工序</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5A90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污染物名称</w:t>
                  </w:r>
                </w:p>
              </w:tc>
              <w:tc>
                <w:tcPr>
                  <w:tcW w:w="1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F890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主要污染因子</w:t>
                  </w:r>
                </w:p>
              </w:tc>
              <w:tc>
                <w:tcPr>
                  <w:tcW w:w="1270" w:type="pct"/>
                  <w:tcBorders>
                    <w:top w:val="single" w:color="000000" w:sz="4" w:space="0"/>
                    <w:left w:val="single" w:color="000000" w:sz="4" w:space="0"/>
                    <w:bottom w:val="single" w:color="auto" w:sz="4" w:space="0"/>
                    <w:right w:val="single" w:color="000000" w:sz="4" w:space="0"/>
                  </w:tcBorders>
                  <w:shd w:val="clear" w:color="auto" w:fill="auto"/>
                  <w:vAlign w:val="center"/>
                </w:tcPr>
                <w:p w14:paraId="3600AEE5">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治理措施及去向</w:t>
                  </w:r>
                </w:p>
              </w:tc>
            </w:tr>
            <w:tr w14:paraId="380E25BC">
              <w:tblPrEx>
                <w:tblCellMar>
                  <w:top w:w="0" w:type="dxa"/>
                  <w:left w:w="108" w:type="dxa"/>
                  <w:bottom w:w="0" w:type="dxa"/>
                  <w:right w:w="108" w:type="dxa"/>
                </w:tblCellMar>
              </w:tblPrEx>
              <w:trPr>
                <w:trHeight w:val="340" w:hRule="atLeast"/>
              </w:trPr>
              <w:tc>
                <w:tcPr>
                  <w:tcW w:w="497" w:type="pct"/>
                  <w:vMerge w:val="restart"/>
                  <w:tcBorders>
                    <w:top w:val="single" w:color="000000" w:sz="4" w:space="0"/>
                    <w:left w:val="single" w:color="000000" w:sz="4" w:space="0"/>
                    <w:right w:val="single" w:color="000000" w:sz="4" w:space="0"/>
                  </w:tcBorders>
                  <w:shd w:val="clear" w:color="auto" w:fill="auto"/>
                  <w:vAlign w:val="center"/>
                </w:tcPr>
                <w:p w14:paraId="44A0756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废气</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7FCEC">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G1-1、</w:t>
                  </w:r>
                  <w:r>
                    <w:rPr>
                      <w:color w:val="auto"/>
                      <w:kern w:val="0"/>
                      <w:sz w:val="18"/>
                      <w:szCs w:val="18"/>
                      <w:lang w:bidi="ar"/>
                    </w:rPr>
                    <w:t>G</w:t>
                  </w:r>
                  <w:r>
                    <w:rPr>
                      <w:rFonts w:hint="eastAsia"/>
                      <w:color w:val="auto"/>
                      <w:kern w:val="0"/>
                      <w:sz w:val="18"/>
                      <w:szCs w:val="18"/>
                      <w:lang w:val="en-US" w:eastAsia="zh-CN" w:bidi="ar"/>
                    </w:rPr>
                    <w:t>2-1</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6E284">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val="en-US" w:eastAsia="zh-CN" w:bidi="ar"/>
                    </w:rPr>
                    <w:t>熔炼</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B06D7">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熔炼废气</w:t>
                  </w:r>
                </w:p>
              </w:tc>
              <w:tc>
                <w:tcPr>
                  <w:tcW w:w="1041" w:type="pct"/>
                  <w:tcBorders>
                    <w:top w:val="single" w:color="000000" w:sz="4" w:space="0"/>
                    <w:left w:val="single" w:color="000000" w:sz="4" w:space="0"/>
                    <w:bottom w:val="single" w:color="000000" w:sz="4" w:space="0"/>
                    <w:right w:val="single" w:color="auto" w:sz="4" w:space="0"/>
                  </w:tcBorders>
                  <w:shd w:val="clear" w:color="auto" w:fill="auto"/>
                  <w:vAlign w:val="center"/>
                </w:tcPr>
                <w:p w14:paraId="0B256BF3">
                  <w:pPr>
                    <w:widowControl/>
                    <w:spacing w:line="240" w:lineRule="auto"/>
                    <w:jc w:val="center"/>
                    <w:textAlignment w:val="center"/>
                    <w:rPr>
                      <w:rFonts w:hint="eastAsia" w:cs="宋体"/>
                      <w:color w:val="auto"/>
                      <w:kern w:val="0"/>
                      <w:sz w:val="18"/>
                      <w:szCs w:val="18"/>
                      <w:lang w:bidi="ar"/>
                    </w:rPr>
                  </w:pPr>
                  <w:bookmarkStart w:id="41" w:name="OLE_LINK40"/>
                  <w:r>
                    <w:rPr>
                      <w:rFonts w:hint="eastAsia" w:cs="宋体"/>
                      <w:color w:val="auto"/>
                      <w:kern w:val="0"/>
                      <w:sz w:val="18"/>
                      <w:szCs w:val="18"/>
                      <w:lang w:val="en-US" w:eastAsia="zh-CN" w:bidi="ar"/>
                    </w:rPr>
                    <w:t>颗粒物</w:t>
                  </w:r>
                  <w:bookmarkEnd w:id="41"/>
                </w:p>
              </w:tc>
              <w:tc>
                <w:tcPr>
                  <w:tcW w:w="1270" w:type="pct"/>
                  <w:vMerge w:val="restart"/>
                  <w:tcBorders>
                    <w:top w:val="single" w:color="auto" w:sz="4" w:space="0"/>
                    <w:left w:val="single" w:color="auto" w:sz="4" w:space="0"/>
                    <w:right w:val="single" w:color="auto" w:sz="4" w:space="0"/>
                  </w:tcBorders>
                  <w:shd w:val="clear" w:color="auto" w:fill="auto"/>
                  <w:vAlign w:val="center"/>
                </w:tcPr>
                <w:p w14:paraId="1B2EB7F7">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集气罩收集后，经布袋除尘处理后通过一根15m高排气筒排放</w:t>
                  </w:r>
                </w:p>
              </w:tc>
            </w:tr>
            <w:tr w14:paraId="2ACC32F2">
              <w:tblPrEx>
                <w:tblCellMar>
                  <w:top w:w="0" w:type="dxa"/>
                  <w:left w:w="108" w:type="dxa"/>
                  <w:bottom w:w="0" w:type="dxa"/>
                  <w:right w:w="108" w:type="dxa"/>
                </w:tblCellMar>
              </w:tblPrEx>
              <w:trPr>
                <w:trHeight w:val="340" w:hRule="atLeast"/>
              </w:trPr>
              <w:tc>
                <w:tcPr>
                  <w:tcW w:w="497" w:type="pct"/>
                  <w:vMerge w:val="continue"/>
                  <w:tcBorders>
                    <w:left w:val="single" w:color="000000" w:sz="4" w:space="0"/>
                    <w:right w:val="single" w:color="000000" w:sz="4" w:space="0"/>
                  </w:tcBorders>
                  <w:shd w:val="clear" w:color="auto" w:fill="auto"/>
                  <w:vAlign w:val="center"/>
                </w:tcPr>
                <w:p w14:paraId="12727186">
                  <w:pPr>
                    <w:widowControl/>
                    <w:spacing w:line="240" w:lineRule="auto"/>
                    <w:jc w:val="center"/>
                    <w:textAlignment w:val="center"/>
                    <w:rPr>
                      <w:rFonts w:hint="eastAsia" w:cs="宋体"/>
                      <w:color w:val="auto"/>
                      <w:kern w:val="0"/>
                      <w:sz w:val="18"/>
                      <w:szCs w:val="18"/>
                      <w:lang w:bidi="ar"/>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FCCD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color w:val="auto"/>
                      <w:kern w:val="0"/>
                      <w:sz w:val="18"/>
                      <w:szCs w:val="18"/>
                      <w:lang w:bidi="ar"/>
                    </w:rPr>
                    <w:t>G</w:t>
                  </w:r>
                  <w:r>
                    <w:rPr>
                      <w:rFonts w:hint="eastAsia"/>
                      <w:color w:val="auto"/>
                      <w:kern w:val="0"/>
                      <w:sz w:val="18"/>
                      <w:szCs w:val="18"/>
                      <w:lang w:val="en-US" w:eastAsia="zh-CN" w:bidi="ar"/>
                    </w:rPr>
                    <w:t>2-2</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6607E">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离心浇铸</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2186D">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浇铸废气</w:t>
                  </w:r>
                </w:p>
              </w:tc>
              <w:tc>
                <w:tcPr>
                  <w:tcW w:w="1041" w:type="pct"/>
                  <w:tcBorders>
                    <w:top w:val="single" w:color="000000" w:sz="4" w:space="0"/>
                    <w:left w:val="single" w:color="000000" w:sz="4" w:space="0"/>
                    <w:bottom w:val="single" w:color="000000" w:sz="4" w:space="0"/>
                    <w:right w:val="single" w:color="auto" w:sz="4" w:space="0"/>
                  </w:tcBorders>
                  <w:shd w:val="clear" w:color="auto" w:fill="auto"/>
                  <w:vAlign w:val="center"/>
                </w:tcPr>
                <w:p w14:paraId="3838FE03">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颗粒物</w:t>
                  </w:r>
                </w:p>
              </w:tc>
              <w:tc>
                <w:tcPr>
                  <w:tcW w:w="1270" w:type="pct"/>
                  <w:vMerge w:val="continue"/>
                  <w:tcBorders>
                    <w:left w:val="single" w:color="auto" w:sz="4" w:space="0"/>
                    <w:bottom w:val="single" w:color="auto" w:sz="4" w:space="0"/>
                    <w:right w:val="single" w:color="auto" w:sz="4" w:space="0"/>
                  </w:tcBorders>
                  <w:shd w:val="clear" w:color="auto" w:fill="auto"/>
                  <w:vAlign w:val="center"/>
                </w:tcPr>
                <w:p w14:paraId="24B2646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p>
              </w:tc>
            </w:tr>
            <w:tr w14:paraId="69E5A50D">
              <w:tblPrEx>
                <w:tblCellMar>
                  <w:top w:w="0" w:type="dxa"/>
                  <w:left w:w="108" w:type="dxa"/>
                  <w:bottom w:w="0" w:type="dxa"/>
                  <w:right w:w="108" w:type="dxa"/>
                </w:tblCellMar>
              </w:tblPrEx>
              <w:trPr>
                <w:trHeight w:val="340" w:hRule="atLeast"/>
              </w:trPr>
              <w:tc>
                <w:tcPr>
                  <w:tcW w:w="497" w:type="pct"/>
                  <w:vMerge w:val="continue"/>
                  <w:tcBorders>
                    <w:left w:val="single" w:color="000000" w:sz="4" w:space="0"/>
                    <w:right w:val="single" w:color="000000" w:sz="4" w:space="0"/>
                  </w:tcBorders>
                  <w:shd w:val="clear" w:color="auto" w:fill="auto"/>
                  <w:vAlign w:val="center"/>
                </w:tcPr>
                <w:p w14:paraId="32823670">
                  <w:pPr>
                    <w:widowControl/>
                    <w:spacing w:line="240" w:lineRule="auto"/>
                    <w:jc w:val="center"/>
                    <w:textAlignment w:val="center"/>
                    <w:rPr>
                      <w:rFonts w:hint="eastAsia" w:cs="宋体"/>
                      <w:color w:val="auto"/>
                      <w:kern w:val="0"/>
                      <w:sz w:val="18"/>
                      <w:szCs w:val="18"/>
                      <w:lang w:bidi="ar"/>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6AE26">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G1-2</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55220">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天然气燃烧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BB031">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天然气燃烧</w:t>
                  </w:r>
                  <w:r>
                    <w:rPr>
                      <w:rFonts w:hint="eastAsia" w:cs="宋体"/>
                      <w:color w:val="auto"/>
                      <w:kern w:val="0"/>
                      <w:sz w:val="18"/>
                      <w:szCs w:val="18"/>
                      <w:lang w:val="en-US" w:eastAsia="zh-CN" w:bidi="ar"/>
                    </w:rPr>
                    <w:t>废气</w:t>
                  </w:r>
                </w:p>
              </w:tc>
              <w:tc>
                <w:tcPr>
                  <w:tcW w:w="1041" w:type="pct"/>
                  <w:tcBorders>
                    <w:top w:val="single" w:color="000000" w:sz="4" w:space="0"/>
                    <w:left w:val="single" w:color="000000" w:sz="4" w:space="0"/>
                    <w:bottom w:val="single" w:color="000000" w:sz="4" w:space="0"/>
                    <w:right w:val="single" w:color="auto" w:sz="4" w:space="0"/>
                  </w:tcBorders>
                  <w:shd w:val="clear" w:color="auto" w:fill="auto"/>
                  <w:vAlign w:val="center"/>
                </w:tcPr>
                <w:p w14:paraId="63A1E4DA">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val="en-US" w:eastAsia="zh-CN" w:bidi="ar"/>
                    </w:rPr>
                    <w:t>颗粒物、二氧化硫、氮氧化物</w:t>
                  </w:r>
                </w:p>
              </w:tc>
              <w:tc>
                <w:tcPr>
                  <w:tcW w:w="1270" w:type="pct"/>
                  <w:tcBorders>
                    <w:left w:val="single" w:color="auto" w:sz="4" w:space="0"/>
                    <w:bottom w:val="single" w:color="auto" w:sz="4" w:space="0"/>
                    <w:right w:val="single" w:color="auto" w:sz="4" w:space="0"/>
                  </w:tcBorders>
                  <w:shd w:val="clear" w:color="auto" w:fill="auto"/>
                  <w:vAlign w:val="center"/>
                </w:tcPr>
                <w:p w14:paraId="2025642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经管道收集后车间无组织排放排放</w:t>
                  </w:r>
                </w:p>
              </w:tc>
            </w:tr>
            <w:tr w14:paraId="6CFA84BB">
              <w:tblPrEx>
                <w:tblCellMar>
                  <w:top w:w="0" w:type="dxa"/>
                  <w:left w:w="108" w:type="dxa"/>
                  <w:bottom w:w="0" w:type="dxa"/>
                  <w:right w:w="108" w:type="dxa"/>
                </w:tblCellMar>
              </w:tblPrEx>
              <w:trPr>
                <w:trHeight w:val="340" w:hRule="atLeast"/>
              </w:trPr>
              <w:tc>
                <w:tcPr>
                  <w:tcW w:w="497" w:type="pct"/>
                  <w:vMerge w:val="continue"/>
                  <w:tcBorders>
                    <w:left w:val="single" w:color="000000" w:sz="4" w:space="0"/>
                    <w:right w:val="single" w:color="000000" w:sz="4" w:space="0"/>
                  </w:tcBorders>
                  <w:shd w:val="clear" w:color="auto" w:fill="auto"/>
                  <w:vAlign w:val="center"/>
                </w:tcPr>
                <w:p w14:paraId="733D9202">
                  <w:pPr>
                    <w:widowControl/>
                    <w:spacing w:line="240" w:lineRule="auto"/>
                    <w:jc w:val="center"/>
                    <w:textAlignment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F1AFF">
                  <w:pPr>
                    <w:widowControl/>
                    <w:spacing w:line="240" w:lineRule="auto"/>
                    <w:jc w:val="center"/>
                    <w:textAlignment w:val="center"/>
                    <w:rPr>
                      <w:rFonts w:hint="eastAsia"/>
                      <w:color w:val="auto"/>
                      <w:kern w:val="0"/>
                      <w:sz w:val="18"/>
                      <w:szCs w:val="18"/>
                      <w:lang w:val="en-US" w:eastAsia="zh-CN" w:bidi="ar"/>
                    </w:rPr>
                  </w:pPr>
                  <w:r>
                    <w:rPr>
                      <w:color w:val="auto"/>
                      <w:kern w:val="0"/>
                      <w:sz w:val="18"/>
                      <w:szCs w:val="18"/>
                      <w:lang w:bidi="ar"/>
                    </w:rPr>
                    <w:t>G</w:t>
                  </w:r>
                  <w:r>
                    <w:rPr>
                      <w:rFonts w:hint="eastAsia"/>
                      <w:color w:val="auto"/>
                      <w:kern w:val="0"/>
                      <w:sz w:val="18"/>
                      <w:szCs w:val="18"/>
                      <w:lang w:val="en-US" w:eastAsia="zh-CN" w:bidi="ar"/>
                    </w:rPr>
                    <w:t>1-3</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4473C">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除渣除气</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A595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除渣废气</w:t>
                  </w:r>
                </w:p>
              </w:tc>
              <w:tc>
                <w:tcPr>
                  <w:tcW w:w="1041" w:type="pct"/>
                  <w:tcBorders>
                    <w:top w:val="single" w:color="000000" w:sz="4" w:space="0"/>
                    <w:left w:val="single" w:color="000000" w:sz="4" w:space="0"/>
                    <w:bottom w:val="single" w:color="000000" w:sz="4" w:space="0"/>
                    <w:right w:val="single" w:color="auto" w:sz="4" w:space="0"/>
                  </w:tcBorders>
                  <w:shd w:val="clear" w:color="auto" w:fill="auto"/>
                  <w:vAlign w:val="center"/>
                </w:tcPr>
                <w:p w14:paraId="52667AC5">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氯化氢、氟化物</w:t>
                  </w:r>
                </w:p>
              </w:tc>
              <w:tc>
                <w:tcPr>
                  <w:tcW w:w="1270" w:type="pct"/>
                  <w:tcBorders>
                    <w:top w:val="single" w:color="auto" w:sz="4" w:space="0"/>
                    <w:left w:val="single" w:color="auto" w:sz="4" w:space="0"/>
                    <w:bottom w:val="single" w:color="auto" w:sz="4" w:space="0"/>
                    <w:right w:val="single" w:color="auto" w:sz="4" w:space="0"/>
                  </w:tcBorders>
                  <w:shd w:val="clear" w:color="auto" w:fill="auto"/>
                  <w:vAlign w:val="center"/>
                </w:tcPr>
                <w:p w14:paraId="6470F48F">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经管道收集后，经布袋除尘处理后通过一根15m高排气筒排放</w:t>
                  </w:r>
                </w:p>
              </w:tc>
            </w:tr>
            <w:tr w14:paraId="082C5222">
              <w:tblPrEx>
                <w:tblCellMar>
                  <w:top w:w="0" w:type="dxa"/>
                  <w:left w:w="108" w:type="dxa"/>
                  <w:bottom w:w="0" w:type="dxa"/>
                  <w:right w:w="108" w:type="dxa"/>
                </w:tblCellMar>
              </w:tblPrEx>
              <w:trPr>
                <w:trHeight w:val="525" w:hRule="atLeast"/>
              </w:trPr>
              <w:tc>
                <w:tcPr>
                  <w:tcW w:w="497" w:type="pct"/>
                  <w:vMerge w:val="continue"/>
                  <w:tcBorders>
                    <w:left w:val="single" w:color="000000" w:sz="4" w:space="0"/>
                    <w:right w:val="single" w:color="000000" w:sz="4" w:space="0"/>
                  </w:tcBorders>
                  <w:shd w:val="clear" w:color="auto" w:fill="auto"/>
                  <w:vAlign w:val="center"/>
                </w:tcPr>
                <w:p w14:paraId="0B7954FF">
                  <w:pPr>
                    <w:widowControl/>
                    <w:spacing w:line="240" w:lineRule="auto"/>
                    <w:jc w:val="center"/>
                    <w:textAlignment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10C6A">
                  <w:pPr>
                    <w:widowControl/>
                    <w:spacing w:line="240" w:lineRule="auto"/>
                    <w:jc w:val="center"/>
                    <w:textAlignment w:val="center"/>
                    <w:rPr>
                      <w:rFonts w:hint="default"/>
                      <w:color w:val="auto"/>
                      <w:kern w:val="0"/>
                      <w:sz w:val="18"/>
                      <w:szCs w:val="18"/>
                      <w:lang w:val="en-US" w:eastAsia="zh-CN" w:bidi="ar"/>
                    </w:rPr>
                  </w:pPr>
                  <w:r>
                    <w:rPr>
                      <w:color w:val="auto"/>
                      <w:kern w:val="0"/>
                      <w:sz w:val="18"/>
                      <w:szCs w:val="18"/>
                      <w:lang w:bidi="ar"/>
                    </w:rPr>
                    <w:t>G</w:t>
                  </w:r>
                  <w:r>
                    <w:rPr>
                      <w:rFonts w:hint="eastAsia"/>
                      <w:color w:val="auto"/>
                      <w:kern w:val="0"/>
                      <w:sz w:val="18"/>
                      <w:szCs w:val="18"/>
                      <w:lang w:val="en-US" w:eastAsia="zh-CN" w:bidi="ar"/>
                    </w:rPr>
                    <w:t>1-4</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859EF">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kern w:val="2"/>
                      <w:sz w:val="18"/>
                      <w:szCs w:val="18"/>
                      <w:lang w:val="en-US" w:eastAsia="zh-CN" w:bidi="ar-SA"/>
                    </w:rPr>
                    <w:t>保温扒渣</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0115F">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val="en-US" w:eastAsia="zh-CN" w:bidi="ar"/>
                    </w:rPr>
                    <w:t>扒渣</w:t>
                  </w:r>
                  <w:r>
                    <w:rPr>
                      <w:rFonts w:hint="eastAsia" w:cs="宋体"/>
                      <w:color w:val="auto"/>
                      <w:kern w:val="0"/>
                      <w:sz w:val="18"/>
                      <w:szCs w:val="18"/>
                      <w:lang w:bidi="ar"/>
                    </w:rPr>
                    <w:t>废气</w:t>
                  </w:r>
                </w:p>
              </w:tc>
              <w:tc>
                <w:tcPr>
                  <w:tcW w:w="1041" w:type="pct"/>
                  <w:tcBorders>
                    <w:top w:val="single" w:color="000000" w:sz="4" w:space="0"/>
                    <w:left w:val="single" w:color="000000" w:sz="4" w:space="0"/>
                    <w:bottom w:val="single" w:color="000000" w:sz="4" w:space="0"/>
                    <w:right w:val="single" w:color="auto" w:sz="4" w:space="0"/>
                  </w:tcBorders>
                  <w:shd w:val="clear" w:color="auto" w:fill="auto"/>
                  <w:vAlign w:val="center"/>
                </w:tcPr>
                <w:p w14:paraId="0AA6F7EA">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val="en-US" w:eastAsia="zh-CN" w:bidi="ar"/>
                    </w:rPr>
                    <w:t>颗粒物</w:t>
                  </w:r>
                </w:p>
              </w:tc>
              <w:tc>
                <w:tcPr>
                  <w:tcW w:w="1270" w:type="pct"/>
                  <w:tcBorders>
                    <w:top w:val="single" w:color="auto" w:sz="4" w:space="0"/>
                    <w:left w:val="single" w:color="auto" w:sz="4" w:space="0"/>
                    <w:right w:val="single" w:color="auto" w:sz="4" w:space="0"/>
                  </w:tcBorders>
                  <w:shd w:val="clear" w:color="auto" w:fill="auto"/>
                  <w:vAlign w:val="center"/>
                </w:tcPr>
                <w:p w14:paraId="49A6962B">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集气罩收集后，经布袋除尘处理后通过一根15m高排气筒排放</w:t>
                  </w:r>
                </w:p>
              </w:tc>
            </w:tr>
            <w:tr w14:paraId="4CE3C7BB">
              <w:tblPrEx>
                <w:tblCellMar>
                  <w:top w:w="0" w:type="dxa"/>
                  <w:left w:w="108" w:type="dxa"/>
                  <w:bottom w:w="0" w:type="dxa"/>
                  <w:right w:w="108" w:type="dxa"/>
                </w:tblCellMar>
              </w:tblPrEx>
              <w:trPr>
                <w:trHeight w:val="90" w:hRule="atLeast"/>
              </w:trPr>
              <w:tc>
                <w:tcPr>
                  <w:tcW w:w="497" w:type="pct"/>
                  <w:vMerge w:val="restart"/>
                  <w:tcBorders>
                    <w:top w:val="single" w:color="000000" w:sz="4" w:space="0"/>
                    <w:left w:val="single" w:color="000000" w:sz="4" w:space="0"/>
                    <w:right w:val="single" w:color="000000" w:sz="4" w:space="0"/>
                  </w:tcBorders>
                  <w:shd w:val="clear" w:color="auto" w:fill="auto"/>
                  <w:vAlign w:val="center"/>
                </w:tcPr>
                <w:p w14:paraId="3CC50D9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废水</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341C9">
                  <w:pPr>
                    <w:widowControl/>
                    <w:spacing w:line="240" w:lineRule="auto"/>
                    <w:jc w:val="center"/>
                    <w:textAlignment w:val="center"/>
                    <w:rPr>
                      <w:color w:val="auto"/>
                      <w:sz w:val="18"/>
                      <w:szCs w:val="18"/>
                    </w:rPr>
                  </w:pPr>
                  <w:r>
                    <w:rPr>
                      <w:color w:val="auto"/>
                      <w:kern w:val="0"/>
                      <w:sz w:val="18"/>
                      <w:szCs w:val="18"/>
                      <w:lang w:bidi="ar"/>
                    </w:rPr>
                    <w:t>/</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E20C1">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kern w:val="0"/>
                      <w:sz w:val="18"/>
                      <w:szCs w:val="18"/>
                      <w:lang w:bidi="ar"/>
                    </w:rPr>
                    <w:t>员工生活</w:t>
                  </w:r>
                  <w:r>
                    <w:rPr>
                      <w:rFonts w:hint="eastAsia" w:cs="宋体"/>
                      <w:color w:val="auto"/>
                      <w:kern w:val="0"/>
                      <w:sz w:val="18"/>
                      <w:szCs w:val="18"/>
                      <w:lang w:eastAsia="zh-CN" w:bidi="ar"/>
                    </w:rPr>
                    <w:t>、</w:t>
                  </w:r>
                  <w:r>
                    <w:rPr>
                      <w:rFonts w:hint="eastAsia" w:cs="宋体"/>
                      <w:color w:val="auto"/>
                      <w:kern w:val="0"/>
                      <w:sz w:val="18"/>
                      <w:szCs w:val="18"/>
                      <w:lang w:val="en-US" w:eastAsia="zh-CN" w:bidi="ar"/>
                    </w:rPr>
                    <w:t>食堂废水</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9654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生活污水</w:t>
                  </w:r>
                </w:p>
              </w:tc>
              <w:tc>
                <w:tcPr>
                  <w:tcW w:w="1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B0564">
                  <w:pPr>
                    <w:widowControl/>
                    <w:spacing w:line="240" w:lineRule="auto"/>
                    <w:jc w:val="center"/>
                    <w:textAlignment w:val="center"/>
                    <w:rPr>
                      <w:rFonts w:hint="default" w:eastAsia="宋体"/>
                      <w:color w:val="auto"/>
                      <w:sz w:val="18"/>
                      <w:szCs w:val="18"/>
                      <w:lang w:val="en-US" w:eastAsia="zh-CN"/>
                    </w:rPr>
                  </w:pPr>
                  <w:r>
                    <w:rPr>
                      <w:color w:val="auto"/>
                      <w:kern w:val="0"/>
                      <w:sz w:val="18"/>
                      <w:szCs w:val="18"/>
                      <w:lang w:bidi="ar"/>
                    </w:rPr>
                    <w:t>COD</w:t>
                  </w:r>
                  <w:r>
                    <w:rPr>
                      <w:rFonts w:hint="eastAsia" w:cs="宋体"/>
                      <w:color w:val="auto"/>
                      <w:kern w:val="0"/>
                      <w:sz w:val="18"/>
                      <w:szCs w:val="18"/>
                      <w:lang w:bidi="ar"/>
                    </w:rPr>
                    <w:t>、氨氮、</w:t>
                  </w:r>
                  <w:r>
                    <w:rPr>
                      <w:color w:val="auto"/>
                      <w:kern w:val="0"/>
                      <w:sz w:val="18"/>
                      <w:szCs w:val="18"/>
                      <w:lang w:bidi="ar"/>
                    </w:rPr>
                    <w:t>BOD</w:t>
                  </w:r>
                  <w:r>
                    <w:rPr>
                      <w:color w:val="auto"/>
                      <w:kern w:val="0"/>
                      <w:sz w:val="18"/>
                      <w:szCs w:val="18"/>
                      <w:vertAlign w:val="subscript"/>
                      <w:lang w:bidi="ar"/>
                    </w:rPr>
                    <w:t>5</w:t>
                  </w:r>
                  <w:r>
                    <w:rPr>
                      <w:rFonts w:hint="eastAsia" w:cs="宋体"/>
                      <w:color w:val="auto"/>
                      <w:kern w:val="0"/>
                      <w:sz w:val="18"/>
                      <w:szCs w:val="18"/>
                      <w:lang w:bidi="ar"/>
                    </w:rPr>
                    <w:t>、</w:t>
                  </w:r>
                  <w:r>
                    <w:rPr>
                      <w:color w:val="auto"/>
                      <w:kern w:val="0"/>
                      <w:sz w:val="18"/>
                      <w:szCs w:val="18"/>
                      <w:lang w:bidi="ar"/>
                    </w:rPr>
                    <w:t>SS</w:t>
                  </w:r>
                  <w:r>
                    <w:rPr>
                      <w:rFonts w:hint="eastAsia"/>
                      <w:color w:val="auto"/>
                      <w:kern w:val="0"/>
                      <w:sz w:val="18"/>
                      <w:szCs w:val="18"/>
                      <w:lang w:eastAsia="zh-CN" w:bidi="ar"/>
                    </w:rPr>
                    <w:t>、</w:t>
                  </w:r>
                  <w:r>
                    <w:rPr>
                      <w:rFonts w:hint="eastAsia"/>
                      <w:color w:val="auto"/>
                      <w:kern w:val="0"/>
                      <w:sz w:val="18"/>
                      <w:szCs w:val="18"/>
                      <w:lang w:val="en-US" w:eastAsia="zh-CN" w:bidi="ar"/>
                    </w:rPr>
                    <w:t>动植物油</w:t>
                  </w:r>
                </w:p>
              </w:tc>
              <w:tc>
                <w:tcPr>
                  <w:tcW w:w="1270" w:type="pct"/>
                  <w:tcBorders>
                    <w:top w:val="single" w:color="auto" w:sz="4" w:space="0"/>
                    <w:left w:val="single" w:color="000000" w:sz="4" w:space="0"/>
                    <w:bottom w:val="single" w:color="000000" w:sz="4" w:space="0"/>
                    <w:right w:val="single" w:color="000000" w:sz="4" w:space="0"/>
                  </w:tcBorders>
                  <w:shd w:val="clear" w:color="auto" w:fill="auto"/>
                  <w:vAlign w:val="center"/>
                </w:tcPr>
                <w:p w14:paraId="2E04871C">
                  <w:pPr>
                    <w:widowControl/>
                    <w:spacing w:line="240" w:lineRule="auto"/>
                    <w:jc w:val="center"/>
                    <w:textAlignment w:val="center"/>
                    <w:rPr>
                      <w:color w:val="auto"/>
                      <w:kern w:val="0"/>
                      <w:sz w:val="18"/>
                      <w:szCs w:val="18"/>
                      <w:lang w:bidi="ar"/>
                    </w:rPr>
                  </w:pPr>
                  <w:r>
                    <w:rPr>
                      <w:rFonts w:hint="eastAsia"/>
                      <w:color w:val="auto"/>
                      <w:kern w:val="0"/>
                      <w:sz w:val="18"/>
                      <w:szCs w:val="18"/>
                      <w:lang w:bidi="ar"/>
                    </w:rPr>
                    <w:t>生活污水</w:t>
                  </w:r>
                  <w:r>
                    <w:rPr>
                      <w:rFonts w:hint="eastAsia"/>
                      <w:color w:val="auto"/>
                      <w:kern w:val="0"/>
                      <w:sz w:val="18"/>
                      <w:szCs w:val="18"/>
                      <w:lang w:eastAsia="zh-CN" w:bidi="ar"/>
                    </w:rPr>
                    <w:t>、</w:t>
                  </w:r>
                  <w:r>
                    <w:rPr>
                      <w:rFonts w:hint="eastAsia"/>
                      <w:color w:val="auto"/>
                      <w:kern w:val="0"/>
                      <w:sz w:val="18"/>
                      <w:szCs w:val="18"/>
                      <w:lang w:val="en-US" w:eastAsia="zh-CN" w:bidi="ar"/>
                    </w:rPr>
                    <w:t>食堂废水分别</w:t>
                  </w:r>
                  <w:r>
                    <w:rPr>
                      <w:rFonts w:hint="eastAsia"/>
                      <w:color w:val="auto"/>
                      <w:kern w:val="0"/>
                      <w:sz w:val="18"/>
                      <w:szCs w:val="18"/>
                      <w:lang w:bidi="ar"/>
                    </w:rPr>
                    <w:t>经化粪池</w:t>
                  </w:r>
                  <w:r>
                    <w:rPr>
                      <w:rFonts w:hint="eastAsia"/>
                      <w:color w:val="auto"/>
                      <w:kern w:val="0"/>
                      <w:sz w:val="18"/>
                      <w:szCs w:val="18"/>
                      <w:lang w:val="en-US" w:eastAsia="zh-CN" w:bidi="ar"/>
                    </w:rPr>
                    <w:t>和隔油池</w:t>
                  </w:r>
                  <w:r>
                    <w:rPr>
                      <w:rFonts w:hint="eastAsia"/>
                      <w:color w:val="auto"/>
                      <w:kern w:val="0"/>
                      <w:sz w:val="18"/>
                      <w:szCs w:val="18"/>
                      <w:lang w:bidi="ar"/>
                    </w:rPr>
                    <w:t>预处理</w:t>
                  </w:r>
                  <w:r>
                    <w:rPr>
                      <w:rFonts w:hint="eastAsia"/>
                      <w:color w:val="auto"/>
                      <w:kern w:val="0"/>
                      <w:sz w:val="18"/>
                      <w:szCs w:val="18"/>
                      <w:lang w:val="en-US" w:eastAsia="zh-CN" w:bidi="ar"/>
                    </w:rPr>
                    <w:t>后</w:t>
                  </w:r>
                  <w:r>
                    <w:rPr>
                      <w:color w:val="auto"/>
                      <w:kern w:val="0"/>
                      <w:sz w:val="18"/>
                      <w:szCs w:val="18"/>
                      <w:lang w:bidi="ar"/>
                    </w:rPr>
                    <w:t>接入</w:t>
                  </w:r>
                  <w:r>
                    <w:rPr>
                      <w:rFonts w:hint="eastAsia"/>
                      <w:color w:val="auto"/>
                      <w:kern w:val="0"/>
                      <w:sz w:val="18"/>
                      <w:szCs w:val="18"/>
                      <w:lang w:eastAsia="zh-CN" w:bidi="ar"/>
                    </w:rPr>
                    <w:t>江南产业集中区第一污水处理厂</w:t>
                  </w:r>
                  <w:r>
                    <w:rPr>
                      <w:color w:val="auto"/>
                      <w:kern w:val="0"/>
                      <w:sz w:val="18"/>
                      <w:szCs w:val="18"/>
                      <w:lang w:bidi="ar"/>
                    </w:rPr>
                    <w:t>处理</w:t>
                  </w:r>
                </w:p>
              </w:tc>
            </w:tr>
            <w:tr w14:paraId="02A46A88">
              <w:tblPrEx>
                <w:tblCellMar>
                  <w:top w:w="0" w:type="dxa"/>
                  <w:left w:w="108" w:type="dxa"/>
                  <w:bottom w:w="0" w:type="dxa"/>
                  <w:right w:w="108" w:type="dxa"/>
                </w:tblCellMar>
              </w:tblPrEx>
              <w:trPr>
                <w:trHeight w:val="340" w:hRule="atLeast"/>
              </w:trPr>
              <w:tc>
                <w:tcPr>
                  <w:tcW w:w="497" w:type="pct"/>
                  <w:vMerge w:val="continue"/>
                  <w:tcBorders>
                    <w:left w:val="single" w:color="000000" w:sz="4" w:space="0"/>
                    <w:right w:val="single" w:color="000000" w:sz="4" w:space="0"/>
                  </w:tcBorders>
                  <w:shd w:val="clear" w:color="auto" w:fill="auto"/>
                  <w:vAlign w:val="center"/>
                </w:tcPr>
                <w:p w14:paraId="70B1F140">
                  <w:pPr>
                    <w:widowControl/>
                    <w:spacing w:line="240" w:lineRule="auto"/>
                    <w:jc w:val="center"/>
                    <w:textAlignment w:val="center"/>
                    <w:rPr>
                      <w:rFonts w:hint="eastAsia" w:cs="宋体"/>
                      <w:color w:val="auto"/>
                      <w:kern w:val="0"/>
                      <w:sz w:val="18"/>
                      <w:szCs w:val="18"/>
                      <w:lang w:bidi="ar"/>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087DF">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1AFE9">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循环冷却水排水</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62D94">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冷却水排水</w:t>
                  </w:r>
                </w:p>
              </w:tc>
              <w:tc>
                <w:tcPr>
                  <w:tcW w:w="1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207D7">
                  <w:pPr>
                    <w:widowControl/>
                    <w:spacing w:line="240" w:lineRule="auto"/>
                    <w:jc w:val="center"/>
                    <w:textAlignment w:val="center"/>
                    <w:rPr>
                      <w:color w:val="auto"/>
                      <w:kern w:val="0"/>
                      <w:sz w:val="18"/>
                      <w:szCs w:val="18"/>
                      <w:lang w:bidi="ar"/>
                    </w:rPr>
                  </w:pPr>
                  <w:r>
                    <w:rPr>
                      <w:color w:val="auto"/>
                      <w:kern w:val="0"/>
                      <w:sz w:val="18"/>
                      <w:szCs w:val="18"/>
                      <w:lang w:bidi="ar"/>
                    </w:rPr>
                    <w:t>COD</w:t>
                  </w:r>
                  <w:r>
                    <w:rPr>
                      <w:rFonts w:hint="eastAsia" w:cs="宋体"/>
                      <w:color w:val="auto"/>
                      <w:kern w:val="0"/>
                      <w:sz w:val="18"/>
                      <w:szCs w:val="18"/>
                      <w:lang w:bidi="ar"/>
                    </w:rPr>
                    <w:t>、</w:t>
                  </w:r>
                  <w:r>
                    <w:rPr>
                      <w:color w:val="auto"/>
                      <w:kern w:val="0"/>
                      <w:sz w:val="18"/>
                      <w:szCs w:val="18"/>
                      <w:lang w:bidi="ar"/>
                    </w:rPr>
                    <w:t>SS</w:t>
                  </w:r>
                </w:p>
              </w:tc>
              <w:tc>
                <w:tcPr>
                  <w:tcW w:w="1270" w:type="pct"/>
                  <w:tcBorders>
                    <w:top w:val="single" w:color="auto" w:sz="4" w:space="0"/>
                    <w:left w:val="single" w:color="000000" w:sz="4" w:space="0"/>
                    <w:bottom w:val="single" w:color="000000" w:sz="4" w:space="0"/>
                    <w:right w:val="single" w:color="000000" w:sz="4" w:space="0"/>
                  </w:tcBorders>
                  <w:shd w:val="clear" w:color="auto" w:fill="auto"/>
                  <w:vAlign w:val="center"/>
                </w:tcPr>
                <w:p w14:paraId="418FF018">
                  <w:pPr>
                    <w:widowControl/>
                    <w:spacing w:line="240" w:lineRule="auto"/>
                    <w:jc w:val="center"/>
                    <w:textAlignment w:val="center"/>
                    <w:rPr>
                      <w:rFonts w:hint="eastAsia"/>
                      <w:color w:val="auto"/>
                      <w:kern w:val="0"/>
                      <w:sz w:val="18"/>
                      <w:szCs w:val="18"/>
                      <w:lang w:bidi="ar"/>
                    </w:rPr>
                  </w:pPr>
                  <w:r>
                    <w:rPr>
                      <w:rFonts w:hint="eastAsia"/>
                      <w:color w:val="auto"/>
                      <w:kern w:val="0"/>
                      <w:sz w:val="18"/>
                      <w:szCs w:val="18"/>
                      <w:lang w:val="en-US" w:eastAsia="zh-CN" w:bidi="ar"/>
                    </w:rPr>
                    <w:t>循环冷却水排水</w:t>
                  </w:r>
                  <w:r>
                    <w:rPr>
                      <w:color w:val="auto"/>
                      <w:kern w:val="0"/>
                      <w:sz w:val="18"/>
                      <w:szCs w:val="18"/>
                      <w:lang w:bidi="ar"/>
                    </w:rPr>
                    <w:t>接入</w:t>
                  </w:r>
                  <w:r>
                    <w:rPr>
                      <w:rFonts w:hint="eastAsia"/>
                      <w:color w:val="auto"/>
                      <w:kern w:val="0"/>
                      <w:sz w:val="18"/>
                      <w:szCs w:val="18"/>
                      <w:lang w:eastAsia="zh-CN" w:bidi="ar"/>
                    </w:rPr>
                    <w:t>江南产业集中区第一污水处理厂</w:t>
                  </w:r>
                  <w:r>
                    <w:rPr>
                      <w:color w:val="auto"/>
                      <w:kern w:val="0"/>
                      <w:sz w:val="18"/>
                      <w:szCs w:val="18"/>
                      <w:lang w:bidi="ar"/>
                    </w:rPr>
                    <w:t>处理</w:t>
                  </w:r>
                </w:p>
              </w:tc>
            </w:tr>
            <w:tr w14:paraId="16989C60">
              <w:tblPrEx>
                <w:tblCellMar>
                  <w:top w:w="0" w:type="dxa"/>
                  <w:left w:w="108" w:type="dxa"/>
                  <w:bottom w:w="0" w:type="dxa"/>
                  <w:right w:w="108" w:type="dxa"/>
                </w:tblCellMar>
              </w:tblPrEx>
              <w:trPr>
                <w:trHeight w:val="340" w:hRule="atLeast"/>
              </w:trPr>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35793">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噪声</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51202">
                  <w:pPr>
                    <w:widowControl/>
                    <w:spacing w:line="240" w:lineRule="auto"/>
                    <w:jc w:val="center"/>
                    <w:textAlignment w:val="center"/>
                    <w:rPr>
                      <w:color w:val="auto"/>
                      <w:sz w:val="18"/>
                      <w:szCs w:val="18"/>
                    </w:rPr>
                  </w:pPr>
                  <w:r>
                    <w:rPr>
                      <w:color w:val="auto"/>
                      <w:kern w:val="0"/>
                      <w:sz w:val="18"/>
                      <w:szCs w:val="18"/>
                      <w:lang w:bidi="ar"/>
                    </w:rPr>
                    <w:t>N</w:t>
                  </w:r>
                </w:p>
              </w:tc>
              <w:tc>
                <w:tcPr>
                  <w:tcW w:w="808" w:type="pct"/>
                  <w:tcBorders>
                    <w:top w:val="single" w:color="000000" w:sz="4" w:space="0"/>
                    <w:left w:val="single" w:color="000000" w:sz="4" w:space="0"/>
                    <w:bottom w:val="single" w:color="auto" w:sz="4" w:space="0"/>
                    <w:right w:val="single" w:color="000000" w:sz="4" w:space="0"/>
                  </w:tcBorders>
                  <w:shd w:val="clear" w:color="auto" w:fill="auto"/>
                  <w:vAlign w:val="center"/>
                </w:tcPr>
                <w:p w14:paraId="7E7FCE0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生产设备</w:t>
                  </w:r>
                </w:p>
              </w:tc>
              <w:tc>
                <w:tcPr>
                  <w:tcW w:w="899" w:type="pct"/>
                  <w:tcBorders>
                    <w:top w:val="single" w:color="000000" w:sz="4" w:space="0"/>
                    <w:left w:val="single" w:color="000000" w:sz="4" w:space="0"/>
                    <w:bottom w:val="single" w:color="auto" w:sz="4" w:space="0"/>
                    <w:right w:val="single" w:color="000000" w:sz="4" w:space="0"/>
                  </w:tcBorders>
                  <w:shd w:val="clear" w:color="auto" w:fill="auto"/>
                  <w:vAlign w:val="center"/>
                </w:tcPr>
                <w:p w14:paraId="0A5FA85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噪声</w:t>
                  </w:r>
                </w:p>
              </w:tc>
              <w:tc>
                <w:tcPr>
                  <w:tcW w:w="1041" w:type="pct"/>
                  <w:tcBorders>
                    <w:top w:val="single" w:color="000000" w:sz="4" w:space="0"/>
                    <w:left w:val="single" w:color="000000" w:sz="4" w:space="0"/>
                    <w:bottom w:val="single" w:color="auto" w:sz="4" w:space="0"/>
                    <w:right w:val="single" w:color="000000" w:sz="4" w:space="0"/>
                  </w:tcBorders>
                  <w:shd w:val="clear" w:color="auto" w:fill="auto"/>
                  <w:vAlign w:val="center"/>
                </w:tcPr>
                <w:p w14:paraId="0DFFE54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噪声</w:t>
                  </w:r>
                  <w:r>
                    <w:rPr>
                      <w:color w:val="auto"/>
                      <w:kern w:val="0"/>
                      <w:sz w:val="18"/>
                      <w:szCs w:val="18"/>
                      <w:lang w:bidi="ar"/>
                    </w:rPr>
                    <w:t>Leq</w:t>
                  </w:r>
                </w:p>
              </w:tc>
              <w:tc>
                <w:tcPr>
                  <w:tcW w:w="1270" w:type="pct"/>
                  <w:tcBorders>
                    <w:top w:val="single" w:color="000000" w:sz="4" w:space="0"/>
                    <w:left w:val="single" w:color="000000" w:sz="4" w:space="0"/>
                    <w:bottom w:val="single" w:color="auto" w:sz="4" w:space="0"/>
                    <w:right w:val="single" w:color="000000" w:sz="4" w:space="0"/>
                  </w:tcBorders>
                  <w:shd w:val="clear" w:color="auto" w:fill="auto"/>
                  <w:vAlign w:val="center"/>
                </w:tcPr>
                <w:p w14:paraId="6E3DA7DB">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选用低噪声设备，并采用减振、隔声等措施</w:t>
                  </w:r>
                </w:p>
              </w:tc>
            </w:tr>
            <w:tr w14:paraId="6DBA955F">
              <w:tblPrEx>
                <w:tblCellMar>
                  <w:top w:w="0" w:type="dxa"/>
                  <w:left w:w="108" w:type="dxa"/>
                  <w:bottom w:w="0" w:type="dxa"/>
                  <w:right w:w="108" w:type="dxa"/>
                </w:tblCellMar>
              </w:tblPrEx>
              <w:trPr>
                <w:trHeight w:val="340" w:hRule="atLeast"/>
              </w:trPr>
              <w:tc>
                <w:tcPr>
                  <w:tcW w:w="497" w:type="pct"/>
                  <w:vMerge w:val="restart"/>
                  <w:tcBorders>
                    <w:top w:val="single" w:color="000000" w:sz="4" w:space="0"/>
                    <w:left w:val="single" w:color="000000" w:sz="4" w:space="0"/>
                    <w:right w:val="single" w:color="000000" w:sz="4" w:space="0"/>
                  </w:tcBorders>
                  <w:shd w:val="clear" w:color="auto" w:fill="auto"/>
                  <w:vAlign w:val="center"/>
                </w:tcPr>
                <w:p w14:paraId="34E7759F">
                  <w:pPr>
                    <w:widowControl/>
                    <w:spacing w:line="240" w:lineRule="auto"/>
                    <w:jc w:val="center"/>
                    <w:rPr>
                      <w:rFonts w:hint="eastAsia" w:eastAsia="宋体" w:cs="宋体"/>
                      <w:color w:val="auto"/>
                      <w:sz w:val="18"/>
                      <w:szCs w:val="18"/>
                      <w:lang w:val="en-US" w:eastAsia="zh-CN"/>
                    </w:rPr>
                  </w:pPr>
                  <w:r>
                    <w:rPr>
                      <w:rFonts w:hint="eastAsia" w:cs="宋体"/>
                      <w:color w:val="auto"/>
                      <w:sz w:val="18"/>
                      <w:szCs w:val="18"/>
                      <w:lang w:val="en-US" w:eastAsia="zh-CN"/>
                    </w:rPr>
                    <w:t>固废</w:t>
                  </w: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0D886D02">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S</w:t>
                  </w:r>
                  <w:r>
                    <w:rPr>
                      <w:rFonts w:hint="eastAsia"/>
                      <w:color w:val="auto"/>
                      <w:kern w:val="0"/>
                      <w:sz w:val="18"/>
                      <w:szCs w:val="18"/>
                      <w:lang w:val="en-US" w:eastAsia="zh-CN" w:bidi="ar"/>
                    </w:rPr>
                    <w:t>1-1</w:t>
                  </w:r>
                </w:p>
              </w:tc>
              <w:tc>
                <w:tcPr>
                  <w:tcW w:w="80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2A0A17">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扒渣</w:t>
                  </w:r>
                </w:p>
              </w:tc>
              <w:tc>
                <w:tcPr>
                  <w:tcW w:w="89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E391C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铝灰渣</w:t>
                  </w:r>
                </w:p>
              </w:tc>
              <w:tc>
                <w:tcPr>
                  <w:tcW w:w="104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9C3BA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铝</w:t>
                  </w:r>
                </w:p>
              </w:tc>
              <w:tc>
                <w:tcPr>
                  <w:tcW w:w="1270" w:type="pct"/>
                  <w:vMerge w:val="restart"/>
                  <w:tcBorders>
                    <w:top w:val="single" w:color="auto" w:sz="4" w:space="0"/>
                    <w:left w:val="single" w:color="auto" w:sz="4" w:space="0"/>
                    <w:right w:val="single" w:color="auto" w:sz="4" w:space="0"/>
                  </w:tcBorders>
                  <w:shd w:val="clear" w:color="auto" w:fill="auto"/>
                  <w:vAlign w:val="center"/>
                </w:tcPr>
                <w:p w14:paraId="6B17A455">
                  <w:pPr>
                    <w:widowControl/>
                    <w:spacing w:line="240" w:lineRule="auto"/>
                    <w:jc w:val="center"/>
                    <w:textAlignment w:val="center"/>
                    <w:rPr>
                      <w:rFonts w:cs="宋体"/>
                      <w:color w:val="auto"/>
                      <w:kern w:val="0"/>
                      <w:sz w:val="18"/>
                      <w:szCs w:val="18"/>
                      <w:lang w:bidi="ar"/>
                    </w:rPr>
                  </w:pPr>
                  <w:r>
                    <w:rPr>
                      <w:rFonts w:hint="eastAsia" w:cs="宋体"/>
                      <w:color w:val="auto"/>
                      <w:sz w:val="18"/>
                      <w:szCs w:val="18"/>
                    </w:rPr>
                    <w:t>收集暂存后交有资质单位处置</w:t>
                  </w:r>
                </w:p>
              </w:tc>
            </w:tr>
            <w:tr w14:paraId="2EEEBB87">
              <w:tblPrEx>
                <w:tblCellMar>
                  <w:top w:w="0" w:type="dxa"/>
                  <w:left w:w="108" w:type="dxa"/>
                  <w:bottom w:w="0" w:type="dxa"/>
                  <w:right w:w="108" w:type="dxa"/>
                </w:tblCellMar>
              </w:tblPrEx>
              <w:trPr>
                <w:trHeight w:val="340" w:hRule="atLeast"/>
              </w:trPr>
              <w:tc>
                <w:tcPr>
                  <w:tcW w:w="497" w:type="pct"/>
                  <w:vMerge w:val="continue"/>
                  <w:tcBorders>
                    <w:left w:val="single" w:color="000000" w:sz="4" w:space="0"/>
                    <w:right w:val="single" w:color="000000" w:sz="4" w:space="0"/>
                  </w:tcBorders>
                  <w:shd w:val="clear" w:color="auto" w:fill="auto"/>
                  <w:vAlign w:val="center"/>
                </w:tcPr>
                <w:p w14:paraId="7C991AB7">
                  <w:pPr>
                    <w:widowControl/>
                    <w:spacing w:line="240" w:lineRule="auto"/>
                    <w:jc w:val="center"/>
                    <w:rPr>
                      <w:rFonts w:hint="eastAsia" w:cs="宋体"/>
                      <w:color w:val="auto"/>
                      <w:sz w:val="18"/>
                      <w:szCs w:val="18"/>
                      <w:lang w:val="en-US" w:eastAsia="zh-CN"/>
                    </w:rPr>
                  </w:pP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47CF3678">
                  <w:pPr>
                    <w:widowControl/>
                    <w:spacing w:line="240" w:lineRule="auto"/>
                    <w:jc w:val="center"/>
                    <w:textAlignment w:val="center"/>
                    <w:rPr>
                      <w:rFonts w:hint="eastAsia"/>
                      <w:color w:val="auto"/>
                      <w:kern w:val="0"/>
                      <w:sz w:val="18"/>
                      <w:szCs w:val="18"/>
                      <w:lang w:bidi="ar"/>
                    </w:rPr>
                  </w:pPr>
                  <w:r>
                    <w:rPr>
                      <w:rFonts w:hint="eastAsia"/>
                      <w:color w:val="auto"/>
                      <w:kern w:val="0"/>
                      <w:sz w:val="18"/>
                      <w:szCs w:val="18"/>
                      <w:lang w:bidi="ar"/>
                    </w:rPr>
                    <w:t>S</w:t>
                  </w:r>
                  <w:r>
                    <w:rPr>
                      <w:rFonts w:hint="eastAsia"/>
                      <w:color w:val="auto"/>
                      <w:kern w:val="0"/>
                      <w:sz w:val="18"/>
                      <w:szCs w:val="18"/>
                      <w:lang w:val="en-US" w:eastAsia="zh-CN" w:bidi="ar"/>
                    </w:rPr>
                    <w:t>1-2</w:t>
                  </w:r>
                </w:p>
              </w:tc>
              <w:tc>
                <w:tcPr>
                  <w:tcW w:w="80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3FC463">
                  <w:pPr>
                    <w:widowControl/>
                    <w:spacing w:line="240" w:lineRule="auto"/>
                    <w:jc w:val="center"/>
                    <w:textAlignment w:val="center"/>
                    <w:rPr>
                      <w:rFonts w:hint="eastAsia" w:cs="宋体"/>
                      <w:color w:val="auto"/>
                      <w:kern w:val="0"/>
                      <w:sz w:val="18"/>
                      <w:szCs w:val="18"/>
                      <w:lang w:bidi="ar"/>
                    </w:rPr>
                  </w:pPr>
                </w:p>
              </w:tc>
              <w:tc>
                <w:tcPr>
                  <w:tcW w:w="89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3C3374">
                  <w:pPr>
                    <w:widowControl/>
                    <w:spacing w:line="240" w:lineRule="auto"/>
                    <w:jc w:val="center"/>
                    <w:textAlignment w:val="center"/>
                    <w:rPr>
                      <w:rFonts w:hint="eastAsia" w:cs="宋体"/>
                      <w:color w:val="auto"/>
                      <w:kern w:val="0"/>
                      <w:sz w:val="18"/>
                      <w:szCs w:val="18"/>
                      <w:lang w:bidi="ar"/>
                    </w:rPr>
                  </w:pPr>
                </w:p>
              </w:tc>
              <w:tc>
                <w:tcPr>
                  <w:tcW w:w="104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7AE1C0">
                  <w:pPr>
                    <w:widowControl/>
                    <w:spacing w:line="240" w:lineRule="auto"/>
                    <w:jc w:val="center"/>
                    <w:textAlignment w:val="center"/>
                    <w:rPr>
                      <w:rFonts w:hint="eastAsia" w:cs="宋体"/>
                      <w:color w:val="auto"/>
                      <w:kern w:val="0"/>
                      <w:sz w:val="18"/>
                      <w:szCs w:val="18"/>
                      <w:lang w:bidi="ar"/>
                    </w:rPr>
                  </w:pPr>
                </w:p>
              </w:tc>
              <w:tc>
                <w:tcPr>
                  <w:tcW w:w="1270" w:type="pct"/>
                  <w:vMerge w:val="continue"/>
                  <w:tcBorders>
                    <w:left w:val="single" w:color="auto" w:sz="4" w:space="0"/>
                    <w:bottom w:val="single" w:color="auto" w:sz="4" w:space="0"/>
                    <w:right w:val="single" w:color="auto" w:sz="4" w:space="0"/>
                  </w:tcBorders>
                  <w:shd w:val="clear" w:color="auto" w:fill="auto"/>
                  <w:vAlign w:val="center"/>
                </w:tcPr>
                <w:p w14:paraId="5817BD70">
                  <w:pPr>
                    <w:widowControl/>
                    <w:spacing w:line="240" w:lineRule="auto"/>
                    <w:jc w:val="center"/>
                    <w:textAlignment w:val="center"/>
                    <w:rPr>
                      <w:rFonts w:hint="eastAsia" w:cs="宋体"/>
                      <w:color w:val="auto"/>
                      <w:sz w:val="18"/>
                      <w:szCs w:val="18"/>
                    </w:rPr>
                  </w:pPr>
                </w:p>
              </w:tc>
            </w:tr>
            <w:tr w14:paraId="6FB3C911">
              <w:tblPrEx>
                <w:tblCellMar>
                  <w:top w:w="0" w:type="dxa"/>
                  <w:left w:w="108" w:type="dxa"/>
                  <w:bottom w:w="0" w:type="dxa"/>
                  <w:right w:w="108" w:type="dxa"/>
                </w:tblCellMar>
              </w:tblPrEx>
              <w:trPr>
                <w:trHeight w:val="340"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4BBB8">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0E827E68">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S</w:t>
                  </w:r>
                  <w:r>
                    <w:rPr>
                      <w:rFonts w:hint="eastAsia"/>
                      <w:color w:val="auto"/>
                      <w:kern w:val="0"/>
                      <w:sz w:val="18"/>
                      <w:szCs w:val="18"/>
                      <w:lang w:val="en-US" w:eastAsia="zh-CN" w:bidi="ar"/>
                    </w:rPr>
                    <w:t>1-3</w:t>
                  </w:r>
                </w:p>
              </w:tc>
              <w:tc>
                <w:tcPr>
                  <w:tcW w:w="808" w:type="pct"/>
                  <w:vMerge w:val="restart"/>
                  <w:tcBorders>
                    <w:top w:val="single" w:color="auto" w:sz="4" w:space="0"/>
                    <w:left w:val="single" w:color="auto" w:sz="4" w:space="0"/>
                    <w:right w:val="single" w:color="auto" w:sz="4" w:space="0"/>
                  </w:tcBorders>
                  <w:shd w:val="clear" w:color="auto" w:fill="auto"/>
                  <w:vAlign w:val="center"/>
                </w:tcPr>
                <w:p w14:paraId="6EBC4A32">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精加工</w:t>
                  </w: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646957B5">
                  <w:pPr>
                    <w:widowControl/>
                    <w:spacing w:line="240" w:lineRule="auto"/>
                    <w:jc w:val="center"/>
                    <w:textAlignment w:val="center"/>
                    <w:rPr>
                      <w:rFonts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边角料</w:t>
                  </w:r>
                </w:p>
              </w:tc>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14:paraId="568B05A7">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铝</w:t>
                  </w:r>
                </w:p>
              </w:tc>
              <w:tc>
                <w:tcPr>
                  <w:tcW w:w="1270" w:type="pct"/>
                  <w:tcBorders>
                    <w:top w:val="single" w:color="auto" w:sz="4" w:space="0"/>
                    <w:left w:val="single" w:color="auto" w:sz="4" w:space="0"/>
                    <w:bottom w:val="single" w:color="auto" w:sz="4" w:space="0"/>
                    <w:right w:val="single" w:color="auto" w:sz="4" w:space="0"/>
                  </w:tcBorders>
                  <w:shd w:val="clear" w:color="auto" w:fill="auto"/>
                  <w:vAlign w:val="center"/>
                </w:tcPr>
                <w:p w14:paraId="65A51BB0">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外售综合利用</w:t>
                  </w:r>
                </w:p>
              </w:tc>
            </w:tr>
            <w:tr w14:paraId="7A87C442">
              <w:tblPrEx>
                <w:tblCellMar>
                  <w:top w:w="0" w:type="dxa"/>
                  <w:left w:w="108" w:type="dxa"/>
                  <w:bottom w:w="0" w:type="dxa"/>
                  <w:right w:w="108" w:type="dxa"/>
                </w:tblCellMar>
              </w:tblPrEx>
              <w:trPr>
                <w:trHeight w:val="431"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90446">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3AAD07B4">
                  <w:pPr>
                    <w:widowControl/>
                    <w:spacing w:line="240" w:lineRule="auto"/>
                    <w:jc w:val="center"/>
                    <w:textAlignment w:val="center"/>
                    <w:rPr>
                      <w:rFonts w:hint="eastAsia"/>
                      <w:color w:val="auto"/>
                      <w:kern w:val="0"/>
                      <w:sz w:val="18"/>
                      <w:szCs w:val="18"/>
                      <w:lang w:bidi="ar"/>
                    </w:rPr>
                  </w:pPr>
                  <w:r>
                    <w:rPr>
                      <w:rFonts w:hint="eastAsia"/>
                      <w:color w:val="auto"/>
                      <w:kern w:val="0"/>
                      <w:sz w:val="18"/>
                      <w:szCs w:val="18"/>
                      <w:lang w:bidi="ar"/>
                    </w:rPr>
                    <w:t>S</w:t>
                  </w:r>
                  <w:r>
                    <w:rPr>
                      <w:rFonts w:hint="eastAsia"/>
                      <w:color w:val="auto"/>
                      <w:kern w:val="0"/>
                      <w:sz w:val="18"/>
                      <w:szCs w:val="18"/>
                      <w:lang w:val="en-US" w:eastAsia="zh-CN" w:bidi="ar"/>
                    </w:rPr>
                    <w:t>1-4</w:t>
                  </w:r>
                </w:p>
              </w:tc>
              <w:tc>
                <w:tcPr>
                  <w:tcW w:w="808" w:type="pct"/>
                  <w:vMerge w:val="continue"/>
                  <w:tcBorders>
                    <w:left w:val="single" w:color="auto" w:sz="4" w:space="0"/>
                    <w:bottom w:val="single" w:color="auto" w:sz="4" w:space="0"/>
                    <w:right w:val="single" w:color="auto" w:sz="4" w:space="0"/>
                  </w:tcBorders>
                  <w:shd w:val="clear" w:color="auto" w:fill="auto"/>
                  <w:vAlign w:val="center"/>
                </w:tcPr>
                <w:p w14:paraId="767D2A41">
                  <w:pPr>
                    <w:widowControl/>
                    <w:spacing w:line="240" w:lineRule="auto"/>
                    <w:jc w:val="center"/>
                    <w:textAlignment w:val="center"/>
                    <w:rPr>
                      <w:rFonts w:hint="eastAsia" w:cs="宋体"/>
                      <w:color w:val="auto"/>
                      <w:kern w:val="0"/>
                      <w:sz w:val="18"/>
                      <w:szCs w:val="18"/>
                      <w:lang w:val="en-US" w:eastAsia="zh-CN" w:bidi="ar"/>
                    </w:rPr>
                  </w:pP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650F92BB">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废切削液</w:t>
                  </w:r>
                </w:p>
              </w:tc>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14:paraId="378D2A1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有机废液</w:t>
                  </w:r>
                </w:p>
              </w:tc>
              <w:tc>
                <w:tcPr>
                  <w:tcW w:w="1270" w:type="pct"/>
                  <w:tcBorders>
                    <w:top w:val="single" w:color="auto" w:sz="4" w:space="0"/>
                    <w:left w:val="single" w:color="auto" w:sz="4" w:space="0"/>
                    <w:bottom w:val="single" w:color="auto" w:sz="4" w:space="0"/>
                    <w:right w:val="single" w:color="auto" w:sz="4" w:space="0"/>
                  </w:tcBorders>
                  <w:shd w:val="clear" w:color="auto" w:fill="auto"/>
                  <w:vAlign w:val="center"/>
                </w:tcPr>
                <w:p w14:paraId="70D7A539">
                  <w:pPr>
                    <w:widowControl/>
                    <w:spacing w:line="240" w:lineRule="auto"/>
                    <w:jc w:val="center"/>
                    <w:textAlignment w:val="center"/>
                    <w:rPr>
                      <w:rFonts w:cs="宋体"/>
                      <w:color w:val="auto"/>
                      <w:kern w:val="0"/>
                      <w:sz w:val="18"/>
                      <w:szCs w:val="18"/>
                      <w:lang w:bidi="ar"/>
                    </w:rPr>
                  </w:pPr>
                  <w:r>
                    <w:rPr>
                      <w:rFonts w:hint="eastAsia" w:cs="宋体"/>
                      <w:color w:val="auto"/>
                      <w:sz w:val="18"/>
                      <w:szCs w:val="18"/>
                    </w:rPr>
                    <w:t>收集暂存后交有资质单位处置</w:t>
                  </w:r>
                </w:p>
              </w:tc>
            </w:tr>
            <w:tr w14:paraId="7A23B954">
              <w:tblPrEx>
                <w:tblCellMar>
                  <w:top w:w="0" w:type="dxa"/>
                  <w:left w:w="108" w:type="dxa"/>
                  <w:bottom w:w="0" w:type="dxa"/>
                  <w:right w:w="108" w:type="dxa"/>
                </w:tblCellMar>
              </w:tblPrEx>
              <w:trPr>
                <w:trHeight w:val="445"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15174">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10B46574">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S</w:t>
                  </w:r>
                  <w:r>
                    <w:rPr>
                      <w:rFonts w:hint="eastAsia"/>
                      <w:color w:val="auto"/>
                      <w:kern w:val="0"/>
                      <w:sz w:val="18"/>
                      <w:szCs w:val="18"/>
                      <w:lang w:val="en-US" w:eastAsia="zh-CN" w:bidi="ar"/>
                    </w:rPr>
                    <w:t>1-5</w:t>
                  </w:r>
                </w:p>
              </w:tc>
              <w:tc>
                <w:tcPr>
                  <w:tcW w:w="808" w:type="pct"/>
                  <w:tcBorders>
                    <w:top w:val="single" w:color="auto" w:sz="4" w:space="0"/>
                    <w:left w:val="single" w:color="auto" w:sz="4" w:space="0"/>
                    <w:bottom w:val="single" w:color="auto" w:sz="4" w:space="0"/>
                    <w:right w:val="single" w:color="auto" w:sz="4" w:space="0"/>
                  </w:tcBorders>
                  <w:shd w:val="clear" w:color="auto" w:fill="auto"/>
                  <w:vAlign w:val="center"/>
                </w:tcPr>
                <w:p w14:paraId="7735C203">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检验</w:t>
                  </w: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453B5A6C">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不合格品</w:t>
                  </w:r>
                </w:p>
              </w:tc>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14:paraId="5AF915E4">
                  <w:pPr>
                    <w:widowControl/>
                    <w:spacing w:line="240" w:lineRule="auto"/>
                    <w:jc w:val="center"/>
                    <w:textAlignment w:val="center"/>
                    <w:rPr>
                      <w:rFonts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铝</w:t>
                  </w:r>
                </w:p>
              </w:tc>
              <w:tc>
                <w:tcPr>
                  <w:tcW w:w="1270" w:type="pct"/>
                  <w:tcBorders>
                    <w:top w:val="single" w:color="auto" w:sz="4" w:space="0"/>
                    <w:left w:val="single" w:color="auto" w:sz="4" w:space="0"/>
                    <w:bottom w:val="single" w:color="auto" w:sz="4" w:space="0"/>
                    <w:right w:val="single" w:color="auto" w:sz="4" w:space="0"/>
                  </w:tcBorders>
                  <w:shd w:val="clear" w:color="auto" w:fill="auto"/>
                  <w:vAlign w:val="center"/>
                </w:tcPr>
                <w:p w14:paraId="4125E7EF">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外售综合利用</w:t>
                  </w:r>
                </w:p>
              </w:tc>
            </w:tr>
            <w:tr w14:paraId="3EE402A1">
              <w:tblPrEx>
                <w:tblCellMar>
                  <w:top w:w="0" w:type="dxa"/>
                  <w:left w:w="108" w:type="dxa"/>
                  <w:bottom w:w="0" w:type="dxa"/>
                  <w:right w:w="108" w:type="dxa"/>
                </w:tblCellMar>
              </w:tblPrEx>
              <w:trPr>
                <w:trHeight w:val="445"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DF4C7">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1ACBF498">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808" w:type="pct"/>
                  <w:tcBorders>
                    <w:top w:val="single" w:color="auto" w:sz="4" w:space="0"/>
                    <w:left w:val="single" w:color="auto" w:sz="4" w:space="0"/>
                    <w:bottom w:val="single" w:color="auto" w:sz="4" w:space="0"/>
                    <w:right w:val="single" w:color="auto" w:sz="4" w:space="0"/>
                  </w:tcBorders>
                  <w:shd w:val="clear" w:color="auto" w:fill="auto"/>
                  <w:vAlign w:val="center"/>
                </w:tcPr>
                <w:p w14:paraId="08864C3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废气处理</w:t>
                  </w:r>
                </w:p>
              </w:tc>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528400A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铝熔炼烟尘</w:t>
                  </w:r>
                </w:p>
              </w:tc>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14:paraId="4137651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含铝粉尘</w:t>
                  </w:r>
                </w:p>
              </w:tc>
              <w:tc>
                <w:tcPr>
                  <w:tcW w:w="1270" w:type="pct"/>
                  <w:tcBorders>
                    <w:top w:val="single" w:color="auto" w:sz="4" w:space="0"/>
                    <w:left w:val="single" w:color="auto" w:sz="4" w:space="0"/>
                    <w:bottom w:val="single" w:color="auto" w:sz="4" w:space="0"/>
                    <w:right w:val="single" w:color="auto" w:sz="4" w:space="0"/>
                  </w:tcBorders>
                  <w:shd w:val="clear" w:color="auto" w:fill="auto"/>
                  <w:vAlign w:val="center"/>
                </w:tcPr>
                <w:p w14:paraId="1F653AA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sz w:val="18"/>
                      <w:szCs w:val="18"/>
                    </w:rPr>
                    <w:t>收集暂存后交有资质单位处置</w:t>
                  </w:r>
                </w:p>
              </w:tc>
            </w:tr>
            <w:tr w14:paraId="31D1F71D">
              <w:tblPrEx>
                <w:tblCellMar>
                  <w:top w:w="0" w:type="dxa"/>
                  <w:left w:w="108" w:type="dxa"/>
                  <w:bottom w:w="0" w:type="dxa"/>
                  <w:right w:w="108" w:type="dxa"/>
                </w:tblCellMar>
              </w:tblPrEx>
              <w:trPr>
                <w:trHeight w:val="449"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CDB81">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auto" w:sz="4" w:space="0"/>
                  </w:tcBorders>
                  <w:shd w:val="clear" w:color="auto" w:fill="auto"/>
                  <w:vAlign w:val="center"/>
                </w:tcPr>
                <w:p w14:paraId="3E9A4BFA">
                  <w:pPr>
                    <w:widowControl/>
                    <w:spacing w:line="240" w:lineRule="auto"/>
                    <w:jc w:val="center"/>
                    <w:textAlignment w:val="center"/>
                    <w:rPr>
                      <w:color w:val="auto"/>
                      <w:sz w:val="18"/>
                      <w:szCs w:val="18"/>
                    </w:rPr>
                  </w:pPr>
                  <w:r>
                    <w:rPr>
                      <w:color w:val="auto"/>
                      <w:kern w:val="0"/>
                      <w:sz w:val="18"/>
                      <w:szCs w:val="18"/>
                      <w:lang w:bidi="ar"/>
                    </w:rPr>
                    <w:t>/</w:t>
                  </w:r>
                </w:p>
              </w:tc>
              <w:tc>
                <w:tcPr>
                  <w:tcW w:w="808" w:type="pct"/>
                  <w:tcBorders>
                    <w:top w:val="single" w:color="auto" w:sz="4" w:space="0"/>
                    <w:left w:val="single" w:color="auto" w:sz="4" w:space="0"/>
                    <w:right w:val="single" w:color="auto" w:sz="4" w:space="0"/>
                  </w:tcBorders>
                  <w:shd w:val="clear" w:color="auto" w:fill="auto"/>
                  <w:vAlign w:val="center"/>
                </w:tcPr>
                <w:p w14:paraId="6B31734F">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辅料使用</w:t>
                  </w:r>
                </w:p>
              </w:tc>
              <w:tc>
                <w:tcPr>
                  <w:tcW w:w="899" w:type="pct"/>
                  <w:tcBorders>
                    <w:top w:val="single" w:color="auto" w:sz="4" w:space="0"/>
                    <w:left w:val="single" w:color="auto" w:sz="4" w:space="0"/>
                    <w:right w:val="single" w:color="auto" w:sz="4" w:space="0"/>
                  </w:tcBorders>
                  <w:shd w:val="clear" w:color="auto" w:fill="auto"/>
                  <w:vAlign w:val="center"/>
                </w:tcPr>
                <w:p w14:paraId="39E92B5F">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废包装桶</w:t>
                  </w:r>
                </w:p>
              </w:tc>
              <w:tc>
                <w:tcPr>
                  <w:tcW w:w="1041" w:type="pct"/>
                  <w:tcBorders>
                    <w:top w:val="single" w:color="auto" w:sz="4" w:space="0"/>
                    <w:left w:val="single" w:color="auto" w:sz="4" w:space="0"/>
                    <w:right w:val="single" w:color="auto" w:sz="4" w:space="0"/>
                  </w:tcBorders>
                  <w:shd w:val="clear" w:color="auto" w:fill="auto"/>
                  <w:vAlign w:val="center"/>
                </w:tcPr>
                <w:p w14:paraId="16A0FAB4">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沾染有机物废桶</w:t>
                  </w:r>
                </w:p>
              </w:tc>
              <w:tc>
                <w:tcPr>
                  <w:tcW w:w="127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96FC36E">
                  <w:pPr>
                    <w:widowControl/>
                    <w:spacing w:line="240" w:lineRule="auto"/>
                    <w:jc w:val="center"/>
                    <w:textAlignment w:val="center"/>
                    <w:rPr>
                      <w:rFonts w:cs="宋体"/>
                      <w:color w:val="auto"/>
                      <w:sz w:val="18"/>
                      <w:szCs w:val="18"/>
                    </w:rPr>
                  </w:pPr>
                  <w:r>
                    <w:rPr>
                      <w:rFonts w:hint="eastAsia" w:cs="宋体"/>
                      <w:color w:val="auto"/>
                      <w:sz w:val="18"/>
                      <w:szCs w:val="18"/>
                    </w:rPr>
                    <w:t>收集暂存后交有资质单位处置</w:t>
                  </w:r>
                </w:p>
              </w:tc>
            </w:tr>
            <w:tr w14:paraId="2FB8F12E">
              <w:tblPrEx>
                <w:tblCellMar>
                  <w:top w:w="0" w:type="dxa"/>
                  <w:left w:w="108" w:type="dxa"/>
                  <w:bottom w:w="0" w:type="dxa"/>
                  <w:right w:w="108" w:type="dxa"/>
                </w:tblCellMar>
              </w:tblPrEx>
              <w:trPr>
                <w:trHeight w:val="340"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9EA47">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E3A6C">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808" w:type="pct"/>
                  <w:tcBorders>
                    <w:top w:val="single" w:color="000000" w:sz="4" w:space="0"/>
                    <w:left w:val="single" w:color="000000" w:sz="4" w:space="0"/>
                    <w:right w:val="single" w:color="000000" w:sz="4" w:space="0"/>
                  </w:tcBorders>
                  <w:shd w:val="clear" w:color="auto" w:fill="auto"/>
                  <w:vAlign w:val="center"/>
                </w:tcPr>
                <w:p w14:paraId="004B7A8F">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设备润滑</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CF80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废润滑油</w:t>
                  </w:r>
                </w:p>
              </w:tc>
              <w:tc>
                <w:tcPr>
                  <w:tcW w:w="10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A6E9">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废矿物油</w:t>
                  </w:r>
                </w:p>
              </w:tc>
              <w:tc>
                <w:tcPr>
                  <w:tcW w:w="1270" w:type="pct"/>
                  <w:vMerge w:val="continue"/>
                  <w:tcBorders>
                    <w:left w:val="single" w:color="000000" w:sz="4" w:space="0"/>
                    <w:bottom w:val="single" w:color="auto" w:sz="4" w:space="0"/>
                    <w:right w:val="single" w:color="auto" w:sz="4" w:space="0"/>
                  </w:tcBorders>
                  <w:shd w:val="clear" w:color="auto" w:fill="auto"/>
                  <w:vAlign w:val="center"/>
                </w:tcPr>
                <w:p w14:paraId="1690DA35">
                  <w:pPr>
                    <w:widowControl/>
                    <w:spacing w:line="240" w:lineRule="auto"/>
                    <w:jc w:val="center"/>
                    <w:textAlignment w:val="center"/>
                    <w:rPr>
                      <w:rFonts w:hint="eastAsia" w:cs="宋体"/>
                      <w:color w:val="auto"/>
                      <w:sz w:val="18"/>
                      <w:szCs w:val="18"/>
                    </w:rPr>
                  </w:pPr>
                </w:p>
              </w:tc>
            </w:tr>
            <w:tr w14:paraId="42254B42">
              <w:tblPrEx>
                <w:tblCellMar>
                  <w:top w:w="0" w:type="dxa"/>
                  <w:left w:w="108" w:type="dxa"/>
                  <w:bottom w:w="0" w:type="dxa"/>
                  <w:right w:w="108" w:type="dxa"/>
                </w:tblCellMar>
              </w:tblPrEx>
              <w:trPr>
                <w:trHeight w:val="340" w:hRule="atLeast"/>
              </w:trPr>
              <w:tc>
                <w:tcPr>
                  <w:tcW w:w="4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C151B">
                  <w:pPr>
                    <w:widowControl/>
                    <w:spacing w:line="240" w:lineRule="auto"/>
                    <w:jc w:val="center"/>
                    <w:rPr>
                      <w:rFonts w:cs="宋体"/>
                      <w:color w:val="auto"/>
                      <w:sz w:val="18"/>
                      <w:szCs w:val="18"/>
                    </w:rPr>
                  </w:pP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6E30">
                  <w:pPr>
                    <w:widowControl/>
                    <w:spacing w:line="240" w:lineRule="auto"/>
                    <w:jc w:val="center"/>
                    <w:textAlignment w:val="center"/>
                    <w:rPr>
                      <w:color w:val="auto"/>
                      <w:sz w:val="18"/>
                      <w:szCs w:val="18"/>
                    </w:rPr>
                  </w:pPr>
                  <w:r>
                    <w:rPr>
                      <w:color w:val="auto"/>
                      <w:kern w:val="0"/>
                      <w:sz w:val="18"/>
                      <w:szCs w:val="18"/>
                      <w:lang w:bidi="ar"/>
                    </w:rPr>
                    <w:t>/</w:t>
                  </w:r>
                </w:p>
              </w:tc>
              <w:tc>
                <w:tcPr>
                  <w:tcW w:w="8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758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员工生活办公</w:t>
                  </w:r>
                </w:p>
              </w:tc>
              <w:tc>
                <w:tcPr>
                  <w:tcW w:w="8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F015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生活垃圾</w:t>
                  </w:r>
                </w:p>
              </w:tc>
              <w:tc>
                <w:tcPr>
                  <w:tcW w:w="10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A9B7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果皮、纸屑等</w:t>
                  </w:r>
                </w:p>
              </w:tc>
              <w:tc>
                <w:tcPr>
                  <w:tcW w:w="1270"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60295C1D">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环卫处理</w:t>
                  </w:r>
                </w:p>
              </w:tc>
            </w:tr>
          </w:tbl>
          <w:p w14:paraId="5B8017B3">
            <w:pPr>
              <w:pStyle w:val="826"/>
              <w:spacing w:before="120" w:beforeLines="50" w:after="0" w:line="360" w:lineRule="auto"/>
              <w:ind w:firstLine="0" w:firstLineChars="0"/>
              <w:jc w:val="both"/>
              <w:outlineLvl w:val="9"/>
              <w:rPr>
                <w:rFonts w:ascii="Times New Roman" w:hAnsi="Times New Roman"/>
                <w:b w:val="0"/>
                <w:color w:val="auto"/>
                <w:sz w:val="24"/>
                <w:szCs w:val="24"/>
                <w:lang w:val="en-US"/>
              </w:rPr>
            </w:pPr>
          </w:p>
        </w:tc>
      </w:tr>
      <w:tr w14:paraId="2AF77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0" w:hRule="atLeast"/>
        </w:trPr>
        <w:tc>
          <w:tcPr>
            <w:tcW w:w="234" w:type="pct"/>
            <w:tcBorders>
              <w:top w:val="single" w:color="auto" w:sz="4" w:space="0"/>
              <w:left w:val="single" w:color="auto" w:sz="4" w:space="0"/>
              <w:bottom w:val="single" w:color="auto" w:sz="4" w:space="0"/>
              <w:right w:val="single" w:color="auto" w:sz="4" w:space="0"/>
            </w:tcBorders>
            <w:vAlign w:val="center"/>
          </w:tcPr>
          <w:p w14:paraId="7A242A32">
            <w:pPr>
              <w:spacing w:before="120" w:beforeLines="50"/>
              <w:jc w:val="center"/>
              <w:rPr>
                <w:color w:val="auto"/>
                <w:szCs w:val="24"/>
              </w:rPr>
            </w:pPr>
            <w:r>
              <w:rPr>
                <w:rFonts w:hint="eastAsia"/>
                <w:color w:val="auto"/>
                <w:szCs w:val="24"/>
              </w:rPr>
              <w:t>项目有关的原有环境污染问题</w:t>
            </w:r>
          </w:p>
        </w:tc>
        <w:tc>
          <w:tcPr>
            <w:tcW w:w="4765" w:type="pct"/>
            <w:tcBorders>
              <w:top w:val="single" w:color="auto" w:sz="4" w:space="0"/>
              <w:left w:val="single" w:color="auto" w:sz="4" w:space="0"/>
              <w:bottom w:val="single" w:color="auto" w:sz="4" w:space="0"/>
              <w:right w:val="single" w:color="auto" w:sz="4" w:space="0"/>
            </w:tcBorders>
          </w:tcPr>
          <w:p w14:paraId="0DBEA9FE">
            <w:pPr>
              <w:adjustRightInd w:val="0"/>
              <w:snapToGrid w:val="0"/>
              <w:outlineLvl w:val="0"/>
              <w:rPr>
                <w:b/>
                <w:color w:val="auto"/>
                <w:szCs w:val="24"/>
              </w:rPr>
            </w:pPr>
            <w:bookmarkStart w:id="42" w:name="_Toc14759"/>
            <w:bookmarkStart w:id="43" w:name="_Toc7174"/>
            <w:r>
              <w:rPr>
                <w:rFonts w:hint="eastAsia"/>
                <w:b/>
                <w:color w:val="auto"/>
                <w:szCs w:val="24"/>
              </w:rPr>
              <w:t>1、</w:t>
            </w:r>
            <w:r>
              <w:rPr>
                <w:rFonts w:hint="eastAsia"/>
                <w:b/>
                <w:color w:val="auto"/>
                <w:szCs w:val="24"/>
                <w:lang w:val="en-US" w:eastAsia="zh-CN"/>
              </w:rPr>
              <w:t>企业</w:t>
            </w:r>
            <w:r>
              <w:rPr>
                <w:rFonts w:hint="eastAsia"/>
                <w:b/>
                <w:color w:val="auto"/>
                <w:szCs w:val="24"/>
              </w:rPr>
              <w:t>现有项目情况简述</w:t>
            </w:r>
            <w:bookmarkEnd w:id="42"/>
            <w:bookmarkEnd w:id="43"/>
          </w:p>
          <w:p w14:paraId="303DAE80">
            <w:pPr>
              <w:spacing w:before="120" w:beforeLines="50" w:after="120" w:afterLines="50"/>
              <w:ind w:firstLine="480" w:firstLineChars="200"/>
              <w:contextualSpacing/>
              <w:rPr>
                <w:rFonts w:hint="eastAsia"/>
                <w:color w:val="auto"/>
                <w:szCs w:val="24"/>
                <w:lang w:eastAsia="zh-CN"/>
              </w:rPr>
            </w:pPr>
            <w:bookmarkStart w:id="44" w:name="_Toc5038"/>
            <w:r>
              <w:rPr>
                <w:rFonts w:hint="eastAsia"/>
                <w:color w:val="auto"/>
                <w:szCs w:val="24"/>
                <w:lang w:eastAsia="zh-CN"/>
              </w:rPr>
              <w:t>池州市安安新材科技有限公司5万吨高端工业铝材生产基地项目（以下简称“原项目”）计划分三期进行。一期工程建设内容包括：氧化电泳生产车间、污水处理中心及化工库等（二、三期工程建成之前，可对总公司现有铝材产品进行表面处理，先解决工业铝材下游产业及精细化加工的市场需求）；二期工程建设内容包括：包装车间、精加工车间和成品库（三期工程建成前，主要对一期工程表面处理后的成品进行精细加工）；三期工程建设内容包括：挤压车间、熔铸车间及其他配套设施（三期工程建成后，一、二期工程均为三期工程铝型材成品服务）。</w:t>
            </w:r>
          </w:p>
          <w:p w14:paraId="0D57D20D">
            <w:pPr>
              <w:spacing w:before="120" w:beforeLines="50" w:after="120" w:afterLines="50"/>
              <w:ind w:firstLine="480" w:firstLineChars="200"/>
              <w:contextualSpacing/>
              <w:rPr>
                <w:rFonts w:hint="eastAsia"/>
                <w:color w:val="auto"/>
                <w:szCs w:val="24"/>
                <w:lang w:eastAsia="zh-CN"/>
              </w:rPr>
            </w:pPr>
            <w:r>
              <w:rPr>
                <w:rFonts w:hint="eastAsia"/>
                <w:color w:val="auto"/>
                <w:szCs w:val="24"/>
                <w:lang w:eastAsia="zh-CN"/>
              </w:rPr>
              <w:t>2017年8月27日，池州市环境保护局江南产业集中区分局以江南环发</w:t>
            </w:r>
            <w:r>
              <w:rPr>
                <w:rFonts w:hint="eastAsia"/>
                <w:color w:val="auto"/>
                <w:szCs w:val="24"/>
                <w:lang w:val="en-US" w:eastAsia="zh-CN"/>
              </w:rPr>
              <w:t>[</w:t>
            </w:r>
            <w:r>
              <w:rPr>
                <w:rFonts w:hint="eastAsia"/>
                <w:color w:val="auto"/>
                <w:szCs w:val="24"/>
                <w:lang w:eastAsia="zh-CN"/>
              </w:rPr>
              <w:t>2017</w:t>
            </w:r>
            <w:r>
              <w:rPr>
                <w:rFonts w:hint="eastAsia"/>
                <w:color w:val="auto"/>
                <w:szCs w:val="24"/>
                <w:lang w:val="en-US" w:eastAsia="zh-CN"/>
              </w:rPr>
              <w:t>]</w:t>
            </w:r>
            <w:r>
              <w:rPr>
                <w:rFonts w:hint="eastAsia"/>
                <w:color w:val="auto"/>
                <w:szCs w:val="24"/>
                <w:lang w:eastAsia="zh-CN"/>
              </w:rPr>
              <w:t>49号文对原项目环境影响报告书进行了批复，2018年6月原项目一期工程设备开始进行生产调试，2019年1月23日通过自主验收，产能为2万吨高端工业铝材表面处理。后在实际生产过程中，由于原项目中的氧化生产线的槽体规格较大，在处理小件时，会造成电耗高、生产浪费、污染物产生量大等问题，同时在进行小件氧化处理时，为确保产品质量，部分加工槽内的工艺参数需要微调，为此，企业在污水处理站北面的厂房内设置小件氧化生产线1条，用于小件的氧化处理，原生产线不再处理小件，只处理大件。2020年11月16日企业就氧化生产线变动情况做了说明，为非重大变动。目前一期工程正常运行。</w:t>
            </w:r>
          </w:p>
          <w:p w14:paraId="530ECCA0">
            <w:pPr>
              <w:spacing w:before="120" w:beforeLines="50" w:after="120" w:afterLines="50"/>
              <w:ind w:firstLine="480" w:firstLineChars="200"/>
              <w:contextualSpacing/>
              <w:rPr>
                <w:rFonts w:hint="eastAsia"/>
                <w:color w:val="auto"/>
                <w:szCs w:val="24"/>
                <w:lang w:val="en-US" w:eastAsia="zh-CN"/>
              </w:rPr>
            </w:pPr>
            <w:r>
              <w:rPr>
                <w:rFonts w:hint="eastAsia"/>
                <w:color w:val="auto"/>
                <w:szCs w:val="24"/>
                <w:lang w:eastAsia="zh-CN"/>
              </w:rPr>
              <w:t>因公司计划对产品调整，2022年池州市安安新材科技有限公司委托</w:t>
            </w:r>
            <w:bookmarkStart w:id="45" w:name="OLE_LINK1"/>
            <w:r>
              <w:rPr>
                <w:rFonts w:hint="eastAsia"/>
                <w:color w:val="auto"/>
                <w:szCs w:val="24"/>
                <w:lang w:eastAsia="zh-CN"/>
              </w:rPr>
              <w:t>安徽禾美环保集团有限公司编制了</w:t>
            </w:r>
            <w:bookmarkEnd w:id="45"/>
            <w:r>
              <w:rPr>
                <w:rFonts w:hint="eastAsia"/>
                <w:color w:val="auto"/>
                <w:szCs w:val="24"/>
                <w:lang w:eastAsia="zh-CN"/>
              </w:rPr>
              <w:t>《池州市安安新材科技有限公司5万吨高端工业铝材生产基地技改项目环境影响报告书》（以下简称“技改项目”），技改项目主要对大件氧化车间进行设备自动化升级改造，将原仓库改建为小件氧化车间，再新建精加工车间、小件氧化车间、仓库、修模房。技改项目分二期进行建设，一期工程对大件氧化车间进行设备自动化改造，将原有仓库改成小件氧化车间，新增1条小件氧化生产线，新建修模房；二期工程新建精加工车间、仓库用房、小件氧化车间。</w:t>
            </w:r>
            <w:bookmarkStart w:id="46" w:name="OLE_LINK30"/>
            <w:r>
              <w:rPr>
                <w:rFonts w:hint="eastAsia"/>
                <w:color w:val="auto"/>
                <w:szCs w:val="24"/>
                <w:lang w:eastAsia="zh-CN"/>
              </w:rPr>
              <w:t>2022年11月24日，</w:t>
            </w:r>
            <w:bookmarkEnd w:id="46"/>
            <w:r>
              <w:rPr>
                <w:rFonts w:hint="eastAsia"/>
                <w:color w:val="auto"/>
                <w:szCs w:val="24"/>
                <w:lang w:eastAsia="zh-CN"/>
              </w:rPr>
              <w:t>池州市生态环境局以池环函</w:t>
            </w:r>
            <w:r>
              <w:rPr>
                <w:rFonts w:hint="eastAsia"/>
                <w:color w:val="auto"/>
                <w:szCs w:val="24"/>
                <w:lang w:val="en-US" w:eastAsia="zh-CN"/>
              </w:rPr>
              <w:t>〔2022〕</w:t>
            </w:r>
            <w:r>
              <w:rPr>
                <w:rFonts w:hint="eastAsia"/>
                <w:color w:val="auto"/>
                <w:szCs w:val="24"/>
                <w:lang w:eastAsia="zh-CN"/>
              </w:rPr>
              <w:t>236号文对技改项目环境影响报告书进行了批复</w:t>
            </w:r>
            <w:r>
              <w:rPr>
                <w:rFonts w:hint="eastAsia"/>
                <w:color w:val="auto"/>
                <w:szCs w:val="24"/>
                <w:lang w:val="en-US" w:eastAsia="zh-CN"/>
              </w:rPr>
              <w:t>。</w:t>
            </w:r>
          </w:p>
          <w:p w14:paraId="34D147AD">
            <w:pPr>
              <w:spacing w:before="120" w:beforeLines="50" w:after="120" w:afterLines="50"/>
              <w:ind w:firstLine="480" w:firstLineChars="200"/>
              <w:contextualSpacing/>
              <w:rPr>
                <w:rFonts w:hint="eastAsia"/>
                <w:color w:val="auto"/>
                <w:szCs w:val="24"/>
                <w:lang w:val="en-US" w:eastAsia="zh-CN"/>
              </w:rPr>
            </w:pPr>
            <w:r>
              <w:rPr>
                <w:rFonts w:hint="eastAsia"/>
                <w:color w:val="auto"/>
                <w:szCs w:val="24"/>
                <w:lang w:val="en-US" w:eastAsia="zh-CN"/>
              </w:rPr>
              <w:t>公司根据自身发展需要，</w:t>
            </w:r>
            <w:r>
              <w:rPr>
                <w:rFonts w:hint="eastAsia"/>
                <w:color w:val="auto"/>
                <w:szCs w:val="24"/>
                <w:lang w:eastAsia="zh-CN"/>
              </w:rPr>
              <w:t>2022年委托安徽禾美环保集团有限公司编制了《池州市安安新材科技有限公司年产500万件轨道交通及新能源汽车配件</w:t>
            </w:r>
            <w:bookmarkStart w:id="47" w:name="OLE_LINK29"/>
            <w:r>
              <w:rPr>
                <w:rFonts w:hint="eastAsia"/>
                <w:color w:val="auto"/>
                <w:szCs w:val="24"/>
                <w:lang w:eastAsia="zh-CN"/>
              </w:rPr>
              <w:t>扩规</w:t>
            </w:r>
            <w:bookmarkEnd w:id="47"/>
            <w:r>
              <w:rPr>
                <w:rFonts w:hint="eastAsia"/>
                <w:color w:val="auto"/>
                <w:szCs w:val="24"/>
                <w:lang w:eastAsia="zh-CN"/>
              </w:rPr>
              <w:t>项目环境影响报告表》（以下简称“扩规项目”），</w:t>
            </w:r>
            <w:r>
              <w:rPr>
                <w:rFonts w:hint="default"/>
                <w:color w:val="auto"/>
                <w:szCs w:val="24"/>
                <w:lang w:val="en-US" w:eastAsia="zh-CN"/>
              </w:rPr>
              <w:t>利用公司在皖江江南新兴产业集中区新增工业用地89677m</w:t>
            </w:r>
            <w:r>
              <w:rPr>
                <w:rFonts w:hint="default"/>
                <w:color w:val="auto"/>
                <w:szCs w:val="24"/>
                <w:vertAlign w:val="superscript"/>
                <w:lang w:val="en-US" w:eastAsia="zh-CN"/>
              </w:rPr>
              <w:t>2</w:t>
            </w:r>
            <w:r>
              <w:rPr>
                <w:rFonts w:hint="default"/>
                <w:color w:val="auto"/>
                <w:szCs w:val="24"/>
                <w:lang w:val="en-US" w:eastAsia="zh-CN"/>
              </w:rPr>
              <w:t>(约合135亩），新增铝型材挤压机、时效炉、CNC数控加工中心等各类生产、检测及研发设备450台套，形成年产500万件轨道交通及新能源汽车配件的生产能力。整个项目分二期进行建设，一期先完成2栋标准化厂房建设；二期再完成倒班房建设。</w:t>
            </w:r>
            <w:r>
              <w:rPr>
                <w:rFonts w:hint="eastAsia"/>
                <w:color w:val="auto"/>
                <w:szCs w:val="24"/>
                <w:lang w:eastAsia="zh-CN"/>
              </w:rPr>
              <w:t>2022年1</w:t>
            </w:r>
            <w:r>
              <w:rPr>
                <w:rFonts w:hint="eastAsia"/>
                <w:color w:val="auto"/>
                <w:szCs w:val="24"/>
                <w:lang w:val="en-US" w:eastAsia="zh-CN"/>
              </w:rPr>
              <w:t>2</w:t>
            </w:r>
            <w:r>
              <w:rPr>
                <w:rFonts w:hint="eastAsia"/>
                <w:color w:val="auto"/>
                <w:szCs w:val="24"/>
                <w:lang w:eastAsia="zh-CN"/>
              </w:rPr>
              <w:t>月</w:t>
            </w:r>
            <w:r>
              <w:rPr>
                <w:rFonts w:hint="eastAsia"/>
                <w:color w:val="auto"/>
                <w:szCs w:val="24"/>
                <w:lang w:val="en-US" w:eastAsia="zh-CN"/>
              </w:rPr>
              <w:t>7</w:t>
            </w:r>
            <w:r>
              <w:rPr>
                <w:rFonts w:hint="eastAsia"/>
                <w:color w:val="auto"/>
                <w:szCs w:val="24"/>
                <w:lang w:eastAsia="zh-CN"/>
              </w:rPr>
              <w:t>日，皖江江南新兴产业集中区生态环境局</w:t>
            </w:r>
            <w:r>
              <w:rPr>
                <w:rFonts w:hint="eastAsia"/>
                <w:color w:val="auto"/>
                <w:szCs w:val="24"/>
                <w:lang w:val="en-US" w:eastAsia="zh-CN"/>
              </w:rPr>
              <w:t>以江南环审〔2022〕37号文对</w:t>
            </w:r>
            <w:r>
              <w:rPr>
                <w:rFonts w:hint="eastAsia"/>
                <w:color w:val="auto"/>
                <w:szCs w:val="24"/>
                <w:lang w:eastAsia="zh-CN"/>
              </w:rPr>
              <w:t>扩规项目环境影响报告</w:t>
            </w:r>
            <w:r>
              <w:rPr>
                <w:rFonts w:hint="eastAsia"/>
                <w:color w:val="auto"/>
                <w:szCs w:val="24"/>
                <w:lang w:val="en-US" w:eastAsia="zh-CN"/>
              </w:rPr>
              <w:t>表</w:t>
            </w:r>
            <w:r>
              <w:rPr>
                <w:rFonts w:hint="eastAsia"/>
                <w:color w:val="auto"/>
                <w:szCs w:val="24"/>
                <w:lang w:eastAsia="zh-CN"/>
              </w:rPr>
              <w:t>进行了批复</w:t>
            </w:r>
            <w:r>
              <w:rPr>
                <w:rFonts w:hint="eastAsia"/>
                <w:color w:val="auto"/>
                <w:szCs w:val="24"/>
                <w:lang w:val="en-US" w:eastAsia="zh-CN"/>
              </w:rPr>
              <w:t>。</w:t>
            </w:r>
          </w:p>
          <w:p w14:paraId="0365A10E">
            <w:pPr>
              <w:spacing w:before="120" w:beforeLines="50" w:after="120" w:afterLines="50"/>
              <w:ind w:firstLine="480" w:firstLineChars="200"/>
              <w:contextualSpacing/>
              <w:rPr>
                <w:rFonts w:hint="default"/>
                <w:color w:val="auto"/>
                <w:szCs w:val="24"/>
                <w:lang w:val="en-US" w:eastAsia="zh-CN"/>
              </w:rPr>
            </w:pPr>
            <w:r>
              <w:rPr>
                <w:rFonts w:hint="eastAsia"/>
                <w:color w:val="auto"/>
                <w:szCs w:val="24"/>
                <w:lang w:val="en-US" w:eastAsia="zh-CN"/>
              </w:rPr>
              <w:t>2024年1月，池州市安安新材料科技股份有限公司委托编制了《池州市安安新材料科技股份有限公司年产3万吨高端工业铝材表面处理项目环境影响报告书》，并于2024年7月2日获得池州市生态环境局批复（池环函〔2024〕100号文）），该项目已于2025年5月完成竣工环境保护验收。</w:t>
            </w:r>
          </w:p>
          <w:p w14:paraId="50D7889D">
            <w:pPr>
              <w:adjustRightInd w:val="0"/>
              <w:snapToGrid w:val="0"/>
              <w:outlineLvl w:val="0"/>
              <w:rPr>
                <w:rFonts w:hint="eastAsia"/>
                <w:color w:val="auto"/>
                <w:szCs w:val="24"/>
                <w:lang w:val="en-US" w:eastAsia="zh-CN"/>
              </w:rPr>
            </w:pPr>
            <w:bookmarkStart w:id="48" w:name="_Toc3756"/>
            <w:r>
              <w:rPr>
                <w:rFonts w:hint="eastAsia"/>
                <w:b/>
                <w:color w:val="auto"/>
                <w:szCs w:val="24"/>
                <w:lang w:val="en-US" w:eastAsia="zh-CN"/>
              </w:rPr>
              <w:t>2</w:t>
            </w:r>
            <w:r>
              <w:rPr>
                <w:rFonts w:hint="eastAsia"/>
                <w:b/>
                <w:color w:val="auto"/>
                <w:szCs w:val="24"/>
              </w:rPr>
              <w:t>、</w:t>
            </w:r>
            <w:r>
              <w:rPr>
                <w:rFonts w:hint="eastAsia"/>
                <w:b/>
                <w:color w:val="auto"/>
                <w:szCs w:val="24"/>
                <w:lang w:val="en-US" w:eastAsia="zh-CN"/>
              </w:rPr>
              <w:t>现有工程环保手续履行情况</w:t>
            </w:r>
            <w:bookmarkEnd w:id="48"/>
          </w:p>
          <w:p w14:paraId="7E19D37D">
            <w:pPr>
              <w:bidi w:val="0"/>
              <w:jc w:val="center"/>
              <w:rPr>
                <w:rFonts w:hint="eastAsia" w:ascii="黑体" w:hAnsi="黑体" w:eastAsia="黑体"/>
                <w:color w:val="auto"/>
                <w:szCs w:val="24"/>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11</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现有项目环保手续履行情况汇总表</w:t>
            </w:r>
          </w:p>
          <w:tbl>
            <w:tblPr>
              <w:tblStyle w:val="7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3712"/>
              <w:gridCol w:w="4615"/>
            </w:tblGrid>
            <w:tr w14:paraId="736F9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401" w:type="pct"/>
                  <w:vAlign w:val="center"/>
                </w:tcPr>
                <w:p w14:paraId="78617DD3">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zh-CN" w:eastAsia="zh-CN" w:bidi="ar"/>
                    </w:rPr>
                    <w:t>序号</w:t>
                  </w:r>
                </w:p>
              </w:tc>
              <w:tc>
                <w:tcPr>
                  <w:tcW w:w="2049" w:type="pct"/>
                  <w:vAlign w:val="center"/>
                </w:tcPr>
                <w:p w14:paraId="6F17DDAC">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环保手续</w:t>
                  </w:r>
                </w:p>
              </w:tc>
              <w:tc>
                <w:tcPr>
                  <w:tcW w:w="2548" w:type="pct"/>
                  <w:vAlign w:val="center"/>
                </w:tcPr>
                <w:p w14:paraId="50A7DA3A">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履行情况</w:t>
                  </w:r>
                </w:p>
              </w:tc>
            </w:tr>
            <w:tr w14:paraId="3995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1" w:type="pct"/>
                  <w:vAlign w:val="center"/>
                </w:tcPr>
                <w:p w14:paraId="5E96167C">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1</w:t>
                  </w:r>
                </w:p>
              </w:tc>
              <w:tc>
                <w:tcPr>
                  <w:tcW w:w="2049" w:type="pct"/>
                  <w:vAlign w:val="center"/>
                </w:tcPr>
                <w:p w14:paraId="73564412">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5万吨高端工业铝材生产基地项目环境影响报告书</w:t>
                  </w:r>
                </w:p>
              </w:tc>
              <w:tc>
                <w:tcPr>
                  <w:tcW w:w="2548" w:type="pct"/>
                  <w:vAlign w:val="center"/>
                </w:tcPr>
                <w:p w14:paraId="61F2A689">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2017.8.27已批复（江南环发</w:t>
                  </w:r>
                  <w:r>
                    <w:rPr>
                      <w:rFonts w:hint="eastAsia" w:cs="宋体"/>
                      <w:color w:val="auto"/>
                      <w:kern w:val="0"/>
                      <w:sz w:val="18"/>
                      <w:szCs w:val="18"/>
                      <w:lang w:val="en-US" w:eastAsia="zh-CN" w:bidi="ar"/>
                    </w:rPr>
                    <w:t>〔2017〕</w:t>
                  </w:r>
                  <w:r>
                    <w:rPr>
                      <w:rFonts w:hint="default" w:cs="宋体"/>
                      <w:color w:val="auto"/>
                      <w:kern w:val="0"/>
                      <w:sz w:val="18"/>
                      <w:szCs w:val="18"/>
                      <w:lang w:val="en-US" w:eastAsia="zh-CN" w:bidi="ar"/>
                    </w:rPr>
                    <w:t>49号文）</w:t>
                  </w:r>
                  <w:r>
                    <w:rPr>
                      <w:rFonts w:hint="eastAsia" w:cs="宋体"/>
                      <w:color w:val="auto"/>
                      <w:kern w:val="0"/>
                      <w:sz w:val="18"/>
                      <w:szCs w:val="18"/>
                      <w:lang w:val="en-US" w:eastAsia="zh-CN" w:bidi="ar"/>
                    </w:rPr>
                    <w:t>，</w:t>
                  </w:r>
                  <w:r>
                    <w:rPr>
                      <w:rFonts w:hint="default" w:cs="宋体"/>
                      <w:color w:val="auto"/>
                      <w:kern w:val="0"/>
                      <w:sz w:val="18"/>
                      <w:szCs w:val="18"/>
                      <w:lang w:val="zh-CN" w:eastAsia="zh-CN" w:bidi="ar"/>
                    </w:rPr>
                    <w:t>201</w:t>
                  </w:r>
                  <w:r>
                    <w:rPr>
                      <w:rFonts w:hint="default" w:cs="宋体"/>
                      <w:color w:val="auto"/>
                      <w:kern w:val="0"/>
                      <w:sz w:val="18"/>
                      <w:szCs w:val="18"/>
                      <w:lang w:val="en-US" w:eastAsia="zh-CN" w:bidi="ar"/>
                    </w:rPr>
                    <w:t>9</w:t>
                  </w:r>
                  <w:r>
                    <w:rPr>
                      <w:rFonts w:hint="default" w:cs="宋体"/>
                      <w:color w:val="auto"/>
                      <w:kern w:val="0"/>
                      <w:sz w:val="18"/>
                      <w:szCs w:val="18"/>
                      <w:lang w:val="zh-CN" w:eastAsia="zh-CN" w:bidi="ar"/>
                    </w:rPr>
                    <w:t>.</w:t>
                  </w:r>
                  <w:r>
                    <w:rPr>
                      <w:rFonts w:hint="default" w:cs="宋体"/>
                      <w:color w:val="auto"/>
                      <w:kern w:val="0"/>
                      <w:sz w:val="18"/>
                      <w:szCs w:val="18"/>
                      <w:lang w:val="en-US" w:eastAsia="zh-CN" w:bidi="ar"/>
                    </w:rPr>
                    <w:t>1</w:t>
                  </w:r>
                  <w:r>
                    <w:rPr>
                      <w:rFonts w:hint="default" w:cs="宋体"/>
                      <w:color w:val="auto"/>
                      <w:kern w:val="0"/>
                      <w:sz w:val="18"/>
                      <w:szCs w:val="18"/>
                      <w:lang w:val="zh-CN" w:eastAsia="zh-CN" w:bidi="ar"/>
                    </w:rPr>
                    <w:t>.</w:t>
                  </w:r>
                  <w:r>
                    <w:rPr>
                      <w:rFonts w:hint="default" w:cs="宋体"/>
                      <w:color w:val="auto"/>
                      <w:kern w:val="0"/>
                      <w:sz w:val="18"/>
                      <w:szCs w:val="18"/>
                      <w:lang w:val="en-US" w:eastAsia="zh-CN" w:bidi="ar"/>
                    </w:rPr>
                    <w:t>23</w:t>
                  </w:r>
                  <w:r>
                    <w:rPr>
                      <w:rFonts w:hint="default" w:cs="宋体"/>
                      <w:color w:val="auto"/>
                      <w:kern w:val="0"/>
                      <w:sz w:val="18"/>
                      <w:szCs w:val="18"/>
                      <w:lang w:val="zh-CN" w:eastAsia="zh-CN" w:bidi="ar"/>
                    </w:rPr>
                    <w:t>已阶段性环境保护验收（范围为原环评中一期建设内容）</w:t>
                  </w:r>
                </w:p>
              </w:tc>
            </w:tr>
            <w:tr w14:paraId="0363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1" w:type="pct"/>
                  <w:vAlign w:val="center"/>
                </w:tcPr>
                <w:p w14:paraId="79EAFDA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2</w:t>
                  </w:r>
                </w:p>
              </w:tc>
              <w:tc>
                <w:tcPr>
                  <w:tcW w:w="2049" w:type="pct"/>
                  <w:vAlign w:val="center"/>
                </w:tcPr>
                <w:p w14:paraId="5A0FE1D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5万吨高端工业铝材生产基地技改项目</w:t>
                  </w:r>
                  <w:r>
                    <w:rPr>
                      <w:rFonts w:hint="default" w:cs="宋体"/>
                      <w:color w:val="auto"/>
                      <w:kern w:val="0"/>
                      <w:sz w:val="18"/>
                      <w:szCs w:val="18"/>
                      <w:lang w:val="en-US" w:eastAsia="zh-CN" w:bidi="ar"/>
                    </w:rPr>
                    <w:t>环境影响报告书</w:t>
                  </w:r>
                </w:p>
              </w:tc>
              <w:tc>
                <w:tcPr>
                  <w:tcW w:w="2548" w:type="pct"/>
                  <w:vAlign w:val="center"/>
                </w:tcPr>
                <w:p w14:paraId="51DD314E">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20</w:t>
                  </w:r>
                  <w:r>
                    <w:rPr>
                      <w:rFonts w:hint="eastAsia" w:cs="宋体"/>
                      <w:color w:val="auto"/>
                      <w:kern w:val="0"/>
                      <w:sz w:val="18"/>
                      <w:szCs w:val="18"/>
                      <w:lang w:val="en-US" w:eastAsia="zh-CN" w:bidi="ar"/>
                    </w:rPr>
                    <w:t>22</w:t>
                  </w:r>
                  <w:r>
                    <w:rPr>
                      <w:rFonts w:hint="default" w:cs="宋体"/>
                      <w:color w:val="auto"/>
                      <w:kern w:val="0"/>
                      <w:sz w:val="18"/>
                      <w:szCs w:val="18"/>
                      <w:lang w:val="en-US" w:eastAsia="zh-CN" w:bidi="ar"/>
                    </w:rPr>
                    <w:t>年</w:t>
                  </w:r>
                  <w:r>
                    <w:rPr>
                      <w:rFonts w:hint="eastAsia" w:cs="宋体"/>
                      <w:color w:val="auto"/>
                      <w:kern w:val="0"/>
                      <w:sz w:val="18"/>
                      <w:szCs w:val="18"/>
                      <w:lang w:val="en-US" w:eastAsia="zh-CN" w:bidi="ar"/>
                    </w:rPr>
                    <w:t>11</w:t>
                  </w:r>
                  <w:r>
                    <w:rPr>
                      <w:rFonts w:hint="default" w:cs="宋体"/>
                      <w:color w:val="auto"/>
                      <w:kern w:val="0"/>
                      <w:sz w:val="18"/>
                      <w:szCs w:val="18"/>
                      <w:lang w:val="en-US" w:eastAsia="zh-CN" w:bidi="ar"/>
                    </w:rPr>
                    <w:t>月2</w:t>
                  </w:r>
                  <w:r>
                    <w:rPr>
                      <w:rFonts w:hint="eastAsia" w:cs="宋体"/>
                      <w:color w:val="auto"/>
                      <w:kern w:val="0"/>
                      <w:sz w:val="18"/>
                      <w:szCs w:val="18"/>
                      <w:lang w:val="en-US" w:eastAsia="zh-CN" w:bidi="ar"/>
                    </w:rPr>
                    <w:t>4</w:t>
                  </w:r>
                  <w:r>
                    <w:rPr>
                      <w:rFonts w:hint="default" w:cs="宋体"/>
                      <w:color w:val="auto"/>
                      <w:kern w:val="0"/>
                      <w:sz w:val="18"/>
                      <w:szCs w:val="18"/>
                      <w:lang w:val="en-US" w:eastAsia="zh-CN" w:bidi="ar"/>
                    </w:rPr>
                    <w:t>日已批复（</w:t>
                  </w:r>
                  <w:r>
                    <w:rPr>
                      <w:rFonts w:hint="eastAsia" w:cs="宋体"/>
                      <w:color w:val="auto"/>
                      <w:kern w:val="0"/>
                      <w:sz w:val="18"/>
                      <w:szCs w:val="18"/>
                      <w:lang w:val="en-US" w:eastAsia="zh-CN" w:bidi="ar"/>
                    </w:rPr>
                    <w:t>池环函〔2022〕236号</w:t>
                  </w:r>
                  <w:r>
                    <w:rPr>
                      <w:rFonts w:hint="default" w:cs="宋体"/>
                      <w:color w:val="auto"/>
                      <w:kern w:val="0"/>
                      <w:sz w:val="18"/>
                      <w:szCs w:val="18"/>
                      <w:lang w:val="en-US" w:eastAsia="zh-CN" w:bidi="ar"/>
                    </w:rPr>
                    <w:t>文）</w:t>
                  </w:r>
                  <w:r>
                    <w:rPr>
                      <w:rFonts w:hint="eastAsia" w:cs="宋体"/>
                      <w:color w:val="auto"/>
                      <w:kern w:val="0"/>
                      <w:sz w:val="18"/>
                      <w:szCs w:val="18"/>
                      <w:lang w:val="en-US" w:eastAsia="zh-CN" w:bidi="ar"/>
                    </w:rPr>
                    <w:t>，</w:t>
                  </w:r>
                  <w:r>
                    <w:rPr>
                      <w:rFonts w:hint="default" w:cs="宋体"/>
                      <w:color w:val="auto"/>
                      <w:kern w:val="0"/>
                      <w:sz w:val="18"/>
                      <w:szCs w:val="18"/>
                      <w:lang w:val="zh-CN" w:eastAsia="zh-CN" w:bidi="ar"/>
                    </w:rPr>
                    <w:t>20</w:t>
                  </w:r>
                  <w:r>
                    <w:rPr>
                      <w:rFonts w:hint="eastAsia" w:cs="宋体"/>
                      <w:color w:val="auto"/>
                      <w:kern w:val="0"/>
                      <w:sz w:val="18"/>
                      <w:szCs w:val="18"/>
                      <w:lang w:val="en-US" w:eastAsia="zh-CN" w:bidi="ar"/>
                    </w:rPr>
                    <w:t>23</w:t>
                  </w:r>
                  <w:r>
                    <w:rPr>
                      <w:rFonts w:hint="default" w:cs="宋体"/>
                      <w:color w:val="auto"/>
                      <w:kern w:val="0"/>
                      <w:sz w:val="18"/>
                      <w:szCs w:val="18"/>
                      <w:lang w:val="zh-CN" w:eastAsia="zh-CN" w:bidi="ar"/>
                    </w:rPr>
                    <w:t>.</w:t>
                  </w:r>
                  <w:r>
                    <w:rPr>
                      <w:rFonts w:hint="default" w:cs="宋体"/>
                      <w:color w:val="auto"/>
                      <w:kern w:val="0"/>
                      <w:sz w:val="18"/>
                      <w:szCs w:val="18"/>
                      <w:lang w:val="en-US" w:eastAsia="zh-CN" w:bidi="ar"/>
                    </w:rPr>
                    <w:t>1</w:t>
                  </w:r>
                  <w:r>
                    <w:rPr>
                      <w:rFonts w:hint="eastAsia" w:cs="宋体"/>
                      <w:color w:val="auto"/>
                      <w:kern w:val="0"/>
                      <w:sz w:val="18"/>
                      <w:szCs w:val="18"/>
                      <w:lang w:val="en-US" w:eastAsia="zh-CN" w:bidi="ar"/>
                    </w:rPr>
                    <w:t>2</w:t>
                  </w:r>
                  <w:r>
                    <w:rPr>
                      <w:rFonts w:hint="default" w:cs="宋体"/>
                      <w:color w:val="auto"/>
                      <w:kern w:val="0"/>
                      <w:sz w:val="18"/>
                      <w:szCs w:val="18"/>
                      <w:lang w:val="zh-CN" w:eastAsia="zh-CN" w:bidi="ar"/>
                    </w:rPr>
                    <w:t>.</w:t>
                  </w:r>
                  <w:r>
                    <w:rPr>
                      <w:rFonts w:hint="default" w:cs="宋体"/>
                      <w:color w:val="auto"/>
                      <w:kern w:val="0"/>
                      <w:sz w:val="18"/>
                      <w:szCs w:val="18"/>
                      <w:lang w:val="en-US" w:eastAsia="zh-CN" w:bidi="ar"/>
                    </w:rPr>
                    <w:t>23</w:t>
                  </w:r>
                  <w:r>
                    <w:rPr>
                      <w:rFonts w:hint="default" w:cs="宋体"/>
                      <w:color w:val="auto"/>
                      <w:kern w:val="0"/>
                      <w:sz w:val="18"/>
                      <w:szCs w:val="18"/>
                      <w:lang w:val="zh-CN" w:eastAsia="zh-CN" w:bidi="ar"/>
                    </w:rPr>
                    <w:t>已阶段性环境保护验收</w:t>
                  </w:r>
                </w:p>
              </w:tc>
            </w:tr>
            <w:tr w14:paraId="06B7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1" w:type="pct"/>
                  <w:vAlign w:val="center"/>
                </w:tcPr>
                <w:p w14:paraId="221B147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w:t>
                  </w:r>
                </w:p>
              </w:tc>
              <w:tc>
                <w:tcPr>
                  <w:tcW w:w="2049" w:type="pct"/>
                  <w:vAlign w:val="center"/>
                </w:tcPr>
                <w:p w14:paraId="26C3722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年产500万件轨道交通及新能源汽车配件扩规项目</w:t>
                  </w:r>
                  <w:r>
                    <w:rPr>
                      <w:rFonts w:hint="default" w:cs="宋体"/>
                      <w:color w:val="auto"/>
                      <w:kern w:val="0"/>
                      <w:sz w:val="18"/>
                      <w:szCs w:val="18"/>
                      <w:lang w:val="en-US" w:eastAsia="zh-CN" w:bidi="ar"/>
                    </w:rPr>
                    <w:t>环境影响报告书</w:t>
                  </w:r>
                </w:p>
              </w:tc>
              <w:tc>
                <w:tcPr>
                  <w:tcW w:w="2548" w:type="pct"/>
                  <w:vAlign w:val="center"/>
                </w:tcPr>
                <w:p w14:paraId="3B608923">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2022年12月7日已批复</w:t>
                  </w:r>
                  <w:r>
                    <w:rPr>
                      <w:rFonts w:hint="eastAsia" w:cs="宋体"/>
                      <w:color w:val="auto"/>
                      <w:kern w:val="0"/>
                      <w:sz w:val="18"/>
                      <w:szCs w:val="18"/>
                      <w:lang w:val="en-US" w:eastAsia="zh-CN" w:bidi="ar"/>
                    </w:rPr>
                    <w:t>（江南环审〔2022〕37号文），</w:t>
                  </w:r>
                  <w:r>
                    <w:rPr>
                      <w:rFonts w:hint="default" w:cs="宋体"/>
                      <w:color w:val="auto"/>
                      <w:kern w:val="0"/>
                      <w:sz w:val="18"/>
                      <w:szCs w:val="18"/>
                      <w:lang w:val="zh-CN" w:eastAsia="zh-CN" w:bidi="ar"/>
                    </w:rPr>
                    <w:t>20</w:t>
                  </w:r>
                  <w:r>
                    <w:rPr>
                      <w:rFonts w:hint="eastAsia" w:cs="宋体"/>
                      <w:color w:val="auto"/>
                      <w:kern w:val="0"/>
                      <w:sz w:val="18"/>
                      <w:szCs w:val="18"/>
                      <w:lang w:val="en-US" w:eastAsia="zh-CN" w:bidi="ar"/>
                    </w:rPr>
                    <w:t>25</w:t>
                  </w:r>
                  <w:r>
                    <w:rPr>
                      <w:rFonts w:hint="default" w:cs="宋体"/>
                      <w:color w:val="auto"/>
                      <w:kern w:val="0"/>
                      <w:sz w:val="18"/>
                      <w:szCs w:val="18"/>
                      <w:lang w:val="zh-CN" w:eastAsia="zh-CN" w:bidi="ar"/>
                    </w:rPr>
                    <w:t>.</w:t>
                  </w:r>
                  <w:r>
                    <w:rPr>
                      <w:rFonts w:hint="eastAsia" w:cs="宋体"/>
                      <w:color w:val="auto"/>
                      <w:kern w:val="0"/>
                      <w:sz w:val="18"/>
                      <w:szCs w:val="18"/>
                      <w:lang w:val="en-US" w:eastAsia="zh-CN" w:bidi="ar"/>
                    </w:rPr>
                    <w:t>5</w:t>
                  </w:r>
                  <w:r>
                    <w:rPr>
                      <w:rFonts w:hint="default" w:cs="宋体"/>
                      <w:color w:val="auto"/>
                      <w:kern w:val="0"/>
                      <w:sz w:val="18"/>
                      <w:szCs w:val="18"/>
                      <w:lang w:val="zh-CN" w:eastAsia="zh-CN" w:bidi="ar"/>
                    </w:rPr>
                    <w:t>.</w:t>
                  </w:r>
                  <w:r>
                    <w:rPr>
                      <w:rFonts w:hint="eastAsia" w:cs="宋体"/>
                      <w:color w:val="auto"/>
                      <w:kern w:val="0"/>
                      <w:sz w:val="18"/>
                      <w:szCs w:val="18"/>
                      <w:lang w:val="en-US" w:eastAsia="zh-CN" w:bidi="ar"/>
                    </w:rPr>
                    <w:t>16</w:t>
                  </w:r>
                  <w:r>
                    <w:rPr>
                      <w:rFonts w:hint="default" w:cs="宋体"/>
                      <w:color w:val="auto"/>
                      <w:kern w:val="0"/>
                      <w:sz w:val="18"/>
                      <w:szCs w:val="18"/>
                      <w:lang w:val="zh-CN" w:eastAsia="zh-CN" w:bidi="ar"/>
                    </w:rPr>
                    <w:t>已阶段性环境保护验收</w:t>
                  </w:r>
                </w:p>
              </w:tc>
            </w:tr>
            <w:tr w14:paraId="0895B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1" w:type="pct"/>
                  <w:vAlign w:val="center"/>
                </w:tcPr>
                <w:p w14:paraId="5F3F78E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4</w:t>
                  </w:r>
                </w:p>
              </w:tc>
              <w:tc>
                <w:tcPr>
                  <w:tcW w:w="2049" w:type="pct"/>
                  <w:vAlign w:val="center"/>
                </w:tcPr>
                <w:p w14:paraId="78E5DB1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年产3万吨高端工业铝材表面处理项目</w:t>
                  </w:r>
                  <w:r>
                    <w:rPr>
                      <w:rFonts w:hint="default" w:cs="宋体"/>
                      <w:color w:val="auto"/>
                      <w:kern w:val="0"/>
                      <w:sz w:val="18"/>
                      <w:szCs w:val="18"/>
                      <w:lang w:val="en-US" w:eastAsia="zh-CN" w:bidi="ar"/>
                    </w:rPr>
                    <w:t>环境影响报告书</w:t>
                  </w:r>
                </w:p>
              </w:tc>
              <w:tc>
                <w:tcPr>
                  <w:tcW w:w="2548" w:type="pct"/>
                  <w:vAlign w:val="center"/>
                </w:tcPr>
                <w:p w14:paraId="0CDDC5A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2024年7月2日已批复（池环函〔2024〕100号文）），2025年5月已完成竣工</w:t>
                  </w:r>
                  <w:r>
                    <w:rPr>
                      <w:rFonts w:hint="default" w:cs="宋体"/>
                      <w:color w:val="auto"/>
                      <w:kern w:val="0"/>
                      <w:sz w:val="18"/>
                      <w:szCs w:val="18"/>
                      <w:lang w:val="zh-CN" w:eastAsia="zh-CN" w:bidi="ar"/>
                    </w:rPr>
                    <w:t>环境保护验收</w:t>
                  </w:r>
                </w:p>
              </w:tc>
            </w:tr>
            <w:tr w14:paraId="1CBD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1" w:type="pct"/>
                  <w:vAlign w:val="center"/>
                </w:tcPr>
                <w:p w14:paraId="5477956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5</w:t>
                  </w:r>
                </w:p>
              </w:tc>
              <w:tc>
                <w:tcPr>
                  <w:tcW w:w="2049" w:type="pct"/>
                  <w:vAlign w:val="center"/>
                </w:tcPr>
                <w:p w14:paraId="08D5BEFF">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突发环境事件应急预案备案编号</w:t>
                  </w:r>
                </w:p>
              </w:tc>
              <w:tc>
                <w:tcPr>
                  <w:tcW w:w="2548" w:type="pct"/>
                  <w:vAlign w:val="center"/>
                </w:tcPr>
                <w:p w14:paraId="2A9434C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2025年3月修编，备案号：</w:t>
                  </w:r>
                  <w:r>
                    <w:rPr>
                      <w:rFonts w:hint="default" w:cs="宋体"/>
                      <w:color w:val="auto"/>
                      <w:kern w:val="0"/>
                      <w:sz w:val="18"/>
                      <w:szCs w:val="18"/>
                      <w:lang w:val="en-US" w:eastAsia="zh-CN" w:bidi="ar"/>
                    </w:rPr>
                    <w:t>3417</w:t>
                  </w:r>
                  <w:r>
                    <w:rPr>
                      <w:rFonts w:hint="eastAsia" w:cs="宋体"/>
                      <w:color w:val="auto"/>
                      <w:kern w:val="0"/>
                      <w:sz w:val="18"/>
                      <w:szCs w:val="18"/>
                      <w:lang w:val="en-US" w:eastAsia="zh-CN" w:bidi="ar"/>
                    </w:rPr>
                    <w:t>02</w:t>
                  </w:r>
                  <w:r>
                    <w:rPr>
                      <w:rFonts w:hint="default" w:cs="宋体"/>
                      <w:color w:val="auto"/>
                      <w:kern w:val="0"/>
                      <w:sz w:val="18"/>
                      <w:szCs w:val="18"/>
                      <w:lang w:val="en-US" w:eastAsia="zh-CN" w:bidi="ar"/>
                    </w:rPr>
                    <w:t>-20</w:t>
                  </w:r>
                  <w:r>
                    <w:rPr>
                      <w:rFonts w:hint="eastAsia" w:cs="宋体"/>
                      <w:color w:val="auto"/>
                      <w:kern w:val="0"/>
                      <w:sz w:val="18"/>
                      <w:szCs w:val="18"/>
                      <w:lang w:val="en-US" w:eastAsia="zh-CN" w:bidi="ar"/>
                    </w:rPr>
                    <w:t>25</w:t>
                  </w:r>
                  <w:r>
                    <w:rPr>
                      <w:rFonts w:hint="default" w:cs="宋体"/>
                      <w:color w:val="auto"/>
                      <w:kern w:val="0"/>
                      <w:sz w:val="18"/>
                      <w:szCs w:val="18"/>
                      <w:lang w:val="en-US" w:eastAsia="zh-CN" w:bidi="ar"/>
                    </w:rPr>
                    <w:t>-006-L</w:t>
                  </w:r>
                </w:p>
              </w:tc>
            </w:tr>
            <w:tr w14:paraId="2A5DA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401" w:type="pct"/>
                  <w:vAlign w:val="center"/>
                </w:tcPr>
                <w:p w14:paraId="44A6C90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6</w:t>
                  </w:r>
                </w:p>
              </w:tc>
              <w:tc>
                <w:tcPr>
                  <w:tcW w:w="2049" w:type="pct"/>
                  <w:vAlign w:val="center"/>
                </w:tcPr>
                <w:p w14:paraId="60385C39">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排污许可证</w:t>
                  </w:r>
                  <w:r>
                    <w:rPr>
                      <w:rFonts w:hint="eastAsia" w:cs="宋体"/>
                      <w:color w:val="auto"/>
                      <w:kern w:val="0"/>
                      <w:sz w:val="18"/>
                      <w:szCs w:val="18"/>
                      <w:lang w:val="en-US" w:eastAsia="zh-CN" w:bidi="ar"/>
                    </w:rPr>
                    <w:t>申请情况</w:t>
                  </w:r>
                </w:p>
              </w:tc>
              <w:tc>
                <w:tcPr>
                  <w:tcW w:w="2548" w:type="pct"/>
                  <w:vAlign w:val="center"/>
                </w:tcPr>
                <w:p w14:paraId="7EDF74D4">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2020.8.13申领排污许可证；2020</w:t>
                  </w:r>
                  <w:r>
                    <w:rPr>
                      <w:rFonts w:hint="eastAsia" w:cs="宋体"/>
                      <w:color w:val="auto"/>
                      <w:kern w:val="0"/>
                      <w:sz w:val="18"/>
                      <w:szCs w:val="18"/>
                      <w:lang w:val="en-US" w:eastAsia="zh-CN" w:bidi="ar"/>
                    </w:rPr>
                    <w:t>.</w:t>
                  </w:r>
                  <w:r>
                    <w:rPr>
                      <w:rFonts w:hint="default" w:cs="宋体"/>
                      <w:color w:val="auto"/>
                      <w:kern w:val="0"/>
                      <w:sz w:val="18"/>
                      <w:szCs w:val="18"/>
                      <w:lang w:val="en-US" w:eastAsia="zh-CN" w:bidi="ar"/>
                    </w:rPr>
                    <w:t>10</w:t>
                  </w:r>
                  <w:r>
                    <w:rPr>
                      <w:rFonts w:hint="eastAsia" w:cs="宋体"/>
                      <w:color w:val="auto"/>
                      <w:kern w:val="0"/>
                      <w:sz w:val="18"/>
                      <w:szCs w:val="18"/>
                      <w:lang w:val="en-US" w:eastAsia="zh-CN" w:bidi="ar"/>
                    </w:rPr>
                    <w:t>.</w:t>
                  </w:r>
                  <w:r>
                    <w:rPr>
                      <w:rFonts w:hint="default" w:cs="宋体"/>
                      <w:color w:val="auto"/>
                      <w:kern w:val="0"/>
                      <w:sz w:val="18"/>
                      <w:szCs w:val="18"/>
                      <w:lang w:val="en-US" w:eastAsia="zh-CN" w:bidi="ar"/>
                    </w:rPr>
                    <w:t>14</w:t>
                  </w:r>
                  <w:r>
                    <w:rPr>
                      <w:rFonts w:hint="eastAsia" w:cs="宋体"/>
                      <w:color w:val="auto"/>
                      <w:kern w:val="0"/>
                      <w:sz w:val="18"/>
                      <w:szCs w:val="18"/>
                      <w:lang w:val="en-US" w:eastAsia="zh-CN" w:bidi="ar"/>
                    </w:rPr>
                    <w:t>变更；2021-04-25变更；2023-06-12重新申请；2024-11-29重新申请</w:t>
                  </w:r>
                </w:p>
                <w:p w14:paraId="3BD40A1D">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编号：91341700MA2NBFH94Q001V</w:t>
                  </w:r>
                </w:p>
              </w:tc>
            </w:tr>
          </w:tbl>
          <w:p w14:paraId="177D0143">
            <w:pPr>
              <w:bidi w:val="0"/>
              <w:jc w:val="center"/>
              <w:rPr>
                <w:rFonts w:hint="eastAsia" w:ascii="黑体" w:hAnsi="黑体" w:eastAsia="黑体"/>
                <w:color w:val="auto"/>
                <w:szCs w:val="24"/>
                <w:highlight w:val="yellow"/>
                <w:lang w:val="en-US" w:eastAsia="zh-CN"/>
              </w:rPr>
            </w:pPr>
            <w:r>
              <w:rPr>
                <w:rFonts w:ascii="黑体" w:hAnsi="黑体" w:eastAsia="黑体"/>
                <w:color w:val="auto"/>
                <w:szCs w:val="24"/>
                <w:highlight w:val="none"/>
              </w:rPr>
              <w:t>表</w:t>
            </w:r>
            <w:r>
              <w:rPr>
                <w:rFonts w:eastAsia="黑体"/>
                <w:color w:val="auto"/>
                <w:szCs w:val="24"/>
                <w:highlight w:val="none"/>
              </w:rPr>
              <w:t>2-</w:t>
            </w:r>
            <w:r>
              <w:rPr>
                <w:rFonts w:hint="eastAsia" w:eastAsia="黑体"/>
                <w:color w:val="auto"/>
                <w:szCs w:val="24"/>
                <w:highlight w:val="none"/>
                <w:lang w:val="en-US" w:eastAsia="zh-CN"/>
              </w:rPr>
              <w:t>12</w:t>
            </w:r>
            <w:r>
              <w:rPr>
                <w:rFonts w:ascii="黑体" w:hAnsi="黑体" w:eastAsia="黑体"/>
                <w:color w:val="auto"/>
                <w:szCs w:val="24"/>
                <w:highlight w:val="none"/>
              </w:rPr>
              <w:t xml:space="preserve"> </w:t>
            </w:r>
            <w:r>
              <w:rPr>
                <w:rFonts w:hint="eastAsia" w:ascii="黑体" w:hAnsi="黑体" w:eastAsia="黑体"/>
                <w:color w:val="auto"/>
                <w:szCs w:val="24"/>
                <w:highlight w:val="none"/>
              </w:rPr>
              <w:t xml:space="preserve"> </w:t>
            </w:r>
            <w:r>
              <w:rPr>
                <w:rFonts w:hint="eastAsia" w:ascii="黑体" w:hAnsi="黑体" w:eastAsia="黑体"/>
                <w:color w:val="auto"/>
                <w:szCs w:val="24"/>
                <w:highlight w:val="none"/>
                <w:lang w:val="en-US" w:eastAsia="zh-CN"/>
              </w:rPr>
              <w:t>现有项目实际建设情况一览表</w:t>
            </w:r>
          </w:p>
          <w:bookmarkEnd w:id="44"/>
          <w:tbl>
            <w:tblPr>
              <w:tblStyle w:val="7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697"/>
              <w:gridCol w:w="893"/>
              <w:gridCol w:w="3549"/>
              <w:gridCol w:w="2250"/>
            </w:tblGrid>
            <w:tr w14:paraId="0007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368" w:type="pct"/>
                  <w:vAlign w:val="center"/>
                </w:tcPr>
                <w:p w14:paraId="75E3E73C">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zh-CN" w:eastAsia="zh-CN" w:bidi="ar"/>
                    </w:rPr>
                    <w:t>序号</w:t>
                  </w:r>
                </w:p>
              </w:tc>
              <w:tc>
                <w:tcPr>
                  <w:tcW w:w="937" w:type="pct"/>
                  <w:vAlign w:val="center"/>
                </w:tcPr>
                <w:p w14:paraId="59310DA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项目名称</w:t>
                  </w:r>
                </w:p>
              </w:tc>
              <w:tc>
                <w:tcPr>
                  <w:tcW w:w="2452" w:type="pct"/>
                  <w:gridSpan w:val="2"/>
                  <w:vAlign w:val="center"/>
                </w:tcPr>
                <w:p w14:paraId="61954B46">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环评批复规模</w:t>
                  </w:r>
                </w:p>
              </w:tc>
              <w:tc>
                <w:tcPr>
                  <w:tcW w:w="1242" w:type="pct"/>
                  <w:vAlign w:val="center"/>
                </w:tcPr>
                <w:p w14:paraId="46CAA68C">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建设情况</w:t>
                  </w:r>
                </w:p>
              </w:tc>
            </w:tr>
            <w:tr w14:paraId="1A9E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0A28D083">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1</w:t>
                  </w:r>
                </w:p>
              </w:tc>
              <w:tc>
                <w:tcPr>
                  <w:tcW w:w="937" w:type="pct"/>
                  <w:vMerge w:val="restart"/>
                  <w:vAlign w:val="center"/>
                </w:tcPr>
                <w:p w14:paraId="6EC1DCD6">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5万吨高端工业铝材生产基地项目环评</w:t>
                  </w:r>
                </w:p>
              </w:tc>
              <w:tc>
                <w:tcPr>
                  <w:tcW w:w="493" w:type="pct"/>
                  <w:vAlign w:val="center"/>
                </w:tcPr>
                <w:p w14:paraId="5C52E81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原一期</w:t>
                  </w:r>
                </w:p>
              </w:tc>
              <w:tc>
                <w:tcPr>
                  <w:tcW w:w="1959" w:type="pct"/>
                  <w:vAlign w:val="center"/>
                </w:tcPr>
                <w:p w14:paraId="3BC64D0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氧化电泳生产车间（2万t/a高端工业铝材表面处理）、污水处理中心及化工库等</w:t>
                  </w:r>
                </w:p>
              </w:tc>
              <w:tc>
                <w:tcPr>
                  <w:tcW w:w="1242" w:type="pct"/>
                  <w:vAlign w:val="center"/>
                </w:tcPr>
                <w:p w14:paraId="04B56EF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已建设、已验收</w:t>
                  </w:r>
                </w:p>
              </w:tc>
            </w:tr>
            <w:tr w14:paraId="2ED8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27ADE28D">
                  <w:pPr>
                    <w:widowControl/>
                    <w:spacing w:line="240" w:lineRule="auto"/>
                    <w:jc w:val="center"/>
                    <w:textAlignment w:val="center"/>
                    <w:rPr>
                      <w:rFonts w:hint="eastAsia" w:cs="宋体"/>
                      <w:color w:val="auto"/>
                      <w:kern w:val="0"/>
                      <w:sz w:val="18"/>
                      <w:szCs w:val="18"/>
                      <w:lang w:val="en-US" w:eastAsia="zh-CN" w:bidi="ar"/>
                    </w:rPr>
                  </w:pPr>
                  <w:r>
                    <w:rPr>
                      <w:rFonts w:hint="default" w:cs="宋体"/>
                      <w:color w:val="auto"/>
                      <w:kern w:val="0"/>
                      <w:sz w:val="18"/>
                      <w:szCs w:val="18"/>
                      <w:lang w:val="en-US" w:eastAsia="zh-CN" w:bidi="ar"/>
                    </w:rPr>
                    <w:t>2</w:t>
                  </w:r>
                </w:p>
              </w:tc>
              <w:tc>
                <w:tcPr>
                  <w:tcW w:w="937" w:type="pct"/>
                  <w:vMerge w:val="continue"/>
                  <w:vAlign w:val="center"/>
                </w:tcPr>
                <w:p w14:paraId="190576FB">
                  <w:pPr>
                    <w:widowControl/>
                    <w:spacing w:line="240" w:lineRule="auto"/>
                    <w:jc w:val="center"/>
                    <w:textAlignment w:val="center"/>
                    <w:rPr>
                      <w:rFonts w:hint="eastAsia" w:cs="宋体"/>
                      <w:color w:val="auto"/>
                      <w:kern w:val="0"/>
                      <w:sz w:val="18"/>
                      <w:szCs w:val="18"/>
                      <w:lang w:val="en-US" w:eastAsia="zh-CN" w:bidi="ar"/>
                    </w:rPr>
                  </w:pPr>
                </w:p>
              </w:tc>
              <w:tc>
                <w:tcPr>
                  <w:tcW w:w="493" w:type="pct"/>
                  <w:vAlign w:val="center"/>
                </w:tcPr>
                <w:p w14:paraId="73785BA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原二期</w:t>
                  </w:r>
                </w:p>
              </w:tc>
              <w:tc>
                <w:tcPr>
                  <w:tcW w:w="1959" w:type="pct"/>
                  <w:vAlign w:val="center"/>
                </w:tcPr>
                <w:p w14:paraId="14805BD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包装车间、精加工车间和成品库</w:t>
                  </w:r>
                </w:p>
              </w:tc>
              <w:tc>
                <w:tcPr>
                  <w:tcW w:w="1242" w:type="pct"/>
                  <w:vAlign w:val="center"/>
                </w:tcPr>
                <w:p w14:paraId="259FADED">
                  <w:pPr>
                    <w:widowControl/>
                    <w:spacing w:line="240" w:lineRule="auto"/>
                    <w:jc w:val="center"/>
                    <w:textAlignment w:val="center"/>
                    <w:rPr>
                      <w:rFonts w:hint="default" w:cs="宋体"/>
                      <w:color w:val="auto"/>
                      <w:kern w:val="0"/>
                      <w:sz w:val="18"/>
                      <w:szCs w:val="18"/>
                      <w:lang w:val="zh-CN" w:eastAsia="zh-CN" w:bidi="ar"/>
                    </w:rPr>
                  </w:pPr>
                  <w:r>
                    <w:rPr>
                      <w:rFonts w:hint="eastAsia" w:cs="宋体"/>
                      <w:color w:val="auto"/>
                      <w:kern w:val="0"/>
                      <w:sz w:val="18"/>
                      <w:szCs w:val="18"/>
                      <w:lang w:val="en-US" w:eastAsia="zh-CN" w:bidi="ar"/>
                    </w:rPr>
                    <w:t>已建设，已验收</w:t>
                  </w:r>
                </w:p>
              </w:tc>
            </w:tr>
            <w:tr w14:paraId="245A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3A5C5CA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3</w:t>
                  </w:r>
                </w:p>
              </w:tc>
              <w:tc>
                <w:tcPr>
                  <w:tcW w:w="937" w:type="pct"/>
                  <w:vMerge w:val="continue"/>
                  <w:vAlign w:val="center"/>
                </w:tcPr>
                <w:p w14:paraId="39065715">
                  <w:pPr>
                    <w:widowControl/>
                    <w:spacing w:line="240" w:lineRule="auto"/>
                    <w:jc w:val="center"/>
                    <w:textAlignment w:val="center"/>
                    <w:rPr>
                      <w:rFonts w:hint="eastAsia" w:cs="宋体"/>
                      <w:color w:val="auto"/>
                      <w:kern w:val="0"/>
                      <w:sz w:val="18"/>
                      <w:szCs w:val="18"/>
                      <w:lang w:val="en-US" w:eastAsia="zh-CN" w:bidi="ar"/>
                    </w:rPr>
                  </w:pPr>
                </w:p>
              </w:tc>
              <w:tc>
                <w:tcPr>
                  <w:tcW w:w="493" w:type="pct"/>
                  <w:vAlign w:val="center"/>
                </w:tcPr>
                <w:p w14:paraId="3D28E4C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原三期</w:t>
                  </w:r>
                </w:p>
              </w:tc>
              <w:tc>
                <w:tcPr>
                  <w:tcW w:w="1959" w:type="pct"/>
                  <w:vAlign w:val="center"/>
                </w:tcPr>
                <w:p w14:paraId="0D565B0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挤压车间、熔铸车间（生产铝棒1万t/a）及其他配套设施</w:t>
                  </w:r>
                </w:p>
              </w:tc>
              <w:tc>
                <w:tcPr>
                  <w:tcW w:w="1242" w:type="pct"/>
                  <w:vAlign w:val="center"/>
                </w:tcPr>
                <w:p w14:paraId="6B4F1A7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挤压车间已建设、已验收；熔铸车间及熔铸生产线未建设</w:t>
                  </w:r>
                </w:p>
              </w:tc>
            </w:tr>
            <w:tr w14:paraId="42E1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010981E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4</w:t>
                  </w:r>
                </w:p>
              </w:tc>
              <w:tc>
                <w:tcPr>
                  <w:tcW w:w="937" w:type="pct"/>
                  <w:vMerge w:val="restart"/>
                  <w:vAlign w:val="center"/>
                </w:tcPr>
                <w:p w14:paraId="56C707E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5万吨高端工业铝材生产基地技改项目</w:t>
                  </w:r>
                </w:p>
              </w:tc>
              <w:tc>
                <w:tcPr>
                  <w:tcW w:w="493" w:type="pct"/>
                  <w:vAlign w:val="center"/>
                </w:tcPr>
                <w:p w14:paraId="0A801AD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技改项目一期</w:t>
                  </w:r>
                </w:p>
              </w:tc>
              <w:tc>
                <w:tcPr>
                  <w:tcW w:w="1959" w:type="pct"/>
                  <w:vAlign w:val="center"/>
                </w:tcPr>
                <w:p w14:paraId="478E166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大件氧化车间进行设备自动化改造，将原有仓库改成小件氧化车间，新增1条小件氧化生产线，新建修模房</w:t>
                  </w:r>
                </w:p>
              </w:tc>
              <w:tc>
                <w:tcPr>
                  <w:tcW w:w="1242" w:type="pct"/>
                  <w:vAlign w:val="center"/>
                </w:tcPr>
                <w:p w14:paraId="73A7FB7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已建设、已验收</w:t>
                  </w:r>
                </w:p>
              </w:tc>
            </w:tr>
            <w:tr w14:paraId="56B87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43C5C94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5</w:t>
                  </w:r>
                </w:p>
              </w:tc>
              <w:tc>
                <w:tcPr>
                  <w:tcW w:w="937" w:type="pct"/>
                  <w:vMerge w:val="continue"/>
                  <w:vAlign w:val="center"/>
                </w:tcPr>
                <w:p w14:paraId="402F1DC3">
                  <w:pPr>
                    <w:widowControl/>
                    <w:spacing w:line="240" w:lineRule="auto"/>
                    <w:jc w:val="center"/>
                    <w:textAlignment w:val="center"/>
                    <w:rPr>
                      <w:rFonts w:hint="eastAsia" w:cs="宋体"/>
                      <w:color w:val="auto"/>
                      <w:kern w:val="0"/>
                      <w:sz w:val="18"/>
                      <w:szCs w:val="18"/>
                      <w:lang w:val="en-US" w:eastAsia="zh-CN" w:bidi="ar"/>
                    </w:rPr>
                  </w:pPr>
                </w:p>
              </w:tc>
              <w:tc>
                <w:tcPr>
                  <w:tcW w:w="493" w:type="pct"/>
                  <w:vAlign w:val="center"/>
                </w:tcPr>
                <w:p w14:paraId="0DF63D9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技改项目二期</w:t>
                  </w:r>
                </w:p>
              </w:tc>
              <w:tc>
                <w:tcPr>
                  <w:tcW w:w="1959" w:type="pct"/>
                  <w:vAlign w:val="center"/>
                </w:tcPr>
                <w:p w14:paraId="17AC1FD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新建精加工车间、仓库用房、小件氧化车间</w:t>
                  </w:r>
                </w:p>
              </w:tc>
              <w:tc>
                <w:tcPr>
                  <w:tcW w:w="1242" w:type="pct"/>
                  <w:vAlign w:val="center"/>
                </w:tcPr>
                <w:p w14:paraId="19839CB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已建设、已验收</w:t>
                  </w:r>
                </w:p>
              </w:tc>
            </w:tr>
            <w:tr w14:paraId="44B8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2D1B373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6</w:t>
                  </w:r>
                </w:p>
              </w:tc>
              <w:tc>
                <w:tcPr>
                  <w:tcW w:w="937" w:type="pct"/>
                  <w:vMerge w:val="restart"/>
                  <w:vAlign w:val="center"/>
                </w:tcPr>
                <w:p w14:paraId="698F2CB7">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500万件轨道交通及新能源汽车配件扩规项目</w:t>
                  </w:r>
                </w:p>
              </w:tc>
              <w:tc>
                <w:tcPr>
                  <w:tcW w:w="493" w:type="pct"/>
                  <w:vAlign w:val="center"/>
                </w:tcPr>
                <w:p w14:paraId="538396B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扩规项目一期</w:t>
                  </w:r>
                </w:p>
              </w:tc>
              <w:tc>
                <w:tcPr>
                  <w:tcW w:w="1959" w:type="pct"/>
                  <w:vAlign w:val="center"/>
                </w:tcPr>
                <w:p w14:paraId="5715BE9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一期工程主要包括7#厂房、8#厂房，7#厂房车间西侧布置半成品暂存区，中间设置精加工生产工序，东侧布置成仓库；8#厂房位于厂区北部，设置挤压生产线</w:t>
                  </w:r>
                </w:p>
              </w:tc>
              <w:tc>
                <w:tcPr>
                  <w:tcW w:w="1242" w:type="pct"/>
                  <w:vAlign w:val="center"/>
                </w:tcPr>
                <w:p w14:paraId="523B0AE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7#厂房已建，已验收，西侧为成品包装区，中间为精加工生产区及仓库；8#厂房挤压生产线已建设，已验收</w:t>
                  </w:r>
                </w:p>
              </w:tc>
            </w:tr>
            <w:tr w14:paraId="7B89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11CFCFC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7</w:t>
                  </w:r>
                </w:p>
              </w:tc>
              <w:tc>
                <w:tcPr>
                  <w:tcW w:w="937" w:type="pct"/>
                  <w:vMerge w:val="continue"/>
                  <w:vAlign w:val="center"/>
                </w:tcPr>
                <w:p w14:paraId="572FE496">
                  <w:pPr>
                    <w:widowControl/>
                    <w:spacing w:line="240" w:lineRule="auto"/>
                    <w:jc w:val="center"/>
                    <w:textAlignment w:val="center"/>
                    <w:rPr>
                      <w:rFonts w:hint="eastAsia" w:cs="宋体"/>
                      <w:color w:val="auto"/>
                      <w:kern w:val="0"/>
                      <w:sz w:val="18"/>
                      <w:szCs w:val="18"/>
                      <w:lang w:val="en-US" w:eastAsia="zh-CN" w:bidi="ar"/>
                    </w:rPr>
                  </w:pPr>
                </w:p>
              </w:tc>
              <w:tc>
                <w:tcPr>
                  <w:tcW w:w="493" w:type="pct"/>
                  <w:vAlign w:val="center"/>
                </w:tcPr>
                <w:p w14:paraId="65FFA37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扩规项目二期</w:t>
                  </w:r>
                </w:p>
              </w:tc>
              <w:tc>
                <w:tcPr>
                  <w:tcW w:w="1959" w:type="pct"/>
                  <w:vAlign w:val="center"/>
                </w:tcPr>
                <w:p w14:paraId="3FE768D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二期工程为倒班宿舍楼</w:t>
                  </w:r>
                </w:p>
              </w:tc>
              <w:tc>
                <w:tcPr>
                  <w:tcW w:w="1242" w:type="pct"/>
                  <w:vAlign w:val="center"/>
                </w:tcPr>
                <w:p w14:paraId="782F99B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已建设，已验收</w:t>
                  </w:r>
                </w:p>
              </w:tc>
            </w:tr>
            <w:tr w14:paraId="0C94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68" w:type="pct"/>
                  <w:vAlign w:val="center"/>
                </w:tcPr>
                <w:p w14:paraId="01C53F25">
                  <w:pPr>
                    <w:widowControl/>
                    <w:spacing w:line="240" w:lineRule="auto"/>
                    <w:jc w:val="center"/>
                    <w:textAlignment w:val="center"/>
                    <w:rPr>
                      <w:rFonts w:hint="default" w:cs="宋体"/>
                      <w:color w:val="auto"/>
                      <w:kern w:val="0"/>
                      <w:sz w:val="18"/>
                      <w:szCs w:val="18"/>
                      <w:lang w:val="en-US" w:eastAsia="zh-CN" w:bidi="ar"/>
                    </w:rPr>
                  </w:pPr>
                  <w:bookmarkStart w:id="49" w:name="_Toc28377"/>
                  <w:r>
                    <w:rPr>
                      <w:rFonts w:hint="eastAsia" w:cs="宋体"/>
                      <w:color w:val="auto"/>
                      <w:kern w:val="0"/>
                      <w:sz w:val="18"/>
                      <w:szCs w:val="18"/>
                      <w:lang w:val="en-US" w:eastAsia="zh-CN" w:bidi="ar"/>
                    </w:rPr>
                    <w:t>8</w:t>
                  </w:r>
                </w:p>
              </w:tc>
              <w:tc>
                <w:tcPr>
                  <w:tcW w:w="937" w:type="pct"/>
                  <w:vAlign w:val="center"/>
                </w:tcPr>
                <w:p w14:paraId="44AC02D7">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年产3万吨高端工业铝材表面处理项目</w:t>
                  </w:r>
                </w:p>
              </w:tc>
              <w:tc>
                <w:tcPr>
                  <w:tcW w:w="493" w:type="pct"/>
                  <w:vAlign w:val="center"/>
                </w:tcPr>
                <w:p w14:paraId="266B06B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959" w:type="pct"/>
                  <w:vAlign w:val="center"/>
                </w:tcPr>
                <w:p w14:paraId="413D721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建设内容：1#厂房西北侧新建3万吨/年卧式氧化生产线1条</w:t>
                  </w:r>
                </w:p>
              </w:tc>
              <w:tc>
                <w:tcPr>
                  <w:tcW w:w="1242" w:type="pct"/>
                  <w:vAlign w:val="center"/>
                </w:tcPr>
                <w:p w14:paraId="23AFD13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已建设，已验收</w:t>
                  </w:r>
                </w:p>
              </w:tc>
            </w:tr>
          </w:tbl>
          <w:p w14:paraId="616AF17E">
            <w:pPr>
              <w:numPr>
                <w:ilvl w:val="0"/>
                <w:numId w:val="0"/>
              </w:numPr>
              <w:adjustRightInd w:val="0"/>
              <w:snapToGrid w:val="0"/>
              <w:ind w:firstLine="480" w:firstLineChars="200"/>
              <w:outlineLvl w:val="0"/>
              <w:rPr>
                <w:rFonts w:hint="default" w:cs="Times New Roman"/>
                <w:color w:val="auto"/>
                <w:vertAlign w:val="baseline"/>
                <w:lang w:val="en-US" w:eastAsia="zh-CN"/>
              </w:rPr>
            </w:pPr>
            <w:r>
              <w:rPr>
                <w:rFonts w:hint="eastAsia" w:cs="Times New Roman"/>
                <w:color w:val="auto"/>
                <w:lang w:val="en-US" w:eastAsia="zh-CN"/>
              </w:rPr>
              <w:t>现有“500万件轨道交通及新能源汽车配件扩规项目”中7#厂房、8#厂房、倒班房已建设完成，本项目主体工程、倒班宿舍、原辅料仓库及成品仓库依托“500万件轨道交通及新能源汽车配件扩规项目”，危废库依托“现有5万吨高端工业铝材生产基地项目”中50m</w:t>
            </w:r>
            <w:r>
              <w:rPr>
                <w:rFonts w:hint="eastAsia" w:cs="Times New Roman"/>
                <w:color w:val="auto"/>
                <w:vertAlign w:val="superscript"/>
                <w:lang w:val="en-US" w:eastAsia="zh-CN"/>
              </w:rPr>
              <w:t>2</w:t>
            </w:r>
            <w:r>
              <w:rPr>
                <w:rFonts w:hint="eastAsia" w:cs="Times New Roman"/>
                <w:color w:val="auto"/>
                <w:vertAlign w:val="baseline"/>
                <w:lang w:val="en-US" w:eastAsia="zh-CN"/>
              </w:rPr>
              <w:t>的危废库，一般固废库依托“5万吨高端工业铝材生产基地技改项目”中1000</w:t>
            </w:r>
            <w:r>
              <w:rPr>
                <w:rFonts w:hint="eastAsia" w:cs="Times New Roman"/>
                <w:color w:val="auto"/>
                <w:lang w:val="en-US" w:eastAsia="zh-CN"/>
              </w:rPr>
              <w:t>m</w:t>
            </w:r>
            <w:r>
              <w:rPr>
                <w:rFonts w:hint="eastAsia" w:cs="Times New Roman"/>
                <w:color w:val="auto"/>
                <w:vertAlign w:val="superscript"/>
                <w:lang w:val="en-US" w:eastAsia="zh-CN"/>
              </w:rPr>
              <w:t>2</w:t>
            </w:r>
            <w:r>
              <w:rPr>
                <w:rFonts w:hint="eastAsia" w:cs="Times New Roman"/>
                <w:color w:val="auto"/>
                <w:vertAlign w:val="baseline"/>
                <w:lang w:val="en-US" w:eastAsia="zh-CN"/>
              </w:rPr>
              <w:t>一般固废仓库。</w:t>
            </w:r>
          </w:p>
          <w:p w14:paraId="2E8D14E5">
            <w:pPr>
              <w:numPr>
                <w:ilvl w:val="0"/>
                <w:numId w:val="0"/>
              </w:numPr>
              <w:adjustRightInd w:val="0"/>
              <w:snapToGrid w:val="0"/>
              <w:ind w:firstLine="480" w:firstLineChars="200"/>
              <w:outlineLvl w:val="0"/>
              <w:rPr>
                <w:rFonts w:hint="eastAsia" w:cs="Times New Roman"/>
                <w:color w:val="auto"/>
                <w:lang w:val="en-US" w:eastAsia="zh-CN"/>
              </w:rPr>
            </w:pPr>
            <w:r>
              <w:rPr>
                <w:rFonts w:hint="eastAsia" w:cs="Times New Roman"/>
                <w:color w:val="auto"/>
                <w:lang w:val="en-US" w:eastAsia="zh-CN"/>
              </w:rPr>
              <w:t>本项目与“5万吨高端工业铝材生产基地项目、</w:t>
            </w:r>
            <w:r>
              <w:rPr>
                <w:rFonts w:hint="eastAsia" w:cs="Times New Roman"/>
                <w:color w:val="auto"/>
                <w:vertAlign w:val="baseline"/>
                <w:lang w:val="en-US" w:eastAsia="zh-CN"/>
              </w:rPr>
              <w:t>5万吨高端工业铝材生产基地技改项目、</w:t>
            </w:r>
            <w:r>
              <w:rPr>
                <w:rFonts w:hint="eastAsia" w:cs="Times New Roman"/>
                <w:color w:val="auto"/>
                <w:lang w:val="en-US" w:eastAsia="zh-CN"/>
              </w:rPr>
              <w:t>500万件轨道交通及新能源汽车配件扩规项目”位置关系如下图所示。</w:t>
            </w:r>
          </w:p>
          <w:p w14:paraId="25B428DE">
            <w:pPr>
              <w:numPr>
                <w:ilvl w:val="0"/>
                <w:numId w:val="0"/>
              </w:numPr>
              <w:adjustRightInd w:val="0"/>
              <w:snapToGrid w:val="0"/>
              <w:ind w:firstLine="420" w:firstLineChars="200"/>
              <w:outlineLvl w:val="0"/>
              <w:rPr>
                <w:rFonts w:hint="default"/>
                <w:color w:val="auto"/>
                <w:lang w:val="en-US" w:eastAsia="zh-CN"/>
              </w:rPr>
            </w:pPr>
            <w:r>
              <w:rPr>
                <w:color w:val="auto"/>
                <w:sz w:val="21"/>
              </w:rPr>
              <mc:AlternateContent>
                <mc:Choice Requires="wps">
                  <w:drawing>
                    <wp:anchor distT="0" distB="0" distL="114300" distR="114300" simplePos="0" relativeHeight="251680768" behindDoc="0" locked="0" layoutInCell="1" allowOverlap="1">
                      <wp:simplePos x="0" y="0"/>
                      <wp:positionH relativeFrom="column">
                        <wp:posOffset>1550670</wp:posOffset>
                      </wp:positionH>
                      <wp:positionV relativeFrom="paragraph">
                        <wp:posOffset>1459865</wp:posOffset>
                      </wp:positionV>
                      <wp:extent cx="135255" cy="75565"/>
                      <wp:effectExtent l="12700" t="18415" r="23495" b="20320"/>
                      <wp:wrapNone/>
                      <wp:docPr id="65" name="矩形 65"/>
                      <wp:cNvGraphicFramePr/>
                      <a:graphic xmlns:a="http://schemas.openxmlformats.org/drawingml/2006/main">
                        <a:graphicData uri="http://schemas.microsoft.com/office/word/2010/wordprocessingShape">
                          <wps:wsp>
                            <wps:cNvSpPr/>
                            <wps:spPr>
                              <a:xfrm rot="21000000">
                                <a:off x="2632075" y="2273300"/>
                                <a:ext cx="135255" cy="7556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2.1pt;margin-top:114.95pt;height:5.95pt;width:10.65pt;rotation:-655360f;z-index:251680768;v-text-anchor:middle;mso-width-relative:page;mso-height-relative:page;" filled="f" stroked="t" coordsize="21600,21600" o:gfxdata="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D+LdBZ2AAAAAsBAAAPAAAAAAAAAAEAIAAAACIA&#10;AABkcnMvZG93bnJldi54bWxQSwECFAAUAAAACACHTuJAVgm0r3sCAADmBAAADgAAAAAAAAABACAA&#10;AAAnAQAAZHJzL2Uyb0RvYy54bWxQSwUGAAAAAAYABgBZAQAAFAYAAAAA&#10;">
                      <v:fill on="f" focussize="0,0"/>
                      <v:stroke weight="1pt" color="#FF0000 [2404]" miterlimit="8" joinstyle="miter"/>
                      <v:imagedata o:title=""/>
                      <o:lock v:ext="edit" aspectratio="f"/>
                    </v:rect>
                  </w:pict>
                </mc:Fallback>
              </mc:AlternateContent>
            </w:r>
            <w:r>
              <w:rPr>
                <w:color w:val="auto"/>
                <w:sz w:val="21"/>
              </w:rPr>
              <mc:AlternateContent>
                <mc:Choice Requires="wps">
                  <w:drawing>
                    <wp:anchor distT="0" distB="0" distL="114300" distR="114300" simplePos="0" relativeHeight="251684864" behindDoc="0" locked="0" layoutInCell="1" allowOverlap="1">
                      <wp:simplePos x="0" y="0"/>
                      <wp:positionH relativeFrom="column">
                        <wp:posOffset>1571625</wp:posOffset>
                      </wp:positionH>
                      <wp:positionV relativeFrom="paragraph">
                        <wp:posOffset>2579370</wp:posOffset>
                      </wp:positionV>
                      <wp:extent cx="701040" cy="223520"/>
                      <wp:effectExtent l="0" t="0" r="0" b="0"/>
                      <wp:wrapNone/>
                      <wp:docPr id="70" name="文本框 70"/>
                      <wp:cNvGraphicFramePr/>
                      <a:graphic xmlns:a="http://schemas.openxmlformats.org/drawingml/2006/main">
                        <a:graphicData uri="http://schemas.microsoft.com/office/word/2010/wordprocessingShape">
                          <wps:wsp>
                            <wps:cNvSpPr txBox="1"/>
                            <wps:spPr>
                              <a:xfrm rot="21120000">
                                <a:off x="0" y="0"/>
                                <a:ext cx="701040" cy="223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D59515">
                                  <w:pPr>
                                    <w:rPr>
                                      <w:rFonts w:hint="eastAsia" w:eastAsia="宋体"/>
                                      <w:b/>
                                      <w:bCs/>
                                      <w:color w:val="FFC000"/>
                                      <w:sz w:val="16"/>
                                      <w:szCs w:val="16"/>
                                      <w:highlight w:val="darkGray"/>
                                      <w:lang w:val="en-US" w:eastAsia="zh-CN"/>
                                    </w:rPr>
                                  </w:pPr>
                                  <w:r>
                                    <w:rPr>
                                      <w:rFonts w:hint="eastAsia"/>
                                      <w:b/>
                                      <w:bCs/>
                                      <w:color w:val="FFC000"/>
                                      <w:sz w:val="16"/>
                                      <w:szCs w:val="16"/>
                                      <w:highlight w:val="darkGray"/>
                                      <w:lang w:val="en-US" w:eastAsia="zh-CN"/>
                                    </w:rPr>
                                    <w:t>一般固废库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3.75pt;margin-top:203.1pt;height:17.6pt;width:55.2pt;rotation:-524288f;z-index:251684864;mso-width-relative:page;mso-height-relative:page;" filled="f" stroked="f" coordsize="21600,21600" o:gfxdata="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axNJkdsAAAALAQAADwAAAAAAAAABACAA&#10;AAAiAAAAZHJzL2Rvd25yZXYueG1sUEsBAhQAFAAAAAgAh07iQLHwUnpDAgAAdgQAAA4AAAAAAAAA&#10;AQAgAAAAKgEAAGRycy9lMm9Eb2MueG1sUEsFBgAAAAAGAAYAWQEAAN8FAAAAAA==&#10;">
                      <v:fill on="f" focussize="0,0"/>
                      <v:stroke on="f" weight="0.5pt"/>
                      <v:imagedata o:title=""/>
                      <o:lock v:ext="edit" aspectratio="f"/>
                      <v:textbox>
                        <w:txbxContent>
                          <w:p w14:paraId="3DD59515">
                            <w:pPr>
                              <w:rPr>
                                <w:rFonts w:hint="eastAsia" w:eastAsia="宋体"/>
                                <w:b/>
                                <w:bCs/>
                                <w:color w:val="FFC000"/>
                                <w:sz w:val="16"/>
                                <w:szCs w:val="16"/>
                                <w:highlight w:val="darkGray"/>
                                <w:lang w:val="en-US" w:eastAsia="zh-CN"/>
                              </w:rPr>
                            </w:pPr>
                            <w:r>
                              <w:rPr>
                                <w:rFonts w:hint="eastAsia"/>
                                <w:b/>
                                <w:bCs/>
                                <w:color w:val="FFC000"/>
                                <w:sz w:val="16"/>
                                <w:szCs w:val="16"/>
                                <w:highlight w:val="darkGray"/>
                                <w:lang w:val="en-US" w:eastAsia="zh-CN"/>
                              </w:rPr>
                              <w:t>一般固废库</w:t>
                            </w:r>
                          </w:p>
                        </w:txbxContent>
                      </v:textbox>
                    </v:shape>
                  </w:pict>
                </mc:Fallback>
              </mc:AlternateContent>
            </w:r>
            <w:r>
              <w:rPr>
                <w:color w:val="auto"/>
                <w:sz w:val="21"/>
              </w:rPr>
              <mc:AlternateContent>
                <mc:Choice Requires="wps">
                  <w:drawing>
                    <wp:anchor distT="0" distB="0" distL="114300" distR="114300" simplePos="0" relativeHeight="251685888" behindDoc="0" locked="0" layoutInCell="1" allowOverlap="1">
                      <wp:simplePos x="0" y="0"/>
                      <wp:positionH relativeFrom="column">
                        <wp:posOffset>2175510</wp:posOffset>
                      </wp:positionH>
                      <wp:positionV relativeFrom="paragraph">
                        <wp:posOffset>2514600</wp:posOffset>
                      </wp:positionV>
                      <wp:extent cx="95250" cy="111125"/>
                      <wp:effectExtent l="3810" t="0" r="15240" b="3175"/>
                      <wp:wrapNone/>
                      <wp:docPr id="71" name="直接箭头连接符 71"/>
                      <wp:cNvGraphicFramePr/>
                      <a:graphic xmlns:a="http://schemas.openxmlformats.org/drawingml/2006/main">
                        <a:graphicData uri="http://schemas.microsoft.com/office/word/2010/wordprocessingShape">
                          <wps:wsp>
                            <wps:cNvCnPr/>
                            <wps:spPr>
                              <a:xfrm flipV="1">
                                <a:off x="0" y="0"/>
                                <a:ext cx="95250" cy="111125"/>
                              </a:xfrm>
                              <a:prstGeom prst="straightConnector1">
                                <a:avLst/>
                              </a:prstGeom>
                              <a:ln w="9525">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171.3pt;margin-top:198pt;height:8.75pt;width:7.5pt;z-index:251685888;mso-width-relative:page;mso-height-relative:page;" filled="f" stroked="t" coordsize="21600,21600" o:gfxdata="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YUbz7aAAAACwEAAA8AAAAAAAAAAQAgAAAA&#10;IgAAAGRycy9kb3ducmV2LnhtbFBLAQIUABQAAAAIAIdO4kC2WzTKCQIAAO0DAAAOAAAAAAAAAAEA&#10;IAAAACkBAABkcnMvZTJvRG9jLnhtbFBLBQYAAAAABgAGAFkBAACkBQAAAAA=&#10;">
                      <v:fill on="f" focussize="0,0"/>
                      <v:stroke color="#000000 [3213]" miterlimit="8" joinstyle="miter" endarrow="open"/>
                      <v:imagedata o:title=""/>
                      <o:lock v:ext="edit" aspectratio="f"/>
                    </v:shape>
                  </w:pict>
                </mc:Fallback>
              </mc:AlternateContent>
            </w:r>
            <w:r>
              <w:rPr>
                <w:color w:val="auto"/>
                <w:sz w:val="21"/>
              </w:rPr>
              <mc:AlternateContent>
                <mc:Choice Requires="wps">
                  <w:drawing>
                    <wp:anchor distT="0" distB="0" distL="114300" distR="114300" simplePos="0" relativeHeight="251682816" behindDoc="0" locked="0" layoutInCell="1" allowOverlap="1">
                      <wp:simplePos x="0" y="0"/>
                      <wp:positionH relativeFrom="column">
                        <wp:posOffset>1821180</wp:posOffset>
                      </wp:positionH>
                      <wp:positionV relativeFrom="paragraph">
                        <wp:posOffset>1450975</wp:posOffset>
                      </wp:positionV>
                      <wp:extent cx="701040" cy="223520"/>
                      <wp:effectExtent l="0" t="0" r="0" b="0"/>
                      <wp:wrapNone/>
                      <wp:docPr id="67" name="文本框 67"/>
                      <wp:cNvGraphicFramePr/>
                      <a:graphic xmlns:a="http://schemas.openxmlformats.org/drawingml/2006/main">
                        <a:graphicData uri="http://schemas.microsoft.com/office/word/2010/wordprocessingShape">
                          <wps:wsp>
                            <wps:cNvSpPr txBox="1"/>
                            <wps:spPr>
                              <a:xfrm>
                                <a:off x="2910205" y="2026920"/>
                                <a:ext cx="701040" cy="223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48D7E">
                                  <w:pPr>
                                    <w:rPr>
                                      <w:rFonts w:hint="eastAsia" w:eastAsia="宋体"/>
                                      <w:b/>
                                      <w:bCs/>
                                      <w:color w:val="FFC000"/>
                                      <w:sz w:val="16"/>
                                      <w:szCs w:val="16"/>
                                      <w:highlight w:val="darkGray"/>
                                      <w:lang w:val="en-US" w:eastAsia="zh-CN"/>
                                    </w:rPr>
                                  </w:pPr>
                                  <w:r>
                                    <w:rPr>
                                      <w:rFonts w:hint="eastAsia"/>
                                      <w:b/>
                                      <w:bCs/>
                                      <w:color w:val="FFC000"/>
                                      <w:sz w:val="16"/>
                                      <w:szCs w:val="16"/>
                                      <w:highlight w:val="darkGray"/>
                                      <w:lang w:val="en-US" w:eastAsia="zh-CN"/>
                                    </w:rPr>
                                    <w:t>危废库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3.4pt;margin-top:114.25pt;height:17.6pt;width:55.2pt;z-index:251682816;mso-width-relative:page;mso-height-relative:page;" filled="f" stroked="f" coordsize="21600,21600" o:gfxdata="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xhJRJNwAAAALAQAADwAAAAAAAAAB&#10;ACAAAAAiAAAAZHJzL2Rvd25yZXYueG1sUEsBAhQAFAAAAAgAh07iQLy9z+JFAgAAcwQAAA4AAAAA&#10;AAAAAQAgAAAAKwEAAGRycy9lMm9Eb2MueG1sUEsFBgAAAAAGAAYAWQEAAOIFAAAAAA==&#10;">
                      <v:fill on="f" focussize="0,0"/>
                      <v:stroke on="f" weight="0.5pt"/>
                      <v:imagedata o:title=""/>
                      <o:lock v:ext="edit" aspectratio="f"/>
                      <v:textbox>
                        <w:txbxContent>
                          <w:p w14:paraId="37048D7E">
                            <w:pPr>
                              <w:rPr>
                                <w:rFonts w:hint="eastAsia" w:eastAsia="宋体"/>
                                <w:b/>
                                <w:bCs/>
                                <w:color w:val="FFC000"/>
                                <w:sz w:val="16"/>
                                <w:szCs w:val="16"/>
                                <w:highlight w:val="darkGray"/>
                                <w:lang w:val="en-US" w:eastAsia="zh-CN"/>
                              </w:rPr>
                            </w:pPr>
                            <w:r>
                              <w:rPr>
                                <w:rFonts w:hint="eastAsia"/>
                                <w:b/>
                                <w:bCs/>
                                <w:color w:val="FFC000"/>
                                <w:sz w:val="16"/>
                                <w:szCs w:val="16"/>
                                <w:highlight w:val="darkGray"/>
                                <w:lang w:val="en-US" w:eastAsia="zh-CN"/>
                              </w:rPr>
                              <w:t>危废库</w:t>
                            </w:r>
                          </w:p>
                        </w:txbxContent>
                      </v:textbox>
                    </v:shape>
                  </w:pict>
                </mc:Fallback>
              </mc:AlternateContent>
            </w:r>
            <w:r>
              <w:rPr>
                <w:color w:val="auto"/>
                <w:sz w:val="21"/>
              </w:rPr>
              <mc:AlternateContent>
                <mc:Choice Requires="wps">
                  <w:drawing>
                    <wp:anchor distT="0" distB="0" distL="114300" distR="114300" simplePos="0" relativeHeight="251681792" behindDoc="0" locked="0" layoutInCell="1" allowOverlap="1">
                      <wp:simplePos x="0" y="0"/>
                      <wp:positionH relativeFrom="column">
                        <wp:posOffset>2258695</wp:posOffset>
                      </wp:positionH>
                      <wp:positionV relativeFrom="paragraph">
                        <wp:posOffset>2401570</wp:posOffset>
                      </wp:positionV>
                      <wp:extent cx="459105" cy="115570"/>
                      <wp:effectExtent l="13970" t="46355" r="22225" b="47625"/>
                      <wp:wrapNone/>
                      <wp:docPr id="66" name="矩形 66"/>
                      <wp:cNvGraphicFramePr/>
                      <a:graphic xmlns:a="http://schemas.openxmlformats.org/drawingml/2006/main">
                        <a:graphicData uri="http://schemas.microsoft.com/office/word/2010/wordprocessingShape">
                          <wps:wsp>
                            <wps:cNvSpPr/>
                            <wps:spPr>
                              <a:xfrm rot="21000000">
                                <a:off x="0" y="0"/>
                                <a:ext cx="459105" cy="11557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7.85pt;margin-top:189.1pt;height:9.1pt;width:36.15pt;rotation:-655360f;z-index:251681792;v-text-anchor:middle;mso-width-relative:page;mso-height-relative:page;" filled="f" stroked="t" coordsize="21600,21600" o:gfxdata="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KIdeSbZAAAACwEAAA8AAAAAAAAAAQAgAAAAIgAAAGRycy9k&#10;b3ducmV2LnhtbFBLAQIUABQAAAAIAIdO4kAAbqTMcwIAANsEAAAOAAAAAAAAAAEAIAAAACgBAABk&#10;cnMvZTJvRG9jLnhtbFBLBQYAAAAABgAGAFkBAAANBgAAAAA=&#10;">
                      <v:fill on="f" focussize="0,0"/>
                      <v:stroke weight="1pt" color="#FF0000 [2404]" miterlimit="8" joinstyle="miter"/>
                      <v:imagedata o:title=""/>
                      <o:lock v:ext="edit" aspectratio="f"/>
                    </v:rect>
                  </w:pict>
                </mc:Fallback>
              </mc:AlternateContent>
            </w:r>
            <w:r>
              <w:rPr>
                <w:color w:val="auto"/>
                <w:sz w:val="21"/>
              </w:rPr>
              <mc:AlternateContent>
                <mc:Choice Requires="wps">
                  <w:drawing>
                    <wp:anchor distT="0" distB="0" distL="114300" distR="114300" simplePos="0" relativeHeight="251683840" behindDoc="0" locked="0" layoutInCell="1" allowOverlap="1">
                      <wp:simplePos x="0" y="0"/>
                      <wp:positionH relativeFrom="column">
                        <wp:posOffset>1675765</wp:posOffset>
                      </wp:positionH>
                      <wp:positionV relativeFrom="paragraph">
                        <wp:posOffset>1498600</wp:posOffset>
                      </wp:positionV>
                      <wp:extent cx="238125" cy="95250"/>
                      <wp:effectExtent l="0" t="13970" r="9525" b="5080"/>
                      <wp:wrapNone/>
                      <wp:docPr id="69" name="直接箭头连接符 69"/>
                      <wp:cNvGraphicFramePr/>
                      <a:graphic xmlns:a="http://schemas.openxmlformats.org/drawingml/2006/main">
                        <a:graphicData uri="http://schemas.microsoft.com/office/word/2010/wordprocessingShape">
                          <wps:wsp>
                            <wps:cNvCnPr/>
                            <wps:spPr>
                              <a:xfrm flipH="1" flipV="1">
                                <a:off x="2860040" y="1908175"/>
                                <a:ext cx="238125" cy="95250"/>
                              </a:xfrm>
                              <a:prstGeom prst="straightConnector1">
                                <a:avLst/>
                              </a:prstGeom>
                              <a:ln w="9525">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131.95pt;margin-top:118pt;height:7.5pt;width:18.75pt;z-index:251683840;mso-width-relative:page;mso-height-relative:page;" filled="f" stroked="t" coordsize="21600,21600" o:gfxdata="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9hPQfa&#10;AAAACwEAAA8AAAAAAAAAAQAgAAAAIgAAAGRycy9kb3ducmV2LnhtbFBLAQIUABQAAAAIAIdO4kCE&#10;LyYcHgIAAAMEAAAOAAAAAAAAAAEAIAAAACkBAABkcnMvZTJvRG9jLnhtbFBLBQYAAAAABgAGAFkB&#10;AAC5BQAAAAA=&#10;">
                      <v:fill on="f" focussize="0,0"/>
                      <v:stroke color="#000000 [3213]" miterlimit="8" joinstyle="miter" endarrow="open"/>
                      <v:imagedata o:title=""/>
                      <o:lock v:ext="edit" aspectratio="f"/>
                    </v:shape>
                  </w:pict>
                </mc:Fallback>
              </mc:AlternateContent>
            </w:r>
            <w:r>
              <w:rPr>
                <w:color w:val="auto"/>
                <w:sz w:val="21"/>
              </w:rPr>
              <mc:AlternateContent>
                <mc:Choice Requires="wps">
                  <w:drawing>
                    <wp:anchor distT="0" distB="0" distL="114300" distR="114300" simplePos="0" relativeHeight="251679744" behindDoc="0" locked="0" layoutInCell="1" allowOverlap="1">
                      <wp:simplePos x="0" y="0"/>
                      <wp:positionH relativeFrom="column">
                        <wp:posOffset>3881120</wp:posOffset>
                      </wp:positionH>
                      <wp:positionV relativeFrom="paragraph">
                        <wp:posOffset>1746250</wp:posOffset>
                      </wp:positionV>
                      <wp:extent cx="432435" cy="882650"/>
                      <wp:effectExtent l="0" t="0" r="0" b="0"/>
                      <wp:wrapNone/>
                      <wp:docPr id="64" name="文本框 64"/>
                      <wp:cNvGraphicFramePr/>
                      <a:graphic xmlns:a="http://schemas.openxmlformats.org/drawingml/2006/main">
                        <a:graphicData uri="http://schemas.microsoft.com/office/word/2010/wordprocessingShape">
                          <wps:wsp>
                            <wps:cNvSpPr txBox="1"/>
                            <wps:spPr>
                              <a:xfrm rot="20820000">
                                <a:off x="0" y="0"/>
                                <a:ext cx="432435" cy="882650"/>
                              </a:xfrm>
                              <a:prstGeom prst="rect">
                                <a:avLst/>
                              </a:prstGeom>
                              <a:noFill/>
                              <a:ln>
                                <a:noFill/>
                              </a:ln>
                            </wps:spPr>
                            <wps:txbx>
                              <w:txbxContent>
                                <w:p w14:paraId="66BF8521">
                                  <w:pPr>
                                    <w:rPr>
                                      <w:rFonts w:hint="default" w:eastAsia="宋体"/>
                                      <w:color w:val="FF0000"/>
                                      <w:sz w:val="16"/>
                                      <w:szCs w:val="16"/>
                                      <w:highlight w:val="lightGray"/>
                                      <w:lang w:val="en-US" w:eastAsia="zh-CN"/>
                                    </w:rPr>
                                  </w:pPr>
                                  <w:r>
                                    <w:rPr>
                                      <w:rFonts w:hint="eastAsia"/>
                                      <w:b/>
                                      <w:bCs/>
                                      <w:color w:val="FF0000"/>
                                      <w:sz w:val="16"/>
                                      <w:szCs w:val="16"/>
                                      <w:highlight w:val="lightGray"/>
                                      <w:lang w:val="en-US" w:eastAsia="zh-CN"/>
                                    </w:rPr>
                                    <w:t>拟建</w:t>
                                  </w:r>
                                  <w:r>
                                    <w:rPr>
                                      <w:rFonts w:hint="eastAsia"/>
                                      <w:b/>
                                      <w:bCs/>
                                      <w:color w:val="FF0000"/>
                                      <w:sz w:val="16"/>
                                      <w:szCs w:val="16"/>
                                      <w:highlight w:val="lightGray"/>
                                      <w:lang w:eastAsia="zh-CN"/>
                                    </w:rPr>
                                    <w:t>项目</w:t>
                                  </w:r>
                                </w:p>
                              </w:txbxContent>
                            </wps:txbx>
                            <wps:bodyPr upright="1"/>
                          </wps:wsp>
                        </a:graphicData>
                      </a:graphic>
                    </wp:anchor>
                  </w:drawing>
                </mc:Choice>
                <mc:Fallback>
                  <w:pict>
                    <v:shape id="_x0000_s1026" o:spid="_x0000_s1026" o:spt="202" type="#_x0000_t202" style="position:absolute;left:0pt;margin-left:305.6pt;margin-top:137.5pt;height:69.5pt;width:34.05pt;rotation:-851968f;z-index:251679744;mso-width-relative:page;mso-height-relative:page;" filled="f" stroked="f" coordsize="21600,21600" o:gfxdata="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v7UPTtwAAAALAQAADwAAAAAAAAABACAAAAAiAAAAZHJzL2Rvd25yZXYueG1sUEsB&#10;AhQAFAAAAAgAh07iQJ5ox5u4AQAAXgMAAA4AAAAAAAAAAQAgAAAAKwEAAGRycy9lMm9Eb2MueG1s&#10;UEsFBgAAAAAGAAYAWQEAAFUFAAAAAA==&#10;">
                      <v:fill on="f" focussize="0,0"/>
                      <v:stroke on="f"/>
                      <v:imagedata o:title=""/>
                      <o:lock v:ext="edit" aspectratio="f"/>
                      <v:textbox>
                        <w:txbxContent>
                          <w:p w14:paraId="66BF8521">
                            <w:pPr>
                              <w:rPr>
                                <w:rFonts w:hint="default" w:eastAsia="宋体"/>
                                <w:color w:val="FF0000"/>
                                <w:sz w:val="16"/>
                                <w:szCs w:val="16"/>
                                <w:highlight w:val="lightGray"/>
                                <w:lang w:val="en-US" w:eastAsia="zh-CN"/>
                              </w:rPr>
                            </w:pPr>
                            <w:r>
                              <w:rPr>
                                <w:rFonts w:hint="eastAsia"/>
                                <w:b/>
                                <w:bCs/>
                                <w:color w:val="FF0000"/>
                                <w:sz w:val="16"/>
                                <w:szCs w:val="16"/>
                                <w:highlight w:val="lightGray"/>
                                <w:lang w:val="en-US" w:eastAsia="zh-CN"/>
                              </w:rPr>
                              <w:t>拟建</w:t>
                            </w:r>
                            <w:r>
                              <w:rPr>
                                <w:rFonts w:hint="eastAsia"/>
                                <w:b/>
                                <w:bCs/>
                                <w:color w:val="FF0000"/>
                                <w:sz w:val="16"/>
                                <w:szCs w:val="16"/>
                                <w:highlight w:val="lightGray"/>
                                <w:lang w:eastAsia="zh-CN"/>
                              </w:rPr>
                              <w:t>项目</w:t>
                            </w:r>
                          </w:p>
                        </w:txbxContent>
                      </v:textbox>
                    </v:shape>
                  </w:pict>
                </mc:Fallback>
              </mc:AlternateContent>
            </w:r>
            <w:r>
              <w:rPr>
                <w:color w:val="auto"/>
                <w:sz w:val="21"/>
              </w:rPr>
              <mc:AlternateContent>
                <mc:Choice Requires="wps">
                  <w:drawing>
                    <wp:anchor distT="0" distB="0" distL="114300" distR="114300" simplePos="0" relativeHeight="251678720" behindDoc="0" locked="0" layoutInCell="1" allowOverlap="1">
                      <wp:simplePos x="0" y="0"/>
                      <wp:positionH relativeFrom="column">
                        <wp:posOffset>3956050</wp:posOffset>
                      </wp:positionH>
                      <wp:positionV relativeFrom="paragraph">
                        <wp:posOffset>1705610</wp:posOffset>
                      </wp:positionV>
                      <wp:extent cx="261620" cy="523875"/>
                      <wp:effectExtent l="50800" t="26035" r="68580" b="40640"/>
                      <wp:wrapNone/>
                      <wp:docPr id="63" name="矩形 63"/>
                      <wp:cNvGraphicFramePr/>
                      <a:graphic xmlns:a="http://schemas.openxmlformats.org/drawingml/2006/main">
                        <a:graphicData uri="http://schemas.microsoft.com/office/word/2010/wordprocessingShape">
                          <wps:wsp>
                            <wps:cNvSpPr/>
                            <wps:spPr>
                              <a:xfrm rot="21000000">
                                <a:off x="4932045" y="2542540"/>
                                <a:ext cx="261620" cy="52387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1.5pt;margin-top:134.3pt;height:41.25pt;width:20.6pt;rotation:-655360f;z-index:251678720;v-text-anchor:middle;mso-width-relative:page;mso-height-relative:page;" filled="f" stroked="t" coordsize="21600,21600" o:gfxdata="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PMSYzDZAAAACwEAAA8AAAAAAAAAAQAg&#10;AAAAIgAAAGRycy9kb3ducmV2LnhtbFBLAQIUABQAAAAIAIdO4kD2NsTYfwIAAOcEAAAOAAAAAAAA&#10;AAEAIAAAACgBAABkcnMvZTJvRG9jLnhtbFBLBQYAAAAABgAGAFkBAAAZBgAAAAA=&#10;">
                      <v:fill on="f" focussize="0,0"/>
                      <v:stroke weight="1pt" color="#FF0000 [2404]" miterlimit="8" joinstyle="miter"/>
                      <v:imagedata o:title=""/>
                      <o:lock v:ext="edit" aspectratio="f"/>
                    </v:rect>
                  </w:pict>
                </mc:Fallback>
              </mc:AlternateContent>
            </w:r>
            <w:r>
              <w:rPr>
                <w:color w:val="auto"/>
                <w:sz w:val="21"/>
              </w:rPr>
              <mc:AlternateContent>
                <mc:Choice Requires="wps">
                  <w:drawing>
                    <wp:anchor distT="0" distB="0" distL="114300" distR="114300" simplePos="0" relativeHeight="251677696" behindDoc="0" locked="0" layoutInCell="1" allowOverlap="1">
                      <wp:simplePos x="0" y="0"/>
                      <wp:positionH relativeFrom="column">
                        <wp:posOffset>2669540</wp:posOffset>
                      </wp:positionH>
                      <wp:positionV relativeFrom="paragraph">
                        <wp:posOffset>1420495</wp:posOffset>
                      </wp:positionV>
                      <wp:extent cx="830580" cy="882650"/>
                      <wp:effectExtent l="0" t="0" r="0" b="0"/>
                      <wp:wrapNone/>
                      <wp:docPr id="62" name="文本框 62"/>
                      <wp:cNvGraphicFramePr/>
                      <a:graphic xmlns:a="http://schemas.openxmlformats.org/drawingml/2006/main">
                        <a:graphicData uri="http://schemas.microsoft.com/office/word/2010/wordprocessingShape">
                          <wps:wsp>
                            <wps:cNvSpPr txBox="1"/>
                            <wps:spPr>
                              <a:xfrm rot="21000000">
                                <a:off x="0" y="0"/>
                                <a:ext cx="830580" cy="882650"/>
                              </a:xfrm>
                              <a:prstGeom prst="rect">
                                <a:avLst/>
                              </a:prstGeom>
                              <a:noFill/>
                              <a:ln>
                                <a:noFill/>
                              </a:ln>
                            </wps:spPr>
                            <wps:txbx>
                              <w:txbxContent>
                                <w:p w14:paraId="22C5F509">
                                  <w:pPr>
                                    <w:rPr>
                                      <w:rFonts w:hint="default" w:eastAsia="宋体"/>
                                      <w:color w:val="FFFF00"/>
                                      <w:sz w:val="16"/>
                                      <w:szCs w:val="16"/>
                                      <w:highlight w:val="lightGray"/>
                                      <w:lang w:val="en-US" w:eastAsia="zh-CN"/>
                                    </w:rPr>
                                  </w:pPr>
                                  <w:r>
                                    <w:rPr>
                                      <w:rFonts w:hint="eastAsia"/>
                                      <w:b/>
                                      <w:bCs/>
                                      <w:color w:val="FFFF00"/>
                                      <w:sz w:val="16"/>
                                      <w:szCs w:val="16"/>
                                      <w:highlight w:val="lightGray"/>
                                      <w:lang w:val="en-US" w:eastAsia="zh-CN"/>
                                    </w:rPr>
                                    <w:t>现有</w:t>
                                  </w:r>
                                  <w:r>
                                    <w:rPr>
                                      <w:rFonts w:hint="eastAsia"/>
                                      <w:b/>
                                      <w:bCs/>
                                      <w:color w:val="FFFF00"/>
                                      <w:sz w:val="16"/>
                                      <w:szCs w:val="16"/>
                                      <w:highlight w:val="lightGray"/>
                                      <w:lang w:eastAsia="zh-CN"/>
                                    </w:rPr>
                                    <w:t>500万件轨道交通及新能源汽车配件扩规项目</w:t>
                                  </w:r>
                                  <w:r>
                                    <w:rPr>
                                      <w:rFonts w:hint="eastAsia"/>
                                      <w:b/>
                                      <w:bCs/>
                                      <w:color w:val="FFFF00"/>
                                      <w:sz w:val="16"/>
                                      <w:szCs w:val="16"/>
                                      <w:highlight w:val="lightGray"/>
                                      <w:lang w:val="en-US" w:eastAsia="zh-CN"/>
                                    </w:rPr>
                                    <w:t>区域</w:t>
                                  </w:r>
                                </w:p>
                              </w:txbxContent>
                            </wps:txbx>
                            <wps:bodyPr upright="1"/>
                          </wps:wsp>
                        </a:graphicData>
                      </a:graphic>
                    </wp:anchor>
                  </w:drawing>
                </mc:Choice>
                <mc:Fallback>
                  <w:pict>
                    <v:shape id="_x0000_s1026" o:spid="_x0000_s1026" o:spt="202" type="#_x0000_t202" style="position:absolute;left:0pt;margin-left:210.2pt;margin-top:111.85pt;height:69.5pt;width:65.4pt;rotation:-655360f;z-index:251677696;mso-width-relative:page;mso-height-relative:page;" filled="f" stroked="f" coordsize="21600,21600" o:gfxdata="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IX7dLbZAAAACwEAAA8AAAAAAAAAAQAgAAAAIgAAAGRycy9kb3ducmV2LnhtbFBLAQIUABQA&#10;AAAIAIdO4kDBP+RdtgEAAF4DAAAOAAAAAAAAAAEAIAAAACgBAABkcnMvZTJvRG9jLnhtbFBLBQYA&#10;AAAABgAGAFkBAABQBQAAAAA=&#10;">
                      <v:fill on="f" focussize="0,0"/>
                      <v:stroke on="f"/>
                      <v:imagedata o:title=""/>
                      <o:lock v:ext="edit" aspectratio="f"/>
                      <v:textbox>
                        <w:txbxContent>
                          <w:p w14:paraId="22C5F509">
                            <w:pPr>
                              <w:rPr>
                                <w:rFonts w:hint="default" w:eastAsia="宋体"/>
                                <w:color w:val="FFFF00"/>
                                <w:sz w:val="16"/>
                                <w:szCs w:val="16"/>
                                <w:highlight w:val="lightGray"/>
                                <w:lang w:val="en-US" w:eastAsia="zh-CN"/>
                              </w:rPr>
                            </w:pPr>
                            <w:r>
                              <w:rPr>
                                <w:rFonts w:hint="eastAsia"/>
                                <w:b/>
                                <w:bCs/>
                                <w:color w:val="FFFF00"/>
                                <w:sz w:val="16"/>
                                <w:szCs w:val="16"/>
                                <w:highlight w:val="lightGray"/>
                                <w:lang w:val="en-US" w:eastAsia="zh-CN"/>
                              </w:rPr>
                              <w:t>现有</w:t>
                            </w:r>
                            <w:r>
                              <w:rPr>
                                <w:rFonts w:hint="eastAsia"/>
                                <w:b/>
                                <w:bCs/>
                                <w:color w:val="FFFF00"/>
                                <w:sz w:val="16"/>
                                <w:szCs w:val="16"/>
                                <w:highlight w:val="lightGray"/>
                                <w:lang w:eastAsia="zh-CN"/>
                              </w:rPr>
                              <w:t>500万件轨道交通及新能源汽车配件扩规项目</w:t>
                            </w:r>
                            <w:r>
                              <w:rPr>
                                <w:rFonts w:hint="eastAsia"/>
                                <w:b/>
                                <w:bCs/>
                                <w:color w:val="FFFF00"/>
                                <w:sz w:val="16"/>
                                <w:szCs w:val="16"/>
                                <w:highlight w:val="lightGray"/>
                                <w:lang w:val="en-US" w:eastAsia="zh-CN"/>
                              </w:rPr>
                              <w:t>区域</w:t>
                            </w:r>
                          </w:p>
                        </w:txbxContent>
                      </v:textbox>
                    </v:shape>
                  </w:pict>
                </mc:Fallback>
              </mc:AlternateContent>
            </w:r>
            <w:r>
              <w:rPr>
                <w:color w:val="auto"/>
                <w:sz w:val="24"/>
              </w:rPr>
              <mc:AlternateContent>
                <mc:Choice Requires="wps">
                  <w:drawing>
                    <wp:anchor distT="0" distB="0" distL="114300" distR="114300" simplePos="0" relativeHeight="251676672" behindDoc="0" locked="0" layoutInCell="1" allowOverlap="1">
                      <wp:simplePos x="0" y="0"/>
                      <wp:positionH relativeFrom="column">
                        <wp:posOffset>995045</wp:posOffset>
                      </wp:positionH>
                      <wp:positionV relativeFrom="paragraph">
                        <wp:posOffset>717550</wp:posOffset>
                      </wp:positionV>
                      <wp:extent cx="1890395" cy="2315210"/>
                      <wp:effectExtent l="6985" t="7620" r="7620" b="20320"/>
                      <wp:wrapNone/>
                      <wp:docPr id="60" name="任意多边形 60"/>
                      <wp:cNvGraphicFramePr/>
                      <a:graphic xmlns:a="http://schemas.openxmlformats.org/drawingml/2006/main">
                        <a:graphicData uri="http://schemas.microsoft.com/office/word/2010/wordprocessingShape">
                          <wps:wsp>
                            <wps:cNvSpPr/>
                            <wps:spPr>
                              <a:xfrm>
                                <a:off x="2076450" y="1515745"/>
                                <a:ext cx="1890395" cy="2315210"/>
                              </a:xfrm>
                              <a:custGeom>
                                <a:avLst/>
                                <a:gdLst>
                                  <a:gd name="connisteX0" fmla="*/ 117475 w 1890395"/>
                                  <a:gd name="connsiteY0" fmla="*/ 255905 h 2315210"/>
                                  <a:gd name="connisteX1" fmla="*/ 1465580 w 1890395"/>
                                  <a:gd name="connsiteY1" fmla="*/ 0 h 2315210"/>
                                  <a:gd name="connisteX2" fmla="*/ 1890395 w 1890395"/>
                                  <a:gd name="connsiteY2" fmla="*/ 2197735 h 2315210"/>
                                  <a:gd name="connisteX3" fmla="*/ 1128395 w 1890395"/>
                                  <a:gd name="connsiteY3" fmla="*/ 2292985 h 2315210"/>
                                  <a:gd name="connisteX4" fmla="*/ 440055 w 1890395"/>
                                  <a:gd name="connsiteY4" fmla="*/ 2315210 h 2315210"/>
                                  <a:gd name="connisteX5" fmla="*/ 330200 w 1890395"/>
                                  <a:gd name="connsiteY5" fmla="*/ 2190750 h 2315210"/>
                                  <a:gd name="connisteX6" fmla="*/ 0 w 1890395"/>
                                  <a:gd name="connsiteY6" fmla="*/ 395605 h 2315210"/>
                                  <a:gd name="connisteX7" fmla="*/ 117475 w 1890395"/>
                                  <a:gd name="connsiteY7" fmla="*/ 255905 h 2315210"/>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Lst>
                                <a:rect l="l" t="t" r="r" b="b"/>
                                <a:pathLst>
                                  <a:path w="1890395" h="2315210">
                                    <a:moveTo>
                                      <a:pt x="117475" y="255905"/>
                                    </a:moveTo>
                                    <a:lnTo>
                                      <a:pt x="1465580" y="0"/>
                                    </a:lnTo>
                                    <a:lnTo>
                                      <a:pt x="1890395" y="2197735"/>
                                    </a:lnTo>
                                    <a:lnTo>
                                      <a:pt x="1128395" y="2292985"/>
                                    </a:lnTo>
                                    <a:lnTo>
                                      <a:pt x="440055" y="2315210"/>
                                    </a:lnTo>
                                    <a:lnTo>
                                      <a:pt x="330200" y="2190750"/>
                                    </a:lnTo>
                                    <a:lnTo>
                                      <a:pt x="0" y="395605"/>
                                    </a:lnTo>
                                    <a:lnTo>
                                      <a:pt x="117475" y="255905"/>
                                    </a:lnTo>
                                    <a:close/>
                                  </a:path>
                                </a:pathLst>
                              </a:custGeom>
                              <a:noFill/>
                              <a:ln>
                                <a:solidFill>
                                  <a:srgbClr val="FFC0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78.35pt;margin-top:56.5pt;height:182.3pt;width:148.85pt;z-index:251676672;mso-width-relative:page;mso-height-relative:page;" filled="f" stroked="t" coordsize="1890395,2315210" o:gfxdata="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" path="m117475,255905l1465580,0,1890395,2197735,1128395,2292985,440055,2315210,330200,2190750,0,395605,117475,255905xe">
                      <v:path o:connectlocs="117475,255905;1465580,0;1890395,2197735;1128395,2292985;440055,2315210;330200,2190750;0,395605;117475,255905" o:connectangles="0,0,0,0,0,0,0,0"/>
                      <v:fill on="f" focussize="0,0"/>
                      <v:stroke weight="1pt" color="#FFC000 [2404]" miterlimit="8" joinstyle="miter"/>
                      <v:imagedata o:title=""/>
                      <o:lock v:ext="edit" aspectratio="f"/>
                    </v:shape>
                  </w:pict>
                </mc:Fallback>
              </mc:AlternateContent>
            </w:r>
            <w:r>
              <w:rPr>
                <w:color w:val="auto"/>
                <w:sz w:val="24"/>
              </w:rPr>
              <mc:AlternateContent>
                <mc:Choice Requires="wps">
                  <w:drawing>
                    <wp:anchor distT="0" distB="0" distL="114300" distR="114300" simplePos="0" relativeHeight="251675648" behindDoc="0" locked="0" layoutInCell="1" allowOverlap="1">
                      <wp:simplePos x="0" y="0"/>
                      <wp:positionH relativeFrom="column">
                        <wp:posOffset>2518410</wp:posOffset>
                      </wp:positionH>
                      <wp:positionV relativeFrom="paragraph">
                        <wp:posOffset>570865</wp:posOffset>
                      </wp:positionV>
                      <wp:extent cx="1838960" cy="2329815"/>
                      <wp:effectExtent l="7620" t="7620" r="20320" b="24765"/>
                      <wp:wrapNone/>
                      <wp:docPr id="59" name="任意多边形 59"/>
                      <wp:cNvGraphicFramePr/>
                      <a:graphic xmlns:a="http://schemas.openxmlformats.org/drawingml/2006/main">
                        <a:graphicData uri="http://schemas.microsoft.com/office/word/2010/wordprocessingShape">
                          <wps:wsp>
                            <wps:cNvSpPr/>
                            <wps:spPr>
                              <a:xfrm>
                                <a:off x="3599815" y="1339850"/>
                                <a:ext cx="1838960" cy="2329815"/>
                              </a:xfrm>
                              <a:custGeom>
                                <a:avLst/>
                                <a:gdLst>
                                  <a:gd name="connsiteX0" fmla="*/ 0 w 2896"/>
                                  <a:gd name="connsiteY0" fmla="*/ 219 h 3669"/>
                                  <a:gd name="connsiteX1" fmla="*/ 634 w 2896"/>
                                  <a:gd name="connsiteY1" fmla="*/ 3669 h 3669"/>
                                  <a:gd name="connsiteX2" fmla="*/ 1430 w 2896"/>
                                  <a:gd name="connsiteY2" fmla="*/ 3508 h 3669"/>
                                  <a:gd name="connsiteX3" fmla="*/ 1315 w 2896"/>
                                  <a:gd name="connsiteY3" fmla="*/ 2931 h 3669"/>
                                  <a:gd name="connsiteX4" fmla="*/ 2896 w 2896"/>
                                  <a:gd name="connsiteY4" fmla="*/ 2631 h 3669"/>
                                  <a:gd name="connsiteX5" fmla="*/ 2723 w 2896"/>
                                  <a:gd name="connsiteY5" fmla="*/ 1614 h 3669"/>
                                  <a:gd name="connsiteX6" fmla="*/ 1511 w 2896"/>
                                  <a:gd name="connsiteY6" fmla="*/ 1834 h 3669"/>
                                  <a:gd name="connsiteX7" fmla="*/ 1178 w 2896"/>
                                  <a:gd name="connsiteY7" fmla="*/ 0 h 3669"/>
                                  <a:gd name="connsiteX8" fmla="*/ 0 w 2896"/>
                                  <a:gd name="connsiteY8" fmla="*/ 219 h 36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896" h="3669">
                                    <a:moveTo>
                                      <a:pt x="0" y="219"/>
                                    </a:moveTo>
                                    <a:lnTo>
                                      <a:pt x="634" y="3669"/>
                                    </a:lnTo>
                                    <a:lnTo>
                                      <a:pt x="1430" y="3508"/>
                                    </a:lnTo>
                                    <a:lnTo>
                                      <a:pt x="1315" y="2931"/>
                                    </a:lnTo>
                                    <a:lnTo>
                                      <a:pt x="2896" y="2631"/>
                                    </a:lnTo>
                                    <a:lnTo>
                                      <a:pt x="2723" y="1614"/>
                                    </a:lnTo>
                                    <a:lnTo>
                                      <a:pt x="1511" y="1834"/>
                                    </a:lnTo>
                                    <a:lnTo>
                                      <a:pt x="1178" y="0"/>
                                    </a:lnTo>
                                    <a:lnTo>
                                      <a:pt x="0" y="219"/>
                                    </a:lnTo>
                                    <a:close/>
                                  </a:path>
                                </a:pathLst>
                              </a:cu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198.3pt;margin-top:44.95pt;height:183.45pt;width:144.8pt;z-index:251675648;mso-width-relative:page;mso-height-relative:page;" filled="f" stroked="t" coordsize="2896,3669" o:gfxdata="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" path="m0,219l634,3669,1430,3508,1315,2931,2896,2631,2723,1614,1511,1834,1178,0,0,219xe">
                      <v:path o:connectlocs="0,139065;402590,2329815;908050,2227580;835025,1861185;1838960,1670685;1729105,1024890;959485,1164590;748030,0;0,139065" o:connectangles="0,0,0,0,0,0,0,0,0"/>
                      <v:fill on="f" focussize="0,0"/>
                      <v:stroke weight="1pt" color="#FFFF00 [2404]" miterlimit="8" joinstyle="miter"/>
                      <v:imagedata o:title=""/>
                      <o:lock v:ext="edit" aspectratio="f"/>
                    </v:shape>
                  </w:pict>
                </mc:Fallback>
              </mc:AlternateContent>
            </w:r>
            <w:r>
              <w:rPr>
                <w:rFonts w:hint="default"/>
                <w:color w:val="auto"/>
                <w:lang w:val="en-US" w:eastAsia="zh-CN"/>
              </w:rPr>
              <w:drawing>
                <wp:inline distT="0" distB="0" distL="114300" distR="114300">
                  <wp:extent cx="5087620" cy="3599815"/>
                  <wp:effectExtent l="0" t="0" r="17780" b="635"/>
                  <wp:docPr id="58" name="图片 1" descr="134亩四期规划文本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 descr="134亩四期规划文本_12"/>
                          <pic:cNvPicPr>
                            <a:picLocks noChangeAspect="1"/>
                          </pic:cNvPicPr>
                        </pic:nvPicPr>
                        <pic:blipFill>
                          <a:blip r:embed="rId30"/>
                          <a:stretch>
                            <a:fillRect/>
                          </a:stretch>
                        </pic:blipFill>
                        <pic:spPr>
                          <a:xfrm>
                            <a:off x="0" y="0"/>
                            <a:ext cx="5087620" cy="3599815"/>
                          </a:xfrm>
                          <a:prstGeom prst="rect">
                            <a:avLst/>
                          </a:prstGeom>
                          <a:noFill/>
                          <a:ln>
                            <a:noFill/>
                          </a:ln>
                        </pic:spPr>
                      </pic:pic>
                    </a:graphicData>
                  </a:graphic>
                </wp:inline>
              </w:drawing>
            </w:r>
          </w:p>
          <w:p w14:paraId="0EE21DB3">
            <w:pPr>
              <w:bidi w:val="0"/>
              <w:jc w:val="center"/>
              <w:rPr>
                <w:rFonts w:hint="default" w:ascii="黑体" w:hAnsi="黑体" w:eastAsia="黑体"/>
                <w:color w:val="auto"/>
                <w:szCs w:val="24"/>
                <w:lang w:val="en-US" w:eastAsia="zh-CN"/>
              </w:rPr>
            </w:pPr>
            <w:r>
              <w:rPr>
                <w:rFonts w:hint="eastAsia" w:ascii="黑体" w:hAnsi="黑体" w:eastAsia="黑体"/>
                <w:color w:val="auto"/>
                <w:szCs w:val="24"/>
                <w:lang w:val="en-US" w:eastAsia="zh-CN"/>
              </w:rPr>
              <w:t>图</w:t>
            </w:r>
            <w:r>
              <w:rPr>
                <w:rFonts w:hint="eastAsia" w:ascii="Times New Roman" w:hAnsi="Times New Roman" w:eastAsia="黑体" w:cs="Times New Roman"/>
                <w:color w:val="auto"/>
                <w:szCs w:val="24"/>
                <w:lang w:val="en-US" w:eastAsia="zh-CN"/>
              </w:rPr>
              <w:t>2</w:t>
            </w:r>
            <w:r>
              <w:rPr>
                <w:rFonts w:hint="default" w:ascii="Times New Roman" w:hAnsi="Times New Roman" w:eastAsia="黑体" w:cs="Times New Roman"/>
                <w:color w:val="auto"/>
                <w:szCs w:val="24"/>
                <w:lang w:val="en-US" w:eastAsia="zh-CN"/>
              </w:rPr>
              <w:t>-</w:t>
            </w:r>
            <w:r>
              <w:rPr>
                <w:rFonts w:hint="eastAsia" w:eastAsia="黑体" w:cs="Times New Roman"/>
                <w:color w:val="auto"/>
                <w:szCs w:val="24"/>
                <w:lang w:val="en-US" w:eastAsia="zh-CN"/>
              </w:rPr>
              <w:t>4</w:t>
            </w:r>
            <w:r>
              <w:rPr>
                <w:rFonts w:hint="default" w:ascii="Times New Roman" w:hAnsi="Times New Roman" w:eastAsia="黑体" w:cs="Times New Roman"/>
                <w:color w:val="auto"/>
                <w:szCs w:val="24"/>
                <w:lang w:val="en-US" w:eastAsia="zh-CN"/>
              </w:rPr>
              <w:t xml:space="preserve"> 本项目与</w:t>
            </w:r>
            <w:r>
              <w:rPr>
                <w:rFonts w:hint="eastAsia" w:ascii="Times New Roman" w:hAnsi="Times New Roman" w:eastAsia="黑体" w:cs="Times New Roman"/>
                <w:color w:val="auto"/>
                <w:szCs w:val="24"/>
                <w:lang w:val="en-US" w:eastAsia="zh-CN"/>
              </w:rPr>
              <w:t>现有</w:t>
            </w:r>
            <w:r>
              <w:rPr>
                <w:rFonts w:hint="default" w:ascii="黑体" w:hAnsi="黑体" w:eastAsia="黑体"/>
                <w:color w:val="auto"/>
                <w:szCs w:val="24"/>
                <w:lang w:val="en-US" w:eastAsia="zh-CN"/>
              </w:rPr>
              <w:t>项目</w:t>
            </w:r>
            <w:r>
              <w:rPr>
                <w:rFonts w:hint="eastAsia" w:ascii="黑体" w:hAnsi="黑体" w:eastAsia="黑体"/>
                <w:color w:val="auto"/>
                <w:szCs w:val="24"/>
                <w:lang w:val="en-US" w:eastAsia="zh-CN"/>
              </w:rPr>
              <w:t>位置关系图</w:t>
            </w:r>
          </w:p>
          <w:p w14:paraId="48C5BFED">
            <w:pPr>
              <w:adjustRightInd w:val="0"/>
              <w:snapToGrid w:val="0"/>
              <w:outlineLvl w:val="0"/>
              <w:rPr>
                <w:rFonts w:hint="eastAsia"/>
                <w:b/>
                <w:color w:val="auto"/>
                <w:szCs w:val="24"/>
                <w:lang w:val="en-US" w:eastAsia="zh-CN"/>
              </w:rPr>
            </w:pPr>
            <w:r>
              <w:rPr>
                <w:rFonts w:hint="eastAsia"/>
                <w:b/>
                <w:color w:val="auto"/>
                <w:szCs w:val="24"/>
                <w:lang w:val="en-US" w:eastAsia="zh-CN"/>
              </w:rPr>
              <w:t>3、现有挤压生产线工艺分析</w:t>
            </w:r>
            <w:bookmarkEnd w:id="49"/>
          </w:p>
          <w:p w14:paraId="0DA5AF9E">
            <w:pPr>
              <w:numPr>
                <w:ilvl w:val="0"/>
                <w:numId w:val="0"/>
              </w:numPr>
              <w:adjustRightInd w:val="0"/>
              <w:snapToGrid w:val="0"/>
              <w:ind w:firstLine="480" w:firstLineChars="200"/>
              <w:outlineLvl w:val="0"/>
              <w:rPr>
                <w:rFonts w:hint="eastAsia" w:cs="Times New Roman"/>
                <w:color w:val="auto"/>
                <w:lang w:val="en-US" w:eastAsia="zh-CN"/>
              </w:rPr>
            </w:pPr>
            <w:bookmarkStart w:id="50" w:name="_Toc16361"/>
            <w:r>
              <w:rPr>
                <w:rFonts w:hint="eastAsia" w:cs="Times New Roman"/>
                <w:color w:val="auto"/>
                <w:lang w:val="en-US" w:eastAsia="zh-CN"/>
              </w:rPr>
              <w:t>本项目铝原料来源于</w:t>
            </w:r>
            <w:r>
              <w:rPr>
                <w:rFonts w:hint="default" w:ascii="Times New Roman" w:hAnsi="Times New Roman" w:eastAsia="宋体" w:cs="Times New Roman"/>
                <w:color w:val="auto"/>
                <w:lang w:val="en-US" w:eastAsia="zh-CN"/>
              </w:rPr>
              <w:t>现有</w:t>
            </w:r>
            <w:r>
              <w:rPr>
                <w:rFonts w:hint="eastAsia" w:cs="Times New Roman"/>
                <w:color w:val="auto"/>
                <w:lang w:val="en-US" w:eastAsia="zh-CN"/>
              </w:rPr>
              <w:t>“500万件轨道交通及新能源汽车配件扩规项目”</w:t>
            </w:r>
            <w:r>
              <w:rPr>
                <w:rFonts w:hint="default" w:ascii="Times New Roman" w:hAnsi="Times New Roman" w:eastAsia="宋体" w:cs="Times New Roman"/>
                <w:color w:val="auto"/>
                <w:lang w:val="en-US" w:eastAsia="zh-CN"/>
              </w:rPr>
              <w:t>挤压生产线</w:t>
            </w:r>
            <w:r>
              <w:rPr>
                <w:rFonts w:hint="eastAsia" w:cs="Times New Roman"/>
                <w:color w:val="auto"/>
                <w:lang w:val="en-US" w:eastAsia="zh-CN"/>
              </w:rPr>
              <w:t>的剪切及锯切料头，</w:t>
            </w:r>
            <w:r>
              <w:rPr>
                <w:rFonts w:hint="default" w:ascii="Times New Roman" w:hAnsi="Times New Roman" w:eastAsia="宋体" w:cs="Times New Roman"/>
                <w:color w:val="auto"/>
                <w:lang w:val="en-US" w:eastAsia="zh-CN"/>
              </w:rPr>
              <w:t>挤压</w:t>
            </w:r>
            <w:r>
              <w:rPr>
                <w:rFonts w:hint="eastAsia" w:cs="Times New Roman"/>
                <w:color w:val="auto"/>
                <w:lang w:val="en-US" w:eastAsia="zh-CN"/>
              </w:rPr>
              <w:t>工艺流程及</w:t>
            </w:r>
            <w:r>
              <w:rPr>
                <w:rFonts w:hint="default" w:ascii="Times New Roman" w:hAnsi="Times New Roman" w:eastAsia="宋体" w:cs="Times New Roman"/>
                <w:color w:val="auto"/>
                <w:lang w:val="en-US" w:eastAsia="zh-CN"/>
              </w:rPr>
              <w:t>污染物产生情况</w:t>
            </w:r>
            <w:r>
              <w:rPr>
                <w:rFonts w:hint="eastAsia" w:cs="Times New Roman"/>
                <w:color w:val="auto"/>
                <w:lang w:val="en-US" w:eastAsia="zh-CN"/>
              </w:rPr>
              <w:t>如下。</w:t>
            </w:r>
            <w:bookmarkEnd w:id="50"/>
          </w:p>
          <w:p w14:paraId="1A852314">
            <w:pPr>
              <w:jc w:val="center"/>
              <w:rPr>
                <w:rFonts w:hint="eastAsia" w:ascii="Times New Roman" w:hAnsi="Times New Roman" w:eastAsia="宋体" w:cs="Times New Roman"/>
                <w:color w:val="auto"/>
                <w:szCs w:val="24"/>
                <w:lang w:val="en-US" w:eastAsia="zh-CN"/>
              </w:rPr>
            </w:pPr>
            <w:r>
              <w:rPr>
                <w:color w:val="auto"/>
              </w:rPr>
              <w:drawing>
                <wp:inline distT="0" distB="0" distL="114300" distR="114300">
                  <wp:extent cx="3956685" cy="2346325"/>
                  <wp:effectExtent l="0" t="0" r="5715" b="15875"/>
                  <wp:docPr id="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
                          <pic:cNvPicPr>
                            <a:picLocks noChangeAspect="1"/>
                          </pic:cNvPicPr>
                        </pic:nvPicPr>
                        <pic:blipFill>
                          <a:blip r:embed="rId16"/>
                          <a:stretch>
                            <a:fillRect/>
                          </a:stretch>
                        </pic:blipFill>
                        <pic:spPr>
                          <a:xfrm>
                            <a:off x="0" y="0"/>
                            <a:ext cx="3956685" cy="2346325"/>
                          </a:xfrm>
                          <a:prstGeom prst="rect">
                            <a:avLst/>
                          </a:prstGeom>
                          <a:noFill/>
                          <a:ln>
                            <a:noFill/>
                          </a:ln>
                        </pic:spPr>
                      </pic:pic>
                    </a:graphicData>
                  </a:graphic>
                </wp:inline>
              </w:drawing>
            </w:r>
          </w:p>
          <w:p w14:paraId="018E1420">
            <w:pPr>
              <w:jc w:val="center"/>
              <w:rPr>
                <w:rFonts w:hint="default" w:ascii="Times New Roman" w:hAnsi="Times New Roman" w:eastAsia="宋体" w:cs="Times New Roman"/>
                <w:color w:val="auto"/>
                <w:szCs w:val="24"/>
                <w:lang w:val="en-US" w:eastAsia="zh-CN"/>
              </w:rPr>
            </w:pPr>
            <w:r>
              <w:rPr>
                <w:rFonts w:hint="eastAsia" w:ascii="黑体" w:hAnsi="黑体" w:eastAsia="黑体" w:cs="Times New Roman"/>
                <w:color w:val="auto"/>
                <w:szCs w:val="24"/>
                <w:lang w:val="en-US" w:eastAsia="zh-CN"/>
              </w:rPr>
              <w:t>图</w:t>
            </w:r>
            <w:r>
              <w:rPr>
                <w:rFonts w:hint="default" w:ascii="Times New Roman" w:hAnsi="Times New Roman" w:eastAsia="黑体" w:cs="Times New Roman"/>
                <w:color w:val="auto"/>
                <w:szCs w:val="24"/>
                <w:lang w:val="en-US" w:eastAsia="zh-CN"/>
              </w:rPr>
              <w:t>2-</w:t>
            </w:r>
            <w:r>
              <w:rPr>
                <w:rFonts w:hint="eastAsia" w:eastAsia="黑体" w:cs="Times New Roman"/>
                <w:color w:val="auto"/>
                <w:szCs w:val="24"/>
                <w:lang w:val="en-US" w:eastAsia="zh-CN"/>
              </w:rPr>
              <w:t>1</w:t>
            </w:r>
            <w:r>
              <w:rPr>
                <w:rFonts w:hint="default" w:ascii="Times New Roman" w:hAnsi="Times New Roman" w:eastAsia="黑体" w:cs="Times New Roman"/>
                <w:color w:val="auto"/>
                <w:szCs w:val="24"/>
                <w:lang w:val="en-US" w:eastAsia="zh-CN"/>
              </w:rPr>
              <w:t xml:space="preserve"> </w:t>
            </w:r>
            <w:r>
              <w:rPr>
                <w:rFonts w:hint="eastAsia" w:ascii="黑体" w:hAnsi="黑体" w:eastAsia="黑体" w:cs="Times New Roman"/>
                <w:color w:val="auto"/>
                <w:szCs w:val="24"/>
                <w:lang w:val="en-US" w:eastAsia="zh-CN"/>
              </w:rPr>
              <w:t xml:space="preserve"> 现有</w:t>
            </w:r>
            <w:r>
              <w:rPr>
                <w:rFonts w:hint="default" w:ascii="黑体" w:hAnsi="黑体" w:eastAsia="黑体" w:cs="Times New Roman"/>
                <w:color w:val="auto"/>
                <w:szCs w:val="24"/>
                <w:lang w:val="en-US" w:eastAsia="zh-CN"/>
              </w:rPr>
              <w:t>项目挤压生产线</w:t>
            </w:r>
            <w:r>
              <w:rPr>
                <w:rFonts w:hint="eastAsia" w:ascii="黑体" w:hAnsi="黑体" w:eastAsia="黑体" w:cs="Times New Roman"/>
                <w:color w:val="auto"/>
                <w:szCs w:val="24"/>
                <w:lang w:val="en-US" w:eastAsia="zh-CN"/>
              </w:rPr>
              <w:t>工艺流程</w:t>
            </w:r>
          </w:p>
          <w:p w14:paraId="6CA67DBF">
            <w:pPr>
              <w:numPr>
                <w:ilvl w:val="0"/>
                <w:numId w:val="26"/>
              </w:numPr>
              <w:adjustRightInd w:val="0"/>
              <w:snapToGrid w:val="0"/>
              <w:ind w:firstLine="480" w:firstLineChars="200"/>
              <w:outlineLvl w:val="0"/>
              <w:rPr>
                <w:rFonts w:hint="eastAsia" w:cs="Times New Roman"/>
                <w:color w:val="auto"/>
                <w:lang w:val="en-US" w:eastAsia="zh-CN"/>
              </w:rPr>
            </w:pPr>
            <w:r>
              <w:rPr>
                <w:rFonts w:hint="eastAsia" w:cs="Times New Roman"/>
                <w:color w:val="auto"/>
                <w:lang w:val="en-US" w:eastAsia="zh-CN"/>
              </w:rPr>
              <w:t>铝棒加热：铝棒挤压前首先要加热模具及铝棒。将模具放入模具加热炉(电加热)内通过间接加热至400-550</w:t>
            </w:r>
            <w:r>
              <w:rPr>
                <w:rFonts w:hint="default" w:ascii="Times New Roman" w:hAnsi="Times New Roman" w:cs="Times New Roman"/>
                <w:color w:val="auto"/>
                <w:lang w:val="en-US" w:eastAsia="zh-CN"/>
              </w:rPr>
              <w:t>℃</w:t>
            </w:r>
            <w:r>
              <w:rPr>
                <w:rFonts w:hint="eastAsia" w:cs="Times New Roman"/>
                <w:color w:val="auto"/>
                <w:lang w:val="en-US" w:eastAsia="zh-CN"/>
              </w:rPr>
              <w:t>，并保温2h后才可使用，模具加热炉为挤压机附属设备。铝棒加热温度为500~550</w:t>
            </w:r>
            <w:r>
              <w:rPr>
                <w:rFonts w:hint="default" w:ascii="Times New Roman" w:hAnsi="Times New Roman" w:cs="Times New Roman"/>
                <w:color w:val="auto"/>
                <w:lang w:val="en-US" w:eastAsia="zh-CN"/>
              </w:rPr>
              <w:t>℃</w:t>
            </w:r>
            <w:r>
              <w:rPr>
                <w:rFonts w:hint="eastAsia" w:cs="Times New Roman"/>
                <w:color w:val="auto"/>
                <w:lang w:val="en-US" w:eastAsia="zh-CN"/>
              </w:rPr>
              <w:t>。模具加热炉采用电加热，铝棒加热炉采用天然气为燃料。该工序主要污染环节：铝棒加热炉燃烧天然气产生的废气G1-1。</w:t>
            </w:r>
          </w:p>
          <w:p w14:paraId="3EA09E59">
            <w:pPr>
              <w:numPr>
                <w:ilvl w:val="0"/>
                <w:numId w:val="26"/>
              </w:numPr>
              <w:adjustRightInd w:val="0"/>
              <w:snapToGrid w:val="0"/>
              <w:ind w:firstLine="480" w:firstLineChars="200"/>
              <w:outlineLv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定型后热剪切</w:t>
            </w:r>
            <w:r>
              <w:rPr>
                <w:rFonts w:hint="eastAsia" w:cs="Times New Roman"/>
                <w:color w:val="auto"/>
                <w:lang w:val="en-US" w:eastAsia="zh-CN"/>
              </w:rPr>
              <w:t>：</w:t>
            </w:r>
            <w:r>
              <w:rPr>
                <w:rFonts w:hint="default" w:ascii="Times New Roman" w:hAnsi="Times New Roman" w:eastAsia="宋体" w:cs="Times New Roman"/>
                <w:color w:val="auto"/>
                <w:lang w:val="en-US" w:eastAsia="zh-CN"/>
              </w:rPr>
              <w:t>加热好的铝棒需趁热用铝棒加热炉自带的热剪机进行热剪，以达到挤压工序所需的铝棒长度。</w:t>
            </w:r>
          </w:p>
          <w:p w14:paraId="595E0605">
            <w:pPr>
              <w:numPr>
                <w:ilvl w:val="0"/>
                <w:numId w:val="26"/>
              </w:numPr>
              <w:adjustRightInd w:val="0"/>
              <w:snapToGrid w:val="0"/>
              <w:ind w:firstLine="480" w:firstLineChars="200"/>
              <w:outlineLv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挤压</w:t>
            </w:r>
            <w:r>
              <w:rPr>
                <w:rFonts w:hint="eastAsia" w:cs="Times New Roman"/>
                <w:color w:val="auto"/>
                <w:lang w:val="en-US" w:eastAsia="zh-CN"/>
              </w:rPr>
              <w:t>：</w:t>
            </w:r>
            <w:r>
              <w:rPr>
                <w:rFonts w:hint="default" w:ascii="Times New Roman" w:hAnsi="Times New Roman" w:eastAsia="宋体" w:cs="Times New Roman"/>
                <w:color w:val="auto"/>
                <w:lang w:val="en-US" w:eastAsia="zh-CN"/>
              </w:rPr>
              <w:t>将热剪好的铝棒送挤压机进行挤压，挤压过程要严格控制挤压温度和挤压速度。此工序主要产生机械噪音N1。</w:t>
            </w:r>
          </w:p>
          <w:p w14:paraId="388E730B">
            <w:pPr>
              <w:numPr>
                <w:ilvl w:val="0"/>
                <w:numId w:val="26"/>
              </w:numPr>
              <w:adjustRightInd w:val="0"/>
              <w:snapToGrid w:val="0"/>
              <w:ind w:firstLine="480" w:firstLineChars="200"/>
              <w:outlineLv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风冷淬火</w:t>
            </w:r>
            <w:r>
              <w:rPr>
                <w:rFonts w:hint="eastAsia" w:cs="Times New Roman"/>
                <w:color w:val="auto"/>
                <w:lang w:val="en-US" w:eastAsia="zh-CN"/>
              </w:rPr>
              <w:t>：</w:t>
            </w:r>
            <w:r>
              <w:rPr>
                <w:rFonts w:hint="default" w:ascii="Times New Roman" w:hAnsi="Times New Roman" w:eastAsia="宋体" w:cs="Times New Roman"/>
                <w:color w:val="auto"/>
                <w:lang w:val="en-US" w:eastAsia="zh-CN"/>
              </w:rPr>
              <w:t>为了将在高温下固溶于机体金属中的Mg</w:t>
            </w:r>
            <w:r>
              <w:rPr>
                <w:rFonts w:hint="default" w:ascii="Times New Roman" w:hAnsi="Times New Roman" w:eastAsia="宋体" w:cs="Times New Roman"/>
                <w:color w:val="auto"/>
                <w:vertAlign w:val="subscript"/>
                <w:lang w:val="en-US" w:eastAsia="zh-CN"/>
              </w:rPr>
              <w:t>2</w:t>
            </w:r>
            <w:r>
              <w:rPr>
                <w:rFonts w:hint="default" w:ascii="Times New Roman" w:hAnsi="Times New Roman" w:eastAsia="宋体" w:cs="Times New Roman"/>
                <w:color w:val="auto"/>
                <w:lang w:val="en-US" w:eastAsia="zh-CN"/>
              </w:rPr>
              <w:t>Si流出模孔后经过快速冷却到室温而被保留下来，冷却速度和强化程度成正比，通过改变风机和风扇转数可以改变冷却强度，使型材张力矫正前温度降至260℃。</w:t>
            </w:r>
          </w:p>
          <w:p w14:paraId="0297713E">
            <w:pPr>
              <w:numPr>
                <w:ilvl w:val="0"/>
                <w:numId w:val="26"/>
              </w:numPr>
              <w:adjustRightInd w:val="0"/>
              <w:snapToGrid w:val="0"/>
              <w:ind w:firstLine="480" w:firstLineChars="200"/>
              <w:outlineLv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拉伸矫正</w:t>
            </w:r>
            <w:r>
              <w:rPr>
                <w:rFonts w:hint="eastAsia" w:cs="Times New Roman"/>
                <w:color w:val="auto"/>
                <w:lang w:val="en-US" w:eastAsia="zh-CN"/>
              </w:rPr>
              <w:t>：</w:t>
            </w:r>
            <w:r>
              <w:rPr>
                <w:rFonts w:hint="default" w:ascii="Times New Roman" w:hAnsi="Times New Roman" w:eastAsia="宋体" w:cs="Times New Roman"/>
                <w:color w:val="auto"/>
                <w:lang w:val="en-US" w:eastAsia="zh-CN"/>
              </w:rPr>
              <w:t>型材出模孔后，利用三头牵引机进行牵引，三头牵引机工作时给型材一定的牵引张力，与型材流出速度同步移动。张力矫正除了可以消除型材纵向形状的不整齐外还可以消除其残余应力，提高强度特性并保持其良好的表面。该工段无废气、废水及固废产生。</w:t>
            </w:r>
          </w:p>
          <w:p w14:paraId="262274C1">
            <w:pPr>
              <w:numPr>
                <w:ilvl w:val="0"/>
                <w:numId w:val="26"/>
              </w:numPr>
              <w:adjustRightInd w:val="0"/>
              <w:snapToGrid w:val="0"/>
              <w:ind w:firstLine="480" w:firstLineChars="200"/>
              <w:outlineLv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锯切</w:t>
            </w:r>
            <w:r>
              <w:rPr>
                <w:rFonts w:hint="eastAsia" w:cs="Times New Roman"/>
                <w:color w:val="auto"/>
                <w:lang w:val="en-US" w:eastAsia="zh-CN"/>
              </w:rPr>
              <w:t>：</w:t>
            </w:r>
            <w:r>
              <w:rPr>
                <w:rFonts w:hint="default" w:ascii="Times New Roman" w:hAnsi="Times New Roman" w:eastAsia="宋体" w:cs="Times New Roman"/>
                <w:color w:val="auto"/>
                <w:lang w:val="en-US" w:eastAsia="zh-CN"/>
              </w:rPr>
              <w:t>经张力矫正的型材需在1450T机冷床上自然冷却，用型材锯切机进行定尺锯切，以获得符合规格要求的半成品。此工序无废气、废水、固废产生。</w:t>
            </w:r>
          </w:p>
          <w:p w14:paraId="07E0FB4E">
            <w:pPr>
              <w:numPr>
                <w:ilvl w:val="0"/>
                <w:numId w:val="26"/>
              </w:numPr>
              <w:adjustRightInd w:val="0"/>
              <w:snapToGrid w:val="0"/>
              <w:ind w:firstLine="480" w:firstLineChars="200"/>
              <w:outlineLv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时效</w:t>
            </w:r>
            <w:r>
              <w:rPr>
                <w:rFonts w:hint="eastAsia" w:cs="Times New Roman"/>
                <w:color w:val="auto"/>
                <w:lang w:val="en-US" w:eastAsia="zh-CN"/>
              </w:rPr>
              <w:t>：</w:t>
            </w:r>
            <w:r>
              <w:rPr>
                <w:rFonts w:hint="default" w:ascii="Times New Roman" w:hAnsi="Times New Roman" w:eastAsia="宋体" w:cs="Times New Roman"/>
                <w:color w:val="auto"/>
                <w:lang w:val="en-US" w:eastAsia="zh-CN"/>
              </w:rPr>
              <w:t>其主要目的为增加合金强度和硬度。检验合格后的型材经采用天然气为燃料的时效炉间接加热至170~200℃温度下保温1~3h，从而达到时效处理的效果。此工序主要污染物为时效炉燃烧天然气产生的废气G1-2。</w:t>
            </w:r>
          </w:p>
          <w:p w14:paraId="58963021">
            <w:pPr>
              <w:adjustRightInd w:val="0"/>
              <w:snapToGrid w:val="0"/>
              <w:outlineLvl w:val="0"/>
              <w:rPr>
                <w:rFonts w:hint="default" w:eastAsia="宋体"/>
                <w:b/>
                <w:color w:val="auto"/>
                <w:szCs w:val="24"/>
                <w:lang w:val="en-US" w:eastAsia="zh-CN"/>
              </w:rPr>
            </w:pPr>
            <w:bookmarkStart w:id="51" w:name="_Toc27173"/>
            <w:r>
              <w:rPr>
                <w:rFonts w:hint="eastAsia"/>
                <w:b/>
                <w:color w:val="auto"/>
                <w:szCs w:val="24"/>
                <w:lang w:val="en-US" w:eastAsia="zh-CN"/>
              </w:rPr>
              <w:t>4</w:t>
            </w:r>
            <w:r>
              <w:rPr>
                <w:rFonts w:hint="eastAsia"/>
                <w:b/>
                <w:color w:val="auto"/>
                <w:szCs w:val="24"/>
              </w:rPr>
              <w:t>、</w:t>
            </w:r>
            <w:r>
              <w:rPr>
                <w:rFonts w:hint="eastAsia"/>
                <w:b/>
                <w:color w:val="auto"/>
                <w:szCs w:val="24"/>
                <w:lang w:val="en-US" w:eastAsia="zh-CN"/>
              </w:rPr>
              <w:t>已建项目达标排放情况</w:t>
            </w:r>
            <w:bookmarkEnd w:id="51"/>
          </w:p>
          <w:p w14:paraId="2454C5D4">
            <w:pPr>
              <w:ind w:firstLine="480" w:firstLineChars="200"/>
              <w:rPr>
                <w:rFonts w:hint="eastAsia"/>
                <w:color w:val="auto"/>
                <w:lang w:val="en-US" w:eastAsia="zh-CN"/>
              </w:rPr>
            </w:pPr>
            <w:r>
              <w:rPr>
                <w:rFonts w:hint="eastAsia"/>
                <w:color w:val="auto"/>
                <w:lang w:val="en-US" w:eastAsia="zh-CN"/>
              </w:rPr>
              <w:t>（1）废水</w:t>
            </w:r>
          </w:p>
          <w:p w14:paraId="24E00B7F">
            <w:pPr>
              <w:ind w:firstLine="480" w:firstLineChars="200"/>
              <w:rPr>
                <w:rFonts w:hint="eastAsia"/>
                <w:color w:val="auto"/>
                <w:lang w:val="en-US" w:eastAsia="zh-CN"/>
              </w:rPr>
            </w:pPr>
            <w:r>
              <w:rPr>
                <w:rFonts w:hint="eastAsia"/>
                <w:color w:val="auto"/>
                <w:lang w:val="en-US" w:eastAsia="zh-CN"/>
              </w:rPr>
              <w:t>现有项目产生的废水主要有生产废水和生活污水。具体产生情况如下：</w:t>
            </w:r>
          </w:p>
          <w:p w14:paraId="056693F6">
            <w:pPr>
              <w:ind w:firstLine="480" w:firstLineChars="200"/>
              <w:rPr>
                <w:rFonts w:hint="eastAsia"/>
                <w:color w:val="auto"/>
                <w:lang w:val="en-US" w:eastAsia="zh-CN"/>
              </w:rPr>
            </w:pPr>
            <w:r>
              <w:rPr>
                <w:rFonts w:hint="eastAsia"/>
                <w:color w:val="auto"/>
                <w:lang w:val="en-US" w:eastAsia="zh-CN"/>
              </w:rPr>
              <w:t>生产废水主要是酸洗、三酸、碱蚀、酸洗中和、阳极氧化、着色和封孔水洗及其槽液减量废水、冷却循环排水、纯水制备废水以及酸碱雾处理废水，各种工序水洗及其槽液减量废水经分别收集预处理后与酸碱雾处理废水共同经“Fenton氧化+中和沉淀”处理后进入厂区总排口，通过总排口进入园区污水管网，纳入集中区第一污水处理厂。冷却循环排水、纯水制备废水以及经化粪池预处理后的生活污水直接通过总排口进入园区污水管网。参考</w:t>
            </w:r>
            <w:r>
              <w:rPr>
                <w:rFonts w:hint="eastAsia"/>
                <w:b w:val="0"/>
                <w:bCs w:val="0"/>
                <w:color w:val="auto"/>
                <w:lang w:val="en-US" w:eastAsia="zh-CN"/>
              </w:rPr>
              <w:t>池州市安安新材料科技股份有限公司2025年3月常规检测报告，检测时间2025年3月5日，检测机构为安徽池云检测有限公司</w:t>
            </w:r>
            <w:r>
              <w:rPr>
                <w:rFonts w:hint="eastAsia"/>
                <w:color w:val="auto"/>
                <w:lang w:val="en-US" w:eastAsia="zh-CN"/>
              </w:rPr>
              <w:t>，池州市安安新材料科技股份有限公司废水总排口的悬浮物、五日生化需氧量、氨氮、总磷、氟化物、石油类、总铝均能达到江南产业集中区第一污水处理厂接管标准。</w:t>
            </w:r>
          </w:p>
          <w:p w14:paraId="7C292162">
            <w:pPr>
              <w:numPr>
                <w:ilvl w:val="0"/>
                <w:numId w:val="0"/>
              </w:numPr>
              <w:bidi w:val="0"/>
              <w:jc w:val="center"/>
              <w:rPr>
                <w:rFonts w:hint="default"/>
                <w:color w:val="auto"/>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14</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现有工程废水监测数据</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2"/>
              <w:gridCol w:w="1812"/>
              <w:gridCol w:w="1812"/>
              <w:gridCol w:w="1812"/>
              <w:gridCol w:w="1812"/>
            </w:tblGrid>
            <w:tr w14:paraId="3E218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2" w:type="dxa"/>
                  <w:vAlign w:val="center"/>
                </w:tcPr>
                <w:p w14:paraId="273FA7C5">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监测点位</w:t>
                  </w:r>
                </w:p>
              </w:tc>
              <w:tc>
                <w:tcPr>
                  <w:tcW w:w="1812" w:type="dxa"/>
                  <w:vAlign w:val="center"/>
                </w:tcPr>
                <w:p w14:paraId="01C47EF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监测指标</w:t>
                  </w:r>
                </w:p>
              </w:tc>
              <w:tc>
                <w:tcPr>
                  <w:tcW w:w="1812" w:type="dxa"/>
                  <w:vAlign w:val="center"/>
                </w:tcPr>
                <w:p w14:paraId="379DA3E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浓度（mg/L）</w:t>
                  </w:r>
                </w:p>
              </w:tc>
              <w:tc>
                <w:tcPr>
                  <w:tcW w:w="1812" w:type="dxa"/>
                  <w:vAlign w:val="center"/>
                </w:tcPr>
                <w:p w14:paraId="26643CF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评价标准（mg/L）</w:t>
                  </w:r>
                </w:p>
              </w:tc>
              <w:tc>
                <w:tcPr>
                  <w:tcW w:w="1812" w:type="dxa"/>
                  <w:vAlign w:val="center"/>
                </w:tcPr>
                <w:p w14:paraId="1254EB0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达标情况</w:t>
                  </w:r>
                </w:p>
              </w:tc>
            </w:tr>
            <w:tr w14:paraId="7106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812" w:type="dxa"/>
                  <w:vMerge w:val="restart"/>
                  <w:vAlign w:val="center"/>
                </w:tcPr>
                <w:p w14:paraId="6B1B3F5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废水总排口（2025.3.5）</w:t>
                  </w:r>
                </w:p>
              </w:tc>
              <w:tc>
                <w:tcPr>
                  <w:tcW w:w="1812" w:type="dxa"/>
                  <w:vMerge w:val="restart"/>
                  <w:vAlign w:val="center"/>
                </w:tcPr>
                <w:p w14:paraId="7ABAA03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悬浮物</w:t>
                  </w:r>
                </w:p>
              </w:tc>
              <w:tc>
                <w:tcPr>
                  <w:tcW w:w="1812" w:type="dxa"/>
                  <w:vAlign w:val="center"/>
                </w:tcPr>
                <w:p w14:paraId="2978C18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26</w:t>
                  </w:r>
                </w:p>
              </w:tc>
              <w:tc>
                <w:tcPr>
                  <w:tcW w:w="1812" w:type="dxa"/>
                  <w:vMerge w:val="restart"/>
                  <w:vAlign w:val="center"/>
                </w:tcPr>
                <w:p w14:paraId="3978A0F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400</w:t>
                  </w:r>
                </w:p>
              </w:tc>
              <w:tc>
                <w:tcPr>
                  <w:tcW w:w="1812" w:type="dxa"/>
                  <w:vAlign w:val="center"/>
                </w:tcPr>
                <w:p w14:paraId="510CFB5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40E8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812" w:type="dxa"/>
                  <w:vMerge w:val="continue"/>
                  <w:vAlign w:val="center"/>
                </w:tcPr>
                <w:p w14:paraId="5D4EF567">
                  <w:pPr>
                    <w:widowControl/>
                    <w:spacing w:line="240" w:lineRule="auto"/>
                    <w:jc w:val="center"/>
                    <w:textAlignment w:val="center"/>
                    <w:rPr>
                      <w:rFonts w:hint="eastAsia" w:cs="宋体"/>
                      <w:color w:val="auto"/>
                      <w:kern w:val="0"/>
                      <w:sz w:val="18"/>
                      <w:szCs w:val="18"/>
                      <w:lang w:val="en-US" w:eastAsia="zh-CN" w:bidi="ar"/>
                    </w:rPr>
                  </w:pPr>
                </w:p>
              </w:tc>
              <w:tc>
                <w:tcPr>
                  <w:tcW w:w="1812" w:type="dxa"/>
                  <w:vMerge w:val="continue"/>
                  <w:vAlign w:val="center"/>
                </w:tcPr>
                <w:p w14:paraId="2A227C20">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1EE16D3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28</w:t>
                  </w:r>
                </w:p>
              </w:tc>
              <w:tc>
                <w:tcPr>
                  <w:tcW w:w="1812" w:type="dxa"/>
                  <w:vMerge w:val="continue"/>
                  <w:vAlign w:val="center"/>
                </w:tcPr>
                <w:p w14:paraId="6DD3F534">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E6F4E0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727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812" w:type="dxa"/>
                  <w:vMerge w:val="continue"/>
                  <w:vAlign w:val="center"/>
                </w:tcPr>
                <w:p w14:paraId="4FE689B6">
                  <w:pPr>
                    <w:widowControl/>
                    <w:spacing w:line="240" w:lineRule="auto"/>
                    <w:jc w:val="center"/>
                    <w:textAlignment w:val="center"/>
                    <w:rPr>
                      <w:rFonts w:hint="eastAsia" w:cs="宋体"/>
                      <w:color w:val="auto"/>
                      <w:kern w:val="0"/>
                      <w:sz w:val="18"/>
                      <w:szCs w:val="18"/>
                      <w:lang w:val="en-US" w:eastAsia="zh-CN" w:bidi="ar"/>
                    </w:rPr>
                  </w:pPr>
                </w:p>
              </w:tc>
              <w:tc>
                <w:tcPr>
                  <w:tcW w:w="1812" w:type="dxa"/>
                  <w:vMerge w:val="continue"/>
                  <w:vAlign w:val="center"/>
                </w:tcPr>
                <w:p w14:paraId="42BC1519">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09CC1A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812" w:type="dxa"/>
                  <w:vMerge w:val="continue"/>
                  <w:vAlign w:val="center"/>
                </w:tcPr>
                <w:p w14:paraId="45FE212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66ECB8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0B1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812" w:type="dxa"/>
                  <w:vMerge w:val="continue"/>
                  <w:vAlign w:val="center"/>
                </w:tcPr>
                <w:p w14:paraId="56C2CD2C">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7CBAD20B">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五日生化需氧量</w:t>
                  </w:r>
                </w:p>
              </w:tc>
              <w:tc>
                <w:tcPr>
                  <w:tcW w:w="1812" w:type="dxa"/>
                  <w:vAlign w:val="center"/>
                </w:tcPr>
                <w:p w14:paraId="7C6419A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13.5</w:t>
                  </w:r>
                </w:p>
              </w:tc>
              <w:tc>
                <w:tcPr>
                  <w:tcW w:w="1812" w:type="dxa"/>
                  <w:vMerge w:val="restart"/>
                  <w:vAlign w:val="center"/>
                </w:tcPr>
                <w:p w14:paraId="09CC084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300</w:t>
                  </w:r>
                </w:p>
              </w:tc>
              <w:tc>
                <w:tcPr>
                  <w:tcW w:w="1812" w:type="dxa"/>
                  <w:vAlign w:val="center"/>
                </w:tcPr>
                <w:p w14:paraId="765FFAD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0F06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812" w:type="dxa"/>
                  <w:vMerge w:val="continue"/>
                  <w:vAlign w:val="center"/>
                </w:tcPr>
                <w:p w14:paraId="60226EAA">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47C49EB9">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A5364D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25.8</w:t>
                  </w:r>
                </w:p>
              </w:tc>
              <w:tc>
                <w:tcPr>
                  <w:tcW w:w="1812" w:type="dxa"/>
                  <w:vMerge w:val="continue"/>
                  <w:vAlign w:val="center"/>
                </w:tcPr>
                <w:p w14:paraId="130E5AFB">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4C80B1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3B3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12" w:type="dxa"/>
                  <w:vMerge w:val="continue"/>
                  <w:vAlign w:val="center"/>
                </w:tcPr>
                <w:p w14:paraId="21D32C72">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49D0C678">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8A1A46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42.1</w:t>
                  </w:r>
                </w:p>
              </w:tc>
              <w:tc>
                <w:tcPr>
                  <w:tcW w:w="1812" w:type="dxa"/>
                  <w:vMerge w:val="continue"/>
                  <w:vAlign w:val="center"/>
                </w:tcPr>
                <w:p w14:paraId="1F158B1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87B97C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A34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812" w:type="dxa"/>
                  <w:vMerge w:val="continue"/>
                  <w:vAlign w:val="center"/>
                </w:tcPr>
                <w:p w14:paraId="3F7C39AE">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187D312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氟化物</w:t>
                  </w:r>
                </w:p>
              </w:tc>
              <w:tc>
                <w:tcPr>
                  <w:tcW w:w="1812" w:type="dxa"/>
                  <w:vAlign w:val="center"/>
                </w:tcPr>
                <w:p w14:paraId="40C4FA2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0.83</w:t>
                  </w:r>
                </w:p>
              </w:tc>
              <w:tc>
                <w:tcPr>
                  <w:tcW w:w="1812" w:type="dxa"/>
                  <w:vMerge w:val="restart"/>
                  <w:vAlign w:val="center"/>
                </w:tcPr>
                <w:p w14:paraId="670311B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w:t>
                  </w:r>
                </w:p>
              </w:tc>
              <w:tc>
                <w:tcPr>
                  <w:tcW w:w="1812" w:type="dxa"/>
                  <w:vAlign w:val="center"/>
                </w:tcPr>
                <w:p w14:paraId="2AD114D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A93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812" w:type="dxa"/>
                  <w:vMerge w:val="continue"/>
                  <w:vAlign w:val="center"/>
                </w:tcPr>
                <w:p w14:paraId="1FC58E82">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675DB422">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204837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0.99</w:t>
                  </w:r>
                </w:p>
              </w:tc>
              <w:tc>
                <w:tcPr>
                  <w:tcW w:w="1812" w:type="dxa"/>
                  <w:vMerge w:val="continue"/>
                  <w:vAlign w:val="center"/>
                </w:tcPr>
                <w:p w14:paraId="74A71797">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095E9DD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283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812" w:type="dxa"/>
                  <w:vMerge w:val="continue"/>
                  <w:vAlign w:val="center"/>
                </w:tcPr>
                <w:p w14:paraId="656D6F8E">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3DFF1C88">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4B0142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0.89</w:t>
                  </w:r>
                </w:p>
              </w:tc>
              <w:tc>
                <w:tcPr>
                  <w:tcW w:w="1812" w:type="dxa"/>
                  <w:vMerge w:val="continue"/>
                  <w:vAlign w:val="center"/>
                </w:tcPr>
                <w:p w14:paraId="7493B9C9">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310DDF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381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812" w:type="dxa"/>
                  <w:vMerge w:val="continue"/>
                  <w:vAlign w:val="center"/>
                </w:tcPr>
                <w:p w14:paraId="04BC2925">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14D98E6C">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氨氮</w:t>
                  </w:r>
                </w:p>
              </w:tc>
              <w:tc>
                <w:tcPr>
                  <w:tcW w:w="1812" w:type="dxa"/>
                  <w:vAlign w:val="center"/>
                </w:tcPr>
                <w:p w14:paraId="215241B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5.44</w:t>
                  </w:r>
                </w:p>
              </w:tc>
              <w:tc>
                <w:tcPr>
                  <w:tcW w:w="1812" w:type="dxa"/>
                  <w:vMerge w:val="restart"/>
                  <w:vAlign w:val="center"/>
                </w:tcPr>
                <w:p w14:paraId="0EE2A82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35</w:t>
                  </w:r>
                </w:p>
              </w:tc>
              <w:tc>
                <w:tcPr>
                  <w:tcW w:w="1812" w:type="dxa"/>
                  <w:vAlign w:val="center"/>
                </w:tcPr>
                <w:p w14:paraId="46D6B9C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5EF4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812" w:type="dxa"/>
                  <w:vMerge w:val="continue"/>
                  <w:vAlign w:val="center"/>
                </w:tcPr>
                <w:p w14:paraId="5DA66CF8">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4A62527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0DFD04A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8.42</w:t>
                  </w:r>
                </w:p>
              </w:tc>
              <w:tc>
                <w:tcPr>
                  <w:tcW w:w="1812" w:type="dxa"/>
                  <w:vMerge w:val="continue"/>
                  <w:vAlign w:val="center"/>
                </w:tcPr>
                <w:p w14:paraId="717DE215">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4C6799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0DD0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812" w:type="dxa"/>
                  <w:vMerge w:val="continue"/>
                  <w:vAlign w:val="center"/>
                </w:tcPr>
                <w:p w14:paraId="1C0C2697">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41B7BD1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4D27F42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11.1</w:t>
                  </w:r>
                </w:p>
              </w:tc>
              <w:tc>
                <w:tcPr>
                  <w:tcW w:w="1812" w:type="dxa"/>
                  <w:vMerge w:val="continue"/>
                  <w:vAlign w:val="center"/>
                </w:tcPr>
                <w:p w14:paraId="6AE1690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2FC1773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179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812" w:type="dxa"/>
                  <w:vMerge w:val="continue"/>
                  <w:vAlign w:val="center"/>
                </w:tcPr>
                <w:p w14:paraId="40535101">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63488BE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总磷</w:t>
                  </w:r>
                </w:p>
              </w:tc>
              <w:tc>
                <w:tcPr>
                  <w:tcW w:w="1812" w:type="dxa"/>
                  <w:vAlign w:val="center"/>
                </w:tcPr>
                <w:p w14:paraId="2C808CE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0.47</w:t>
                  </w:r>
                </w:p>
              </w:tc>
              <w:tc>
                <w:tcPr>
                  <w:tcW w:w="1812" w:type="dxa"/>
                  <w:vMerge w:val="restart"/>
                  <w:vAlign w:val="center"/>
                </w:tcPr>
                <w:p w14:paraId="0F7E34D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5</w:t>
                  </w:r>
                </w:p>
              </w:tc>
              <w:tc>
                <w:tcPr>
                  <w:tcW w:w="1812" w:type="dxa"/>
                  <w:vAlign w:val="center"/>
                </w:tcPr>
                <w:p w14:paraId="38B91B5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5D3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812" w:type="dxa"/>
                  <w:vMerge w:val="continue"/>
                  <w:vAlign w:val="center"/>
                </w:tcPr>
                <w:p w14:paraId="10A5C31D">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0F793CA8">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5CF6321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0.27</w:t>
                  </w:r>
                </w:p>
              </w:tc>
              <w:tc>
                <w:tcPr>
                  <w:tcW w:w="1812" w:type="dxa"/>
                  <w:vMerge w:val="continue"/>
                  <w:vAlign w:val="center"/>
                </w:tcPr>
                <w:p w14:paraId="120499B9">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0B2E87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B18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812" w:type="dxa"/>
                  <w:vMerge w:val="continue"/>
                  <w:vAlign w:val="center"/>
                </w:tcPr>
                <w:p w14:paraId="01987844">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16905D0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1ACD1A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0.40</w:t>
                  </w:r>
                </w:p>
              </w:tc>
              <w:tc>
                <w:tcPr>
                  <w:tcW w:w="1812" w:type="dxa"/>
                  <w:vMerge w:val="continue"/>
                  <w:vAlign w:val="center"/>
                </w:tcPr>
                <w:p w14:paraId="644092AA">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2F0D311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2AA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812" w:type="dxa"/>
                  <w:vMerge w:val="continue"/>
                  <w:vAlign w:val="center"/>
                </w:tcPr>
                <w:p w14:paraId="510DDAD3">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2374EFC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石油类</w:t>
                  </w:r>
                </w:p>
              </w:tc>
              <w:tc>
                <w:tcPr>
                  <w:tcW w:w="1812" w:type="dxa"/>
                  <w:vAlign w:val="center"/>
                </w:tcPr>
                <w:p w14:paraId="03561BC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0.08</w:t>
                  </w:r>
                </w:p>
              </w:tc>
              <w:tc>
                <w:tcPr>
                  <w:tcW w:w="1812" w:type="dxa"/>
                  <w:vMerge w:val="restart"/>
                  <w:vAlign w:val="center"/>
                </w:tcPr>
                <w:p w14:paraId="568B964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w:t>
                  </w:r>
                </w:p>
              </w:tc>
              <w:tc>
                <w:tcPr>
                  <w:tcW w:w="1812" w:type="dxa"/>
                  <w:vAlign w:val="center"/>
                </w:tcPr>
                <w:p w14:paraId="2BEF0F2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5DDD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812" w:type="dxa"/>
                  <w:vMerge w:val="continue"/>
                  <w:vAlign w:val="center"/>
                </w:tcPr>
                <w:p w14:paraId="45B4845E">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21552815">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5C45F38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0.06</w:t>
                  </w:r>
                </w:p>
              </w:tc>
              <w:tc>
                <w:tcPr>
                  <w:tcW w:w="1812" w:type="dxa"/>
                  <w:vMerge w:val="continue"/>
                  <w:vAlign w:val="center"/>
                </w:tcPr>
                <w:p w14:paraId="0A6B61CA">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0C70628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D30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812" w:type="dxa"/>
                  <w:vMerge w:val="continue"/>
                  <w:vAlign w:val="center"/>
                </w:tcPr>
                <w:p w14:paraId="442CA1F5">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00E39270">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D1E871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&lt;0.06</w:t>
                  </w:r>
                </w:p>
              </w:tc>
              <w:tc>
                <w:tcPr>
                  <w:tcW w:w="1812" w:type="dxa"/>
                  <w:vMerge w:val="continue"/>
                  <w:vAlign w:val="center"/>
                </w:tcPr>
                <w:p w14:paraId="713F8BEF">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2FE09EE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D14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812" w:type="dxa"/>
                  <w:vMerge w:val="continue"/>
                  <w:vAlign w:val="center"/>
                </w:tcPr>
                <w:p w14:paraId="53E2D05D">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5B164B6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总铝</w:t>
                  </w:r>
                </w:p>
              </w:tc>
              <w:tc>
                <w:tcPr>
                  <w:tcW w:w="1812" w:type="dxa"/>
                  <w:vAlign w:val="center"/>
                </w:tcPr>
                <w:p w14:paraId="4108315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0.679</w:t>
                  </w:r>
                </w:p>
              </w:tc>
              <w:tc>
                <w:tcPr>
                  <w:tcW w:w="1812" w:type="dxa"/>
                  <w:vMerge w:val="restart"/>
                  <w:vAlign w:val="center"/>
                </w:tcPr>
                <w:p w14:paraId="7CA9469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w:t>
                  </w:r>
                </w:p>
              </w:tc>
              <w:tc>
                <w:tcPr>
                  <w:tcW w:w="1812" w:type="dxa"/>
                  <w:shd w:val="clear" w:color="auto" w:fill="auto"/>
                  <w:vAlign w:val="center"/>
                </w:tcPr>
                <w:p w14:paraId="2EF1B405">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5F4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812" w:type="dxa"/>
                  <w:vMerge w:val="continue"/>
                  <w:vAlign w:val="center"/>
                </w:tcPr>
                <w:p w14:paraId="7D3E7AF1">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7A0545D9">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2E24EF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0.628</w:t>
                  </w:r>
                </w:p>
              </w:tc>
              <w:tc>
                <w:tcPr>
                  <w:tcW w:w="1812" w:type="dxa"/>
                  <w:vMerge w:val="continue"/>
                  <w:vAlign w:val="center"/>
                </w:tcPr>
                <w:p w14:paraId="75014FBC">
                  <w:pPr>
                    <w:widowControl/>
                    <w:spacing w:line="240" w:lineRule="auto"/>
                    <w:jc w:val="center"/>
                    <w:textAlignment w:val="center"/>
                    <w:rPr>
                      <w:rFonts w:hint="default" w:cs="宋体"/>
                      <w:color w:val="auto"/>
                      <w:kern w:val="0"/>
                      <w:sz w:val="18"/>
                      <w:szCs w:val="18"/>
                      <w:lang w:val="en-US" w:eastAsia="zh-CN" w:bidi="ar"/>
                    </w:rPr>
                  </w:pPr>
                </w:p>
              </w:tc>
              <w:tc>
                <w:tcPr>
                  <w:tcW w:w="1812" w:type="dxa"/>
                  <w:shd w:val="clear" w:color="auto" w:fill="auto"/>
                  <w:vAlign w:val="center"/>
                </w:tcPr>
                <w:p w14:paraId="24BF8240">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376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812" w:type="dxa"/>
                  <w:vMerge w:val="continue"/>
                  <w:vAlign w:val="center"/>
                </w:tcPr>
                <w:p w14:paraId="4549AB82">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26A759FC">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4FF1557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0.644</w:t>
                  </w:r>
                </w:p>
              </w:tc>
              <w:tc>
                <w:tcPr>
                  <w:tcW w:w="1812" w:type="dxa"/>
                  <w:vMerge w:val="continue"/>
                  <w:vAlign w:val="center"/>
                </w:tcPr>
                <w:p w14:paraId="76594D2E">
                  <w:pPr>
                    <w:widowControl/>
                    <w:spacing w:line="240" w:lineRule="auto"/>
                    <w:jc w:val="center"/>
                    <w:textAlignment w:val="center"/>
                    <w:rPr>
                      <w:rFonts w:hint="default" w:cs="宋体"/>
                      <w:color w:val="auto"/>
                      <w:kern w:val="0"/>
                      <w:sz w:val="18"/>
                      <w:szCs w:val="18"/>
                      <w:lang w:val="en-US" w:eastAsia="zh-CN" w:bidi="ar"/>
                    </w:rPr>
                  </w:pPr>
                </w:p>
              </w:tc>
              <w:tc>
                <w:tcPr>
                  <w:tcW w:w="1812" w:type="dxa"/>
                  <w:shd w:val="clear" w:color="auto" w:fill="auto"/>
                  <w:vAlign w:val="center"/>
                </w:tcPr>
                <w:p w14:paraId="1D3B7F2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达标</w:t>
                  </w:r>
                </w:p>
              </w:tc>
            </w:tr>
          </w:tbl>
          <w:p w14:paraId="78D1B8F6">
            <w:pPr>
              <w:ind w:firstLine="480" w:firstLineChars="200"/>
              <w:rPr>
                <w:rFonts w:hint="default"/>
                <w:b w:val="0"/>
                <w:bCs w:val="0"/>
                <w:color w:val="auto"/>
                <w:lang w:val="en-US" w:eastAsia="zh-CN"/>
              </w:rPr>
            </w:pPr>
            <w:r>
              <w:rPr>
                <w:rFonts w:hint="eastAsia"/>
                <w:color w:val="auto"/>
                <w:lang w:val="en-US" w:eastAsia="zh-CN"/>
              </w:rPr>
              <w:t>在线监测数据参考</w:t>
            </w:r>
            <w:r>
              <w:rPr>
                <w:rFonts w:hint="eastAsia"/>
                <w:b w:val="0"/>
                <w:bCs w:val="0"/>
                <w:color w:val="auto"/>
                <w:lang w:val="en-US" w:eastAsia="zh-CN"/>
              </w:rPr>
              <w:t>池州市安安新材料科技股份有限公司2025年2月~4月在线监测设备上报实时数据，</w:t>
            </w:r>
            <w:r>
              <w:rPr>
                <w:rFonts w:hint="eastAsia"/>
                <w:color w:val="auto"/>
                <w:lang w:val="en-US" w:eastAsia="zh-CN"/>
              </w:rPr>
              <w:t>池州市安安新材料科技股份有限公司废水总排口的pH值及CODcr均能达到江南产业集中区第一污水处理厂接管标准。</w:t>
            </w:r>
          </w:p>
          <w:p w14:paraId="71765B73">
            <w:pPr>
              <w:ind w:firstLine="480" w:firstLineChars="200"/>
              <w:jc w:val="center"/>
              <w:rPr>
                <w:rFonts w:hint="eastAsia" w:ascii="黑体" w:hAnsi="黑体" w:eastAsia="黑体"/>
                <w:color w:val="auto"/>
                <w:szCs w:val="24"/>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15</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现有工程废水在线监测数据</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1320"/>
              <w:gridCol w:w="1714"/>
              <w:gridCol w:w="1731"/>
              <w:gridCol w:w="1499"/>
              <w:gridCol w:w="1812"/>
            </w:tblGrid>
            <w:tr w14:paraId="5272F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4" w:type="dxa"/>
                  <w:vAlign w:val="center"/>
                </w:tcPr>
                <w:p w14:paraId="6D06208C">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监测点位</w:t>
                  </w:r>
                </w:p>
              </w:tc>
              <w:tc>
                <w:tcPr>
                  <w:tcW w:w="1320" w:type="dxa"/>
                  <w:vAlign w:val="center"/>
                </w:tcPr>
                <w:p w14:paraId="4BCEB20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监测指标</w:t>
                  </w:r>
                </w:p>
              </w:tc>
              <w:tc>
                <w:tcPr>
                  <w:tcW w:w="1714" w:type="dxa"/>
                  <w:vAlign w:val="center"/>
                </w:tcPr>
                <w:p w14:paraId="3EA0AC4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检测时间</w:t>
                  </w:r>
                </w:p>
              </w:tc>
              <w:tc>
                <w:tcPr>
                  <w:tcW w:w="1731" w:type="dxa"/>
                  <w:vAlign w:val="center"/>
                </w:tcPr>
                <w:p w14:paraId="37C555E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平均浓度（mg/L）</w:t>
                  </w:r>
                </w:p>
              </w:tc>
              <w:tc>
                <w:tcPr>
                  <w:tcW w:w="1499" w:type="dxa"/>
                  <w:vAlign w:val="center"/>
                </w:tcPr>
                <w:p w14:paraId="3F62AD1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评价标准（mg/L）</w:t>
                  </w:r>
                </w:p>
              </w:tc>
              <w:tc>
                <w:tcPr>
                  <w:tcW w:w="1812" w:type="dxa"/>
                  <w:vAlign w:val="center"/>
                </w:tcPr>
                <w:p w14:paraId="3AC13F7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达标情况</w:t>
                  </w:r>
                </w:p>
              </w:tc>
            </w:tr>
            <w:tr w14:paraId="4B2C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984" w:type="dxa"/>
                  <w:vMerge w:val="restart"/>
                  <w:vAlign w:val="center"/>
                </w:tcPr>
                <w:p w14:paraId="3121CFB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废水总排口</w:t>
                  </w:r>
                </w:p>
              </w:tc>
              <w:tc>
                <w:tcPr>
                  <w:tcW w:w="1320" w:type="dxa"/>
                  <w:vMerge w:val="restart"/>
                  <w:vAlign w:val="center"/>
                </w:tcPr>
                <w:p w14:paraId="0E06685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pH</w:t>
                  </w:r>
                </w:p>
              </w:tc>
              <w:tc>
                <w:tcPr>
                  <w:tcW w:w="1714" w:type="dxa"/>
                  <w:vAlign w:val="center"/>
                </w:tcPr>
                <w:p w14:paraId="128ADF4A">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2025.2</w:t>
                  </w:r>
                </w:p>
              </w:tc>
              <w:tc>
                <w:tcPr>
                  <w:tcW w:w="1731" w:type="dxa"/>
                  <w:vAlign w:val="center"/>
                </w:tcPr>
                <w:p w14:paraId="19C65BE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7.65</w:t>
                  </w:r>
                </w:p>
              </w:tc>
              <w:tc>
                <w:tcPr>
                  <w:tcW w:w="1499" w:type="dxa"/>
                  <w:vMerge w:val="restart"/>
                  <w:vAlign w:val="center"/>
                </w:tcPr>
                <w:p w14:paraId="056BBA1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6~9</w:t>
                  </w:r>
                </w:p>
              </w:tc>
              <w:tc>
                <w:tcPr>
                  <w:tcW w:w="1812" w:type="dxa"/>
                  <w:vAlign w:val="center"/>
                </w:tcPr>
                <w:p w14:paraId="0345486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220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984" w:type="dxa"/>
                  <w:vMerge w:val="continue"/>
                  <w:vAlign w:val="center"/>
                </w:tcPr>
                <w:p w14:paraId="2672D0F6">
                  <w:pPr>
                    <w:widowControl/>
                    <w:spacing w:line="240" w:lineRule="auto"/>
                    <w:jc w:val="center"/>
                    <w:textAlignment w:val="center"/>
                    <w:rPr>
                      <w:rFonts w:hint="eastAsia" w:cs="宋体"/>
                      <w:color w:val="auto"/>
                      <w:kern w:val="0"/>
                      <w:sz w:val="18"/>
                      <w:szCs w:val="18"/>
                      <w:lang w:val="en-US" w:eastAsia="zh-CN" w:bidi="ar"/>
                    </w:rPr>
                  </w:pPr>
                </w:p>
              </w:tc>
              <w:tc>
                <w:tcPr>
                  <w:tcW w:w="1320" w:type="dxa"/>
                  <w:vMerge w:val="continue"/>
                  <w:vAlign w:val="center"/>
                </w:tcPr>
                <w:p w14:paraId="7E385D31">
                  <w:pPr>
                    <w:widowControl/>
                    <w:spacing w:line="240" w:lineRule="auto"/>
                    <w:jc w:val="center"/>
                    <w:textAlignment w:val="center"/>
                    <w:rPr>
                      <w:rFonts w:hint="default" w:cs="宋体"/>
                      <w:color w:val="auto"/>
                      <w:kern w:val="0"/>
                      <w:sz w:val="18"/>
                      <w:szCs w:val="18"/>
                      <w:lang w:val="en-US" w:eastAsia="zh-CN" w:bidi="ar"/>
                    </w:rPr>
                  </w:pPr>
                </w:p>
              </w:tc>
              <w:tc>
                <w:tcPr>
                  <w:tcW w:w="1714" w:type="dxa"/>
                  <w:vAlign w:val="center"/>
                </w:tcPr>
                <w:p w14:paraId="15238F7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w:t>
                  </w:r>
                </w:p>
              </w:tc>
              <w:tc>
                <w:tcPr>
                  <w:tcW w:w="1731" w:type="dxa"/>
                  <w:vAlign w:val="center"/>
                </w:tcPr>
                <w:p w14:paraId="6BE9050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7.63</w:t>
                  </w:r>
                </w:p>
              </w:tc>
              <w:tc>
                <w:tcPr>
                  <w:tcW w:w="1499" w:type="dxa"/>
                  <w:vMerge w:val="continue"/>
                  <w:vAlign w:val="center"/>
                </w:tcPr>
                <w:p w14:paraId="300F70F2">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55ACFEE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7DE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984" w:type="dxa"/>
                  <w:vMerge w:val="continue"/>
                  <w:vAlign w:val="center"/>
                </w:tcPr>
                <w:p w14:paraId="2FDD09DF">
                  <w:pPr>
                    <w:widowControl/>
                    <w:spacing w:line="240" w:lineRule="auto"/>
                    <w:jc w:val="center"/>
                    <w:textAlignment w:val="center"/>
                    <w:rPr>
                      <w:rFonts w:hint="eastAsia" w:cs="宋体"/>
                      <w:color w:val="auto"/>
                      <w:kern w:val="0"/>
                      <w:sz w:val="18"/>
                      <w:szCs w:val="18"/>
                      <w:lang w:val="en-US" w:eastAsia="zh-CN" w:bidi="ar"/>
                    </w:rPr>
                  </w:pPr>
                </w:p>
              </w:tc>
              <w:tc>
                <w:tcPr>
                  <w:tcW w:w="1320" w:type="dxa"/>
                  <w:vMerge w:val="continue"/>
                  <w:vAlign w:val="center"/>
                </w:tcPr>
                <w:p w14:paraId="56235E15">
                  <w:pPr>
                    <w:widowControl/>
                    <w:spacing w:line="240" w:lineRule="auto"/>
                    <w:jc w:val="center"/>
                    <w:textAlignment w:val="center"/>
                    <w:rPr>
                      <w:rFonts w:hint="default" w:cs="宋体"/>
                      <w:color w:val="auto"/>
                      <w:kern w:val="0"/>
                      <w:sz w:val="18"/>
                      <w:szCs w:val="18"/>
                      <w:lang w:val="en-US" w:eastAsia="zh-CN" w:bidi="ar"/>
                    </w:rPr>
                  </w:pPr>
                </w:p>
              </w:tc>
              <w:tc>
                <w:tcPr>
                  <w:tcW w:w="1714" w:type="dxa"/>
                  <w:vAlign w:val="center"/>
                </w:tcPr>
                <w:p w14:paraId="715CF0A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2025.4</w:t>
                  </w:r>
                </w:p>
              </w:tc>
              <w:tc>
                <w:tcPr>
                  <w:tcW w:w="1731" w:type="dxa"/>
                  <w:vAlign w:val="center"/>
                </w:tcPr>
                <w:p w14:paraId="0F140E3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7.44</w:t>
                  </w:r>
                </w:p>
              </w:tc>
              <w:tc>
                <w:tcPr>
                  <w:tcW w:w="1499" w:type="dxa"/>
                  <w:vMerge w:val="continue"/>
                  <w:vAlign w:val="center"/>
                </w:tcPr>
                <w:p w14:paraId="52CB90EB">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27F60F7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182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84" w:type="dxa"/>
                  <w:vMerge w:val="continue"/>
                  <w:vAlign w:val="center"/>
                </w:tcPr>
                <w:p w14:paraId="526FA01C">
                  <w:pPr>
                    <w:widowControl/>
                    <w:spacing w:line="240" w:lineRule="auto"/>
                    <w:jc w:val="center"/>
                    <w:textAlignment w:val="center"/>
                    <w:rPr>
                      <w:rFonts w:hint="default" w:cs="宋体"/>
                      <w:color w:val="auto"/>
                      <w:kern w:val="0"/>
                      <w:sz w:val="18"/>
                      <w:szCs w:val="18"/>
                      <w:lang w:val="en-US" w:eastAsia="zh-CN" w:bidi="ar"/>
                    </w:rPr>
                  </w:pPr>
                </w:p>
              </w:tc>
              <w:tc>
                <w:tcPr>
                  <w:tcW w:w="1320" w:type="dxa"/>
                  <w:vMerge w:val="restart"/>
                  <w:vAlign w:val="center"/>
                </w:tcPr>
                <w:p w14:paraId="15A96CB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CODcr</w:t>
                  </w:r>
                </w:p>
              </w:tc>
              <w:tc>
                <w:tcPr>
                  <w:tcW w:w="1714" w:type="dxa"/>
                  <w:shd w:val="clear" w:color="auto" w:fill="auto"/>
                  <w:vAlign w:val="center"/>
                </w:tcPr>
                <w:p w14:paraId="2363388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2025.2</w:t>
                  </w:r>
                </w:p>
              </w:tc>
              <w:tc>
                <w:tcPr>
                  <w:tcW w:w="1731" w:type="dxa"/>
                  <w:vAlign w:val="center"/>
                </w:tcPr>
                <w:p w14:paraId="25EF948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20.5</w:t>
                  </w:r>
                </w:p>
              </w:tc>
              <w:tc>
                <w:tcPr>
                  <w:tcW w:w="1499" w:type="dxa"/>
                  <w:vMerge w:val="restart"/>
                  <w:vAlign w:val="center"/>
                </w:tcPr>
                <w:p w14:paraId="24B4EE1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300</w:t>
                  </w:r>
                </w:p>
              </w:tc>
              <w:tc>
                <w:tcPr>
                  <w:tcW w:w="1812" w:type="dxa"/>
                  <w:vAlign w:val="center"/>
                </w:tcPr>
                <w:p w14:paraId="5119165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16D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984" w:type="dxa"/>
                  <w:vMerge w:val="continue"/>
                  <w:vAlign w:val="center"/>
                </w:tcPr>
                <w:p w14:paraId="18F4B55A">
                  <w:pPr>
                    <w:widowControl/>
                    <w:spacing w:line="240" w:lineRule="auto"/>
                    <w:jc w:val="center"/>
                    <w:textAlignment w:val="center"/>
                    <w:rPr>
                      <w:rFonts w:hint="default" w:cs="宋体"/>
                      <w:color w:val="auto"/>
                      <w:kern w:val="0"/>
                      <w:sz w:val="18"/>
                      <w:szCs w:val="18"/>
                      <w:lang w:val="en-US" w:eastAsia="zh-CN" w:bidi="ar"/>
                    </w:rPr>
                  </w:pPr>
                </w:p>
              </w:tc>
              <w:tc>
                <w:tcPr>
                  <w:tcW w:w="1320" w:type="dxa"/>
                  <w:vMerge w:val="continue"/>
                  <w:vAlign w:val="center"/>
                </w:tcPr>
                <w:p w14:paraId="66DF84B4">
                  <w:pPr>
                    <w:widowControl/>
                    <w:spacing w:line="240" w:lineRule="auto"/>
                    <w:jc w:val="center"/>
                    <w:textAlignment w:val="center"/>
                    <w:rPr>
                      <w:rFonts w:hint="default" w:cs="宋体"/>
                      <w:color w:val="auto"/>
                      <w:kern w:val="0"/>
                      <w:sz w:val="18"/>
                      <w:szCs w:val="18"/>
                      <w:lang w:val="en-US" w:eastAsia="zh-CN" w:bidi="ar"/>
                    </w:rPr>
                  </w:pPr>
                </w:p>
              </w:tc>
              <w:tc>
                <w:tcPr>
                  <w:tcW w:w="1714" w:type="dxa"/>
                  <w:shd w:val="clear" w:color="auto" w:fill="auto"/>
                  <w:vAlign w:val="center"/>
                </w:tcPr>
                <w:p w14:paraId="65FE1C14">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2025.3</w:t>
                  </w:r>
                </w:p>
              </w:tc>
              <w:tc>
                <w:tcPr>
                  <w:tcW w:w="1731" w:type="dxa"/>
                  <w:vAlign w:val="center"/>
                </w:tcPr>
                <w:p w14:paraId="29CD06B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38.4</w:t>
                  </w:r>
                </w:p>
              </w:tc>
              <w:tc>
                <w:tcPr>
                  <w:tcW w:w="1499" w:type="dxa"/>
                  <w:vMerge w:val="continue"/>
                  <w:vAlign w:val="center"/>
                </w:tcPr>
                <w:p w14:paraId="4B93B1C7">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45C2111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4F8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4" w:type="dxa"/>
                  <w:vMerge w:val="continue"/>
                  <w:vAlign w:val="center"/>
                </w:tcPr>
                <w:p w14:paraId="119E2A8A">
                  <w:pPr>
                    <w:widowControl/>
                    <w:spacing w:line="240" w:lineRule="auto"/>
                    <w:jc w:val="center"/>
                    <w:textAlignment w:val="center"/>
                    <w:rPr>
                      <w:rFonts w:hint="default" w:cs="宋体"/>
                      <w:color w:val="auto"/>
                      <w:kern w:val="0"/>
                      <w:sz w:val="18"/>
                      <w:szCs w:val="18"/>
                      <w:lang w:val="en-US" w:eastAsia="zh-CN" w:bidi="ar"/>
                    </w:rPr>
                  </w:pPr>
                </w:p>
              </w:tc>
              <w:tc>
                <w:tcPr>
                  <w:tcW w:w="1320" w:type="dxa"/>
                  <w:vMerge w:val="continue"/>
                  <w:vAlign w:val="center"/>
                </w:tcPr>
                <w:p w14:paraId="3FB56714">
                  <w:pPr>
                    <w:widowControl/>
                    <w:spacing w:line="240" w:lineRule="auto"/>
                    <w:jc w:val="center"/>
                    <w:textAlignment w:val="center"/>
                    <w:rPr>
                      <w:rFonts w:hint="default" w:cs="宋体"/>
                      <w:color w:val="auto"/>
                      <w:kern w:val="0"/>
                      <w:sz w:val="18"/>
                      <w:szCs w:val="18"/>
                      <w:lang w:val="en-US" w:eastAsia="zh-CN" w:bidi="ar"/>
                    </w:rPr>
                  </w:pPr>
                </w:p>
              </w:tc>
              <w:tc>
                <w:tcPr>
                  <w:tcW w:w="1714" w:type="dxa"/>
                  <w:shd w:val="clear" w:color="auto" w:fill="auto"/>
                  <w:vAlign w:val="center"/>
                </w:tcPr>
                <w:p w14:paraId="0CF6911C">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2025.4</w:t>
                  </w:r>
                </w:p>
              </w:tc>
              <w:tc>
                <w:tcPr>
                  <w:tcW w:w="1731" w:type="dxa"/>
                  <w:vAlign w:val="center"/>
                </w:tcPr>
                <w:p w14:paraId="2366A96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25.7</w:t>
                  </w:r>
                </w:p>
              </w:tc>
              <w:tc>
                <w:tcPr>
                  <w:tcW w:w="1499" w:type="dxa"/>
                  <w:vMerge w:val="continue"/>
                  <w:vAlign w:val="center"/>
                </w:tcPr>
                <w:p w14:paraId="24C9DF1B">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C992F6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bl>
          <w:p w14:paraId="4AE58ED5">
            <w:pPr>
              <w:ind w:firstLine="480" w:firstLineChars="200"/>
              <w:rPr>
                <w:rFonts w:hint="eastAsia"/>
                <w:color w:val="auto"/>
                <w:lang w:val="en-US" w:eastAsia="zh-CN"/>
              </w:rPr>
            </w:pPr>
            <w:r>
              <w:rPr>
                <w:rFonts w:hint="eastAsia"/>
                <w:color w:val="auto"/>
                <w:lang w:val="en-US" w:eastAsia="zh-CN"/>
              </w:rPr>
              <w:t>（2）废气</w:t>
            </w:r>
          </w:p>
          <w:p w14:paraId="653542AD">
            <w:pPr>
              <w:ind w:firstLine="480" w:firstLineChars="200"/>
              <w:rPr>
                <w:rFonts w:hint="default"/>
                <w:b w:val="0"/>
                <w:bCs w:val="0"/>
                <w:color w:val="auto"/>
                <w:lang w:val="en-US" w:eastAsia="zh-CN"/>
              </w:rPr>
            </w:pPr>
            <w:r>
              <w:rPr>
                <w:rFonts w:hint="eastAsia"/>
                <w:b w:val="0"/>
                <w:bCs w:val="0"/>
                <w:color w:val="auto"/>
                <w:lang w:val="en-US" w:eastAsia="zh-CN"/>
              </w:rPr>
              <w:t>现有项目产生的废气主要是氧化电泳过程中产生的有组织和无组织废气，根据池州市安安新材料科技股份有限公司2025年3月常规检测报告，检测时间2025年3月4日~2025年3月12日，检测机构为安徽池云检测有限公司，有组织废气监测数据如下。</w:t>
            </w:r>
          </w:p>
          <w:p w14:paraId="6EF4D1B3">
            <w:pPr>
              <w:ind w:firstLine="480" w:firstLineChars="200"/>
              <w:jc w:val="center"/>
              <w:rPr>
                <w:rFonts w:hint="default"/>
                <w:color w:val="auto"/>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16</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已建工程有组织废气监测数据</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1085"/>
              <w:gridCol w:w="923"/>
              <w:gridCol w:w="1477"/>
              <w:gridCol w:w="1096"/>
              <w:gridCol w:w="1327"/>
              <w:gridCol w:w="877"/>
              <w:gridCol w:w="1196"/>
            </w:tblGrid>
            <w:tr w14:paraId="6459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vAlign w:val="center"/>
                </w:tcPr>
                <w:p w14:paraId="3BF04C4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监测</w:t>
                  </w:r>
                  <w:r>
                    <w:rPr>
                      <w:rFonts w:hint="eastAsia" w:cs="宋体"/>
                      <w:color w:val="auto"/>
                      <w:kern w:val="0"/>
                      <w:sz w:val="18"/>
                      <w:szCs w:val="18"/>
                      <w:lang w:val="en-US" w:eastAsia="zh-CN" w:bidi="ar"/>
                    </w:rPr>
                    <w:t>时间</w:t>
                  </w:r>
                </w:p>
              </w:tc>
              <w:tc>
                <w:tcPr>
                  <w:tcW w:w="1085" w:type="dxa"/>
                  <w:vAlign w:val="center"/>
                </w:tcPr>
                <w:p w14:paraId="3344E33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监测位置</w:t>
                  </w:r>
                </w:p>
              </w:tc>
              <w:tc>
                <w:tcPr>
                  <w:tcW w:w="923" w:type="dxa"/>
                  <w:vAlign w:val="center"/>
                </w:tcPr>
                <w:p w14:paraId="746470B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监测项目</w:t>
                  </w:r>
                </w:p>
              </w:tc>
              <w:tc>
                <w:tcPr>
                  <w:tcW w:w="1477" w:type="dxa"/>
                  <w:vAlign w:val="center"/>
                </w:tcPr>
                <w:p w14:paraId="603DD75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样品编号</w:t>
                  </w:r>
                </w:p>
              </w:tc>
              <w:tc>
                <w:tcPr>
                  <w:tcW w:w="1096" w:type="dxa"/>
                  <w:vAlign w:val="center"/>
                </w:tcPr>
                <w:p w14:paraId="5B516B3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流量（Nm³/h）</w:t>
                  </w:r>
                </w:p>
              </w:tc>
              <w:tc>
                <w:tcPr>
                  <w:tcW w:w="1327" w:type="dxa"/>
                  <w:vAlign w:val="center"/>
                </w:tcPr>
                <w:p w14:paraId="244E17A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排放浓度（mg/L）</w:t>
                  </w:r>
                </w:p>
              </w:tc>
              <w:tc>
                <w:tcPr>
                  <w:tcW w:w="877" w:type="dxa"/>
                  <w:vAlign w:val="center"/>
                </w:tcPr>
                <w:p w14:paraId="0C7CDE8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评价标准（mg/L）</w:t>
                  </w:r>
                </w:p>
              </w:tc>
              <w:tc>
                <w:tcPr>
                  <w:tcW w:w="1196" w:type="dxa"/>
                  <w:vAlign w:val="center"/>
                </w:tcPr>
                <w:p w14:paraId="18B0DE4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达标情况</w:t>
                  </w:r>
                </w:p>
              </w:tc>
            </w:tr>
            <w:tr w14:paraId="0CC9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079" w:type="dxa"/>
                  <w:vMerge w:val="restart"/>
                  <w:vAlign w:val="center"/>
                </w:tcPr>
                <w:p w14:paraId="693BA10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2025.3.4</w:t>
                  </w:r>
                </w:p>
              </w:tc>
              <w:tc>
                <w:tcPr>
                  <w:tcW w:w="1085" w:type="dxa"/>
                  <w:vMerge w:val="restart"/>
                  <w:vAlign w:val="center"/>
                </w:tcPr>
                <w:p w14:paraId="3FC1142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DA016 阳极氧化酸雾排放口1</w:t>
                  </w:r>
                </w:p>
              </w:tc>
              <w:tc>
                <w:tcPr>
                  <w:tcW w:w="923" w:type="dxa"/>
                  <w:vMerge w:val="restart"/>
                  <w:vAlign w:val="center"/>
                </w:tcPr>
                <w:p w14:paraId="2DF6DB4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477" w:type="dxa"/>
                  <w:vAlign w:val="center"/>
                </w:tcPr>
                <w:p w14:paraId="5F07B12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2025-Q-0304004</w:t>
                  </w:r>
                </w:p>
              </w:tc>
              <w:tc>
                <w:tcPr>
                  <w:tcW w:w="1096" w:type="dxa"/>
                  <w:vAlign w:val="center"/>
                </w:tcPr>
                <w:p w14:paraId="60CEC33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11717</w:t>
                  </w:r>
                </w:p>
              </w:tc>
              <w:tc>
                <w:tcPr>
                  <w:tcW w:w="1327" w:type="dxa"/>
                  <w:vAlign w:val="center"/>
                </w:tcPr>
                <w:p w14:paraId="1F32ECF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restart"/>
                  <w:vAlign w:val="center"/>
                </w:tcPr>
                <w:p w14:paraId="387499B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64D9FFF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4A3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079" w:type="dxa"/>
                  <w:vMerge w:val="continue"/>
                  <w:vAlign w:val="center"/>
                </w:tcPr>
                <w:p w14:paraId="4CEE2BA7">
                  <w:pPr>
                    <w:widowControl/>
                    <w:spacing w:line="240" w:lineRule="auto"/>
                    <w:jc w:val="center"/>
                    <w:textAlignment w:val="center"/>
                    <w:rPr>
                      <w:rFonts w:hint="eastAsia" w:cs="宋体"/>
                      <w:color w:val="auto"/>
                      <w:kern w:val="0"/>
                      <w:sz w:val="18"/>
                      <w:szCs w:val="18"/>
                      <w:lang w:val="en-US" w:eastAsia="zh-CN" w:bidi="ar"/>
                    </w:rPr>
                  </w:pPr>
                </w:p>
              </w:tc>
              <w:tc>
                <w:tcPr>
                  <w:tcW w:w="1085" w:type="dxa"/>
                  <w:vMerge w:val="continue"/>
                  <w:vAlign w:val="center"/>
                </w:tcPr>
                <w:p w14:paraId="40F60581">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276EB72">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8A4EA33">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2025-Q-030400</w:t>
                  </w:r>
                  <w:r>
                    <w:rPr>
                      <w:rFonts w:hint="eastAsia" w:cs="宋体"/>
                      <w:color w:val="auto"/>
                      <w:kern w:val="0"/>
                      <w:sz w:val="18"/>
                      <w:szCs w:val="18"/>
                      <w:lang w:val="en-US" w:eastAsia="zh-CN" w:bidi="ar"/>
                    </w:rPr>
                    <w:t>5</w:t>
                  </w:r>
                </w:p>
              </w:tc>
              <w:tc>
                <w:tcPr>
                  <w:tcW w:w="1096" w:type="dxa"/>
                  <w:vAlign w:val="center"/>
                </w:tcPr>
                <w:p w14:paraId="14FC5CC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11624</w:t>
                  </w:r>
                </w:p>
              </w:tc>
              <w:tc>
                <w:tcPr>
                  <w:tcW w:w="1327" w:type="dxa"/>
                  <w:vAlign w:val="center"/>
                </w:tcPr>
                <w:p w14:paraId="5CCBEAB5">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6E1FFCC2">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5359BC4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05FB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079" w:type="dxa"/>
                  <w:vMerge w:val="continue"/>
                  <w:vAlign w:val="center"/>
                </w:tcPr>
                <w:p w14:paraId="1FBED194">
                  <w:pPr>
                    <w:widowControl/>
                    <w:spacing w:line="240" w:lineRule="auto"/>
                    <w:jc w:val="center"/>
                    <w:textAlignment w:val="center"/>
                    <w:rPr>
                      <w:rFonts w:hint="eastAsia" w:cs="宋体"/>
                      <w:color w:val="auto"/>
                      <w:kern w:val="0"/>
                      <w:sz w:val="18"/>
                      <w:szCs w:val="18"/>
                      <w:lang w:val="en-US" w:eastAsia="zh-CN" w:bidi="ar"/>
                    </w:rPr>
                  </w:pPr>
                </w:p>
              </w:tc>
              <w:tc>
                <w:tcPr>
                  <w:tcW w:w="1085" w:type="dxa"/>
                  <w:vMerge w:val="continue"/>
                  <w:vAlign w:val="center"/>
                </w:tcPr>
                <w:p w14:paraId="7928CE46">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B33AAB2">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5A0B660F">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2025-Q-030400</w:t>
                  </w:r>
                  <w:r>
                    <w:rPr>
                      <w:rFonts w:hint="eastAsia" w:cs="宋体"/>
                      <w:color w:val="auto"/>
                      <w:kern w:val="0"/>
                      <w:sz w:val="18"/>
                      <w:szCs w:val="18"/>
                      <w:lang w:val="en-US" w:eastAsia="zh-CN" w:bidi="ar"/>
                    </w:rPr>
                    <w:t>6</w:t>
                  </w:r>
                </w:p>
              </w:tc>
              <w:tc>
                <w:tcPr>
                  <w:tcW w:w="1096" w:type="dxa"/>
                  <w:vAlign w:val="center"/>
                </w:tcPr>
                <w:p w14:paraId="2D18531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11617</w:t>
                  </w:r>
                </w:p>
              </w:tc>
              <w:tc>
                <w:tcPr>
                  <w:tcW w:w="1327" w:type="dxa"/>
                  <w:vAlign w:val="center"/>
                </w:tcPr>
                <w:p w14:paraId="5F22207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6B0D0144">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1C11F04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D68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079" w:type="dxa"/>
                  <w:vMerge w:val="continue"/>
                  <w:vAlign w:val="center"/>
                </w:tcPr>
                <w:p w14:paraId="41E9BB81">
                  <w:pPr>
                    <w:widowControl/>
                    <w:spacing w:line="240" w:lineRule="auto"/>
                    <w:jc w:val="center"/>
                    <w:textAlignment w:val="center"/>
                    <w:rPr>
                      <w:rFonts w:hint="default" w:cs="宋体"/>
                      <w:color w:val="auto"/>
                      <w:kern w:val="0"/>
                      <w:sz w:val="18"/>
                      <w:szCs w:val="18"/>
                      <w:lang w:val="en-US" w:eastAsia="zh-CN" w:bidi="ar"/>
                    </w:rPr>
                  </w:pPr>
                </w:p>
              </w:tc>
              <w:tc>
                <w:tcPr>
                  <w:tcW w:w="1085" w:type="dxa"/>
                  <w:vMerge w:val="restart"/>
                  <w:vAlign w:val="center"/>
                </w:tcPr>
                <w:p w14:paraId="1274C95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DA017 阳极氧化酸雾排放口2</w:t>
                  </w:r>
                </w:p>
              </w:tc>
              <w:tc>
                <w:tcPr>
                  <w:tcW w:w="923" w:type="dxa"/>
                  <w:vMerge w:val="restart"/>
                  <w:vAlign w:val="center"/>
                </w:tcPr>
                <w:p w14:paraId="08FC4A6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477" w:type="dxa"/>
                  <w:vAlign w:val="center"/>
                </w:tcPr>
                <w:p w14:paraId="463DE07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2025-Q-0304001</w:t>
                  </w:r>
                </w:p>
              </w:tc>
              <w:tc>
                <w:tcPr>
                  <w:tcW w:w="1096" w:type="dxa"/>
                  <w:shd w:val="clear" w:color="auto" w:fill="auto"/>
                  <w:vAlign w:val="center"/>
                </w:tcPr>
                <w:p w14:paraId="0CC9EF2F">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13954</w:t>
                  </w:r>
                </w:p>
              </w:tc>
              <w:tc>
                <w:tcPr>
                  <w:tcW w:w="1327" w:type="dxa"/>
                  <w:shd w:val="clear" w:color="auto" w:fill="auto"/>
                  <w:vAlign w:val="center"/>
                </w:tcPr>
                <w:p w14:paraId="7D72E9D0">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restart"/>
                  <w:vAlign w:val="center"/>
                </w:tcPr>
                <w:p w14:paraId="34723F7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54FF5C9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338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079" w:type="dxa"/>
                  <w:vMerge w:val="continue"/>
                  <w:vAlign w:val="center"/>
                </w:tcPr>
                <w:p w14:paraId="1F043C7D">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69337F4E">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515AC02E">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5639A06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2025-Q-030400</w:t>
                  </w:r>
                  <w:r>
                    <w:rPr>
                      <w:rFonts w:hint="eastAsia" w:cs="宋体"/>
                      <w:color w:val="auto"/>
                      <w:kern w:val="0"/>
                      <w:sz w:val="18"/>
                      <w:szCs w:val="18"/>
                      <w:lang w:val="en-US" w:eastAsia="zh-CN" w:bidi="ar"/>
                    </w:rPr>
                    <w:t>2</w:t>
                  </w:r>
                </w:p>
              </w:tc>
              <w:tc>
                <w:tcPr>
                  <w:tcW w:w="1096" w:type="dxa"/>
                  <w:shd w:val="clear" w:color="auto" w:fill="auto"/>
                  <w:vAlign w:val="center"/>
                </w:tcPr>
                <w:p w14:paraId="2BDE3DD5">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14239</w:t>
                  </w:r>
                </w:p>
              </w:tc>
              <w:tc>
                <w:tcPr>
                  <w:tcW w:w="1327" w:type="dxa"/>
                  <w:shd w:val="clear" w:color="auto" w:fill="auto"/>
                  <w:vAlign w:val="center"/>
                </w:tcPr>
                <w:p w14:paraId="4A879FE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39C123CB">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01A586B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D96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079" w:type="dxa"/>
                  <w:vMerge w:val="continue"/>
                  <w:vAlign w:val="center"/>
                </w:tcPr>
                <w:p w14:paraId="400BED3E">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4EC86A5">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6F797E19">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7D7116D5">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2025-Q-030400</w:t>
                  </w:r>
                  <w:r>
                    <w:rPr>
                      <w:rFonts w:hint="eastAsia" w:cs="宋体"/>
                      <w:color w:val="auto"/>
                      <w:kern w:val="0"/>
                      <w:sz w:val="18"/>
                      <w:szCs w:val="18"/>
                      <w:lang w:val="en-US" w:eastAsia="zh-CN" w:bidi="ar"/>
                    </w:rPr>
                    <w:t>3</w:t>
                  </w:r>
                </w:p>
              </w:tc>
              <w:tc>
                <w:tcPr>
                  <w:tcW w:w="1096" w:type="dxa"/>
                  <w:shd w:val="clear" w:color="auto" w:fill="auto"/>
                  <w:vAlign w:val="center"/>
                </w:tcPr>
                <w:p w14:paraId="416759D7">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14524</w:t>
                  </w:r>
                </w:p>
              </w:tc>
              <w:tc>
                <w:tcPr>
                  <w:tcW w:w="1327" w:type="dxa"/>
                  <w:shd w:val="clear" w:color="auto" w:fill="auto"/>
                  <w:vAlign w:val="center"/>
                </w:tcPr>
                <w:p w14:paraId="5D02B15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50B7E7D1">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7CC45C2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E18B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079" w:type="dxa"/>
                  <w:vMerge w:val="restart"/>
                  <w:vAlign w:val="center"/>
                </w:tcPr>
                <w:p w14:paraId="579F8C4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2025.3.5</w:t>
                  </w:r>
                </w:p>
              </w:tc>
              <w:tc>
                <w:tcPr>
                  <w:tcW w:w="1085" w:type="dxa"/>
                  <w:vMerge w:val="restart"/>
                  <w:vAlign w:val="center"/>
                </w:tcPr>
                <w:p w14:paraId="0462959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DA018 阳极氧化碱雾排放口1</w:t>
                  </w:r>
                </w:p>
              </w:tc>
              <w:tc>
                <w:tcPr>
                  <w:tcW w:w="923" w:type="dxa"/>
                  <w:vMerge w:val="restart"/>
                  <w:vAlign w:val="center"/>
                </w:tcPr>
                <w:p w14:paraId="26B9EC6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低浓度颗粒物</w:t>
                  </w:r>
                </w:p>
              </w:tc>
              <w:tc>
                <w:tcPr>
                  <w:tcW w:w="1477" w:type="dxa"/>
                  <w:vAlign w:val="center"/>
                </w:tcPr>
                <w:p w14:paraId="247683F8">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5010</w:t>
                  </w:r>
                </w:p>
              </w:tc>
              <w:tc>
                <w:tcPr>
                  <w:tcW w:w="1096" w:type="dxa"/>
                  <w:shd w:val="clear" w:color="auto" w:fill="auto"/>
                  <w:vAlign w:val="center"/>
                </w:tcPr>
                <w:p w14:paraId="2179857A">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41799</w:t>
                  </w:r>
                </w:p>
              </w:tc>
              <w:tc>
                <w:tcPr>
                  <w:tcW w:w="1327" w:type="dxa"/>
                  <w:shd w:val="clear" w:color="auto" w:fill="auto"/>
                  <w:vAlign w:val="center"/>
                </w:tcPr>
                <w:p w14:paraId="29669F7B">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4.6</w:t>
                  </w:r>
                </w:p>
              </w:tc>
              <w:tc>
                <w:tcPr>
                  <w:tcW w:w="877" w:type="dxa"/>
                  <w:vMerge w:val="restart"/>
                  <w:vAlign w:val="center"/>
                </w:tcPr>
                <w:p w14:paraId="208428A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w:t>
                  </w:r>
                </w:p>
              </w:tc>
              <w:tc>
                <w:tcPr>
                  <w:tcW w:w="1196" w:type="dxa"/>
                  <w:vAlign w:val="center"/>
                </w:tcPr>
                <w:p w14:paraId="3C4D187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169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079" w:type="dxa"/>
                  <w:vMerge w:val="continue"/>
                  <w:vAlign w:val="center"/>
                </w:tcPr>
                <w:p w14:paraId="2B20C6F6">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7480A059">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0FCE6B6B">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1DE0EB1E">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5011</w:t>
                  </w:r>
                </w:p>
              </w:tc>
              <w:tc>
                <w:tcPr>
                  <w:tcW w:w="1096" w:type="dxa"/>
                  <w:shd w:val="clear" w:color="auto" w:fill="auto"/>
                  <w:vAlign w:val="center"/>
                </w:tcPr>
                <w:p w14:paraId="31FEAF07">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41499</w:t>
                  </w:r>
                </w:p>
              </w:tc>
              <w:tc>
                <w:tcPr>
                  <w:tcW w:w="1327" w:type="dxa"/>
                  <w:shd w:val="clear" w:color="auto" w:fill="auto"/>
                  <w:vAlign w:val="center"/>
                </w:tcPr>
                <w:p w14:paraId="50422F50">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2.2</w:t>
                  </w:r>
                </w:p>
              </w:tc>
              <w:tc>
                <w:tcPr>
                  <w:tcW w:w="877" w:type="dxa"/>
                  <w:vMerge w:val="continue"/>
                  <w:vAlign w:val="center"/>
                </w:tcPr>
                <w:p w14:paraId="66F33B90">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5779E8C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74AC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079" w:type="dxa"/>
                  <w:vMerge w:val="continue"/>
                  <w:vAlign w:val="center"/>
                </w:tcPr>
                <w:p w14:paraId="77D0A20E">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888B284">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1E10A606">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30F1C016">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5012</w:t>
                  </w:r>
                </w:p>
              </w:tc>
              <w:tc>
                <w:tcPr>
                  <w:tcW w:w="1096" w:type="dxa"/>
                  <w:shd w:val="clear" w:color="auto" w:fill="auto"/>
                  <w:vAlign w:val="center"/>
                </w:tcPr>
                <w:p w14:paraId="0BE83ABF">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42067</w:t>
                  </w:r>
                </w:p>
              </w:tc>
              <w:tc>
                <w:tcPr>
                  <w:tcW w:w="1327" w:type="dxa"/>
                  <w:shd w:val="clear" w:color="auto" w:fill="auto"/>
                  <w:vAlign w:val="center"/>
                </w:tcPr>
                <w:p w14:paraId="5F7654B2">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1.8</w:t>
                  </w:r>
                </w:p>
              </w:tc>
              <w:tc>
                <w:tcPr>
                  <w:tcW w:w="877" w:type="dxa"/>
                  <w:vMerge w:val="continue"/>
                  <w:vAlign w:val="center"/>
                </w:tcPr>
                <w:p w14:paraId="365D9953">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09E10B5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CEF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76E08446">
                  <w:pPr>
                    <w:widowControl/>
                    <w:spacing w:line="240" w:lineRule="auto"/>
                    <w:jc w:val="center"/>
                    <w:textAlignment w:val="center"/>
                    <w:rPr>
                      <w:rFonts w:hint="default" w:cs="宋体"/>
                      <w:color w:val="auto"/>
                      <w:kern w:val="0"/>
                      <w:sz w:val="18"/>
                      <w:szCs w:val="18"/>
                      <w:lang w:val="en-US" w:eastAsia="zh-CN" w:bidi="ar"/>
                    </w:rPr>
                  </w:pPr>
                </w:p>
              </w:tc>
              <w:tc>
                <w:tcPr>
                  <w:tcW w:w="1085" w:type="dxa"/>
                  <w:vMerge w:val="restart"/>
                  <w:vAlign w:val="center"/>
                </w:tcPr>
                <w:p w14:paraId="5EB5A26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DA019 酸洗酸雾排放口1</w:t>
                  </w:r>
                </w:p>
              </w:tc>
              <w:tc>
                <w:tcPr>
                  <w:tcW w:w="923" w:type="dxa"/>
                  <w:vMerge w:val="restart"/>
                  <w:vAlign w:val="center"/>
                </w:tcPr>
                <w:p w14:paraId="02B2D16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477" w:type="dxa"/>
                  <w:vAlign w:val="center"/>
                </w:tcPr>
                <w:p w14:paraId="79B1BE5C">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5001</w:t>
                  </w:r>
                </w:p>
              </w:tc>
              <w:tc>
                <w:tcPr>
                  <w:tcW w:w="1096" w:type="dxa"/>
                  <w:shd w:val="clear" w:color="auto" w:fill="auto"/>
                  <w:vAlign w:val="center"/>
                </w:tcPr>
                <w:p w14:paraId="612D9A24">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22965</w:t>
                  </w:r>
                </w:p>
              </w:tc>
              <w:tc>
                <w:tcPr>
                  <w:tcW w:w="1327" w:type="dxa"/>
                  <w:shd w:val="clear" w:color="auto" w:fill="auto"/>
                  <w:vAlign w:val="center"/>
                </w:tcPr>
                <w:p w14:paraId="7BAC712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restart"/>
                  <w:vAlign w:val="center"/>
                </w:tcPr>
                <w:p w14:paraId="3BB9552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6E87345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D45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3F6014B4">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15930667">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54E6F41">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7768EB6">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5002</w:t>
                  </w:r>
                </w:p>
              </w:tc>
              <w:tc>
                <w:tcPr>
                  <w:tcW w:w="1096" w:type="dxa"/>
                  <w:shd w:val="clear" w:color="auto" w:fill="auto"/>
                  <w:vAlign w:val="center"/>
                </w:tcPr>
                <w:p w14:paraId="40F707FD">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23176</w:t>
                  </w:r>
                </w:p>
              </w:tc>
              <w:tc>
                <w:tcPr>
                  <w:tcW w:w="1327" w:type="dxa"/>
                  <w:shd w:val="clear" w:color="auto" w:fill="auto"/>
                  <w:vAlign w:val="center"/>
                </w:tcPr>
                <w:p w14:paraId="6A3DC11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63C62C13">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602F199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1B9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40D4E991">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5970628A">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5E7AA604">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54C79C27">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5003</w:t>
                  </w:r>
                </w:p>
              </w:tc>
              <w:tc>
                <w:tcPr>
                  <w:tcW w:w="1096" w:type="dxa"/>
                  <w:shd w:val="clear" w:color="auto" w:fill="auto"/>
                  <w:vAlign w:val="center"/>
                </w:tcPr>
                <w:p w14:paraId="074FD8A0">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23207</w:t>
                  </w:r>
                </w:p>
              </w:tc>
              <w:tc>
                <w:tcPr>
                  <w:tcW w:w="1327" w:type="dxa"/>
                  <w:shd w:val="clear" w:color="auto" w:fill="auto"/>
                  <w:vAlign w:val="center"/>
                </w:tcPr>
                <w:p w14:paraId="3DEC0A2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33040F5F">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65E353F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9E3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3FCFD0E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2025.3.6</w:t>
                  </w:r>
                </w:p>
              </w:tc>
              <w:tc>
                <w:tcPr>
                  <w:tcW w:w="1085" w:type="dxa"/>
                  <w:vMerge w:val="continue"/>
                  <w:vAlign w:val="center"/>
                </w:tcPr>
                <w:p w14:paraId="37929E50">
                  <w:pPr>
                    <w:widowControl/>
                    <w:spacing w:line="240" w:lineRule="auto"/>
                    <w:jc w:val="center"/>
                    <w:textAlignment w:val="center"/>
                    <w:rPr>
                      <w:rFonts w:hint="default" w:cs="宋体"/>
                      <w:color w:val="auto"/>
                      <w:kern w:val="0"/>
                      <w:sz w:val="18"/>
                      <w:szCs w:val="18"/>
                      <w:lang w:val="en-US" w:eastAsia="zh-CN" w:bidi="ar"/>
                    </w:rPr>
                  </w:pPr>
                </w:p>
              </w:tc>
              <w:tc>
                <w:tcPr>
                  <w:tcW w:w="923" w:type="dxa"/>
                  <w:vMerge w:val="restart"/>
                  <w:vAlign w:val="center"/>
                </w:tcPr>
                <w:p w14:paraId="152099C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氟化物</w:t>
                  </w:r>
                </w:p>
              </w:tc>
              <w:tc>
                <w:tcPr>
                  <w:tcW w:w="1477" w:type="dxa"/>
                  <w:vAlign w:val="center"/>
                </w:tcPr>
                <w:p w14:paraId="780B54AE">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6001</w:t>
                  </w:r>
                </w:p>
              </w:tc>
              <w:tc>
                <w:tcPr>
                  <w:tcW w:w="1096" w:type="dxa"/>
                  <w:shd w:val="clear" w:color="auto" w:fill="auto"/>
                  <w:vAlign w:val="center"/>
                </w:tcPr>
                <w:p w14:paraId="79484837">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15054</w:t>
                  </w:r>
                </w:p>
              </w:tc>
              <w:tc>
                <w:tcPr>
                  <w:tcW w:w="1327" w:type="dxa"/>
                  <w:shd w:val="clear" w:color="auto" w:fill="auto"/>
                  <w:vAlign w:val="center"/>
                </w:tcPr>
                <w:p w14:paraId="4F1780B6">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0.71</w:t>
                  </w:r>
                </w:p>
              </w:tc>
              <w:tc>
                <w:tcPr>
                  <w:tcW w:w="877" w:type="dxa"/>
                  <w:vMerge w:val="restart"/>
                  <w:vAlign w:val="center"/>
                </w:tcPr>
                <w:p w14:paraId="5D3A2E6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10</w:t>
                  </w:r>
                </w:p>
              </w:tc>
              <w:tc>
                <w:tcPr>
                  <w:tcW w:w="1196" w:type="dxa"/>
                  <w:vAlign w:val="center"/>
                </w:tcPr>
                <w:p w14:paraId="7B87B7B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5A3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5A8C8FBB">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379DE8C">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88995F5">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2A322FEC">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6002</w:t>
                  </w:r>
                </w:p>
              </w:tc>
              <w:tc>
                <w:tcPr>
                  <w:tcW w:w="1096" w:type="dxa"/>
                  <w:shd w:val="clear" w:color="auto" w:fill="auto"/>
                  <w:vAlign w:val="center"/>
                </w:tcPr>
                <w:p w14:paraId="105F8BF1">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11626</w:t>
                  </w:r>
                </w:p>
              </w:tc>
              <w:tc>
                <w:tcPr>
                  <w:tcW w:w="1327" w:type="dxa"/>
                  <w:shd w:val="clear" w:color="auto" w:fill="auto"/>
                  <w:vAlign w:val="center"/>
                </w:tcPr>
                <w:p w14:paraId="3082EAE5">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0.29</w:t>
                  </w:r>
                </w:p>
              </w:tc>
              <w:tc>
                <w:tcPr>
                  <w:tcW w:w="877" w:type="dxa"/>
                  <w:vMerge w:val="continue"/>
                  <w:vAlign w:val="center"/>
                </w:tcPr>
                <w:p w14:paraId="69796B5F">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3BEFB80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DE0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57F7FCA5">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32671D83">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3E69EDD">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7AD53E64">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6003</w:t>
                  </w:r>
                </w:p>
              </w:tc>
              <w:tc>
                <w:tcPr>
                  <w:tcW w:w="1096" w:type="dxa"/>
                  <w:shd w:val="clear" w:color="auto" w:fill="auto"/>
                  <w:vAlign w:val="center"/>
                </w:tcPr>
                <w:p w14:paraId="76D201EF">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11818</w:t>
                  </w:r>
                </w:p>
              </w:tc>
              <w:tc>
                <w:tcPr>
                  <w:tcW w:w="1327" w:type="dxa"/>
                  <w:shd w:val="clear" w:color="auto" w:fill="auto"/>
                  <w:vAlign w:val="center"/>
                </w:tcPr>
                <w:p w14:paraId="3C14CFDA">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0.53</w:t>
                  </w:r>
                </w:p>
              </w:tc>
              <w:tc>
                <w:tcPr>
                  <w:tcW w:w="877" w:type="dxa"/>
                  <w:vMerge w:val="continue"/>
                  <w:vAlign w:val="center"/>
                </w:tcPr>
                <w:p w14:paraId="6336D519">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6F2A02A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DA07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1079" w:type="dxa"/>
                  <w:vMerge w:val="continue"/>
                  <w:vAlign w:val="center"/>
                </w:tcPr>
                <w:p w14:paraId="16D37E3E">
                  <w:pPr>
                    <w:widowControl/>
                    <w:spacing w:line="240" w:lineRule="auto"/>
                    <w:jc w:val="center"/>
                    <w:textAlignment w:val="center"/>
                    <w:rPr>
                      <w:rFonts w:hint="default" w:cs="宋体"/>
                      <w:color w:val="auto"/>
                      <w:kern w:val="0"/>
                      <w:sz w:val="18"/>
                      <w:szCs w:val="18"/>
                      <w:lang w:val="en-US" w:eastAsia="zh-CN" w:bidi="ar"/>
                    </w:rPr>
                  </w:pPr>
                </w:p>
              </w:tc>
              <w:tc>
                <w:tcPr>
                  <w:tcW w:w="1085" w:type="dxa"/>
                  <w:vMerge w:val="restart"/>
                  <w:vAlign w:val="center"/>
                </w:tcPr>
                <w:p w14:paraId="2CF4267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DA020 1#小件氧化车间酸雾排口</w:t>
                  </w:r>
                </w:p>
              </w:tc>
              <w:tc>
                <w:tcPr>
                  <w:tcW w:w="923" w:type="dxa"/>
                  <w:vMerge w:val="restart"/>
                  <w:vAlign w:val="center"/>
                </w:tcPr>
                <w:p w14:paraId="58822E0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477" w:type="dxa"/>
                  <w:vAlign w:val="center"/>
                </w:tcPr>
                <w:p w14:paraId="40C53E9A">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6005</w:t>
                  </w:r>
                </w:p>
              </w:tc>
              <w:tc>
                <w:tcPr>
                  <w:tcW w:w="1096" w:type="dxa"/>
                  <w:shd w:val="clear" w:color="auto" w:fill="auto"/>
                  <w:vAlign w:val="center"/>
                </w:tcPr>
                <w:p w14:paraId="328BA4D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18796</w:t>
                  </w:r>
                </w:p>
              </w:tc>
              <w:tc>
                <w:tcPr>
                  <w:tcW w:w="1327" w:type="dxa"/>
                  <w:shd w:val="clear" w:color="auto" w:fill="auto"/>
                  <w:vAlign w:val="center"/>
                </w:tcPr>
                <w:p w14:paraId="65F6E39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3.37</w:t>
                  </w:r>
                </w:p>
              </w:tc>
              <w:tc>
                <w:tcPr>
                  <w:tcW w:w="877" w:type="dxa"/>
                  <w:vMerge w:val="restart"/>
                  <w:vAlign w:val="center"/>
                </w:tcPr>
                <w:p w14:paraId="192B9AC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097E74D8">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1F70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079" w:type="dxa"/>
                  <w:vMerge w:val="continue"/>
                  <w:vAlign w:val="center"/>
                </w:tcPr>
                <w:p w14:paraId="0A901498">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3C81132">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68E7B96D">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55499014">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6006</w:t>
                  </w:r>
                </w:p>
              </w:tc>
              <w:tc>
                <w:tcPr>
                  <w:tcW w:w="1096" w:type="dxa"/>
                  <w:shd w:val="clear" w:color="auto" w:fill="auto"/>
                  <w:vAlign w:val="center"/>
                </w:tcPr>
                <w:p w14:paraId="1FFBBF8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18809</w:t>
                  </w:r>
                </w:p>
              </w:tc>
              <w:tc>
                <w:tcPr>
                  <w:tcW w:w="1327" w:type="dxa"/>
                  <w:shd w:val="clear" w:color="auto" w:fill="auto"/>
                  <w:vAlign w:val="center"/>
                </w:tcPr>
                <w:p w14:paraId="35FD704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0.53</w:t>
                  </w:r>
                </w:p>
              </w:tc>
              <w:tc>
                <w:tcPr>
                  <w:tcW w:w="877" w:type="dxa"/>
                  <w:vMerge w:val="continue"/>
                  <w:vAlign w:val="center"/>
                </w:tcPr>
                <w:p w14:paraId="07F82F4D">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7AC1D27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933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2C94F654">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78C2C6F">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17062EEA">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74959E8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6007</w:t>
                  </w:r>
                </w:p>
              </w:tc>
              <w:tc>
                <w:tcPr>
                  <w:tcW w:w="1096" w:type="dxa"/>
                  <w:shd w:val="clear" w:color="auto" w:fill="auto"/>
                  <w:vAlign w:val="center"/>
                </w:tcPr>
                <w:p w14:paraId="2D80053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18991</w:t>
                  </w:r>
                </w:p>
              </w:tc>
              <w:tc>
                <w:tcPr>
                  <w:tcW w:w="1327" w:type="dxa"/>
                  <w:shd w:val="clear" w:color="auto" w:fill="auto"/>
                  <w:vAlign w:val="center"/>
                </w:tcPr>
                <w:p w14:paraId="307FB16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0.74</w:t>
                  </w:r>
                </w:p>
              </w:tc>
              <w:tc>
                <w:tcPr>
                  <w:tcW w:w="877" w:type="dxa"/>
                  <w:vMerge w:val="continue"/>
                  <w:vAlign w:val="center"/>
                </w:tcPr>
                <w:p w14:paraId="5CDF8533">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7B4124B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2D3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1A4F8D5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2025.3.12</w:t>
                  </w:r>
                </w:p>
              </w:tc>
              <w:tc>
                <w:tcPr>
                  <w:tcW w:w="1085" w:type="dxa"/>
                  <w:vMerge w:val="restart"/>
                  <w:vAlign w:val="center"/>
                </w:tcPr>
                <w:p w14:paraId="231D168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DA021 2#小件氧化车间酸雾排口</w:t>
                  </w:r>
                </w:p>
              </w:tc>
              <w:tc>
                <w:tcPr>
                  <w:tcW w:w="923" w:type="dxa"/>
                  <w:vMerge w:val="restart"/>
                  <w:vAlign w:val="center"/>
                </w:tcPr>
                <w:p w14:paraId="03BC9DA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477" w:type="dxa"/>
                  <w:vAlign w:val="center"/>
                </w:tcPr>
                <w:p w14:paraId="24DC33F8">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12001</w:t>
                  </w:r>
                </w:p>
              </w:tc>
              <w:tc>
                <w:tcPr>
                  <w:tcW w:w="1096" w:type="dxa"/>
                  <w:shd w:val="clear" w:color="auto" w:fill="auto"/>
                  <w:vAlign w:val="center"/>
                </w:tcPr>
                <w:p w14:paraId="331A0C1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16969</w:t>
                  </w:r>
                </w:p>
              </w:tc>
              <w:tc>
                <w:tcPr>
                  <w:tcW w:w="1327" w:type="dxa"/>
                  <w:shd w:val="clear" w:color="auto" w:fill="auto"/>
                  <w:vAlign w:val="center"/>
                </w:tcPr>
                <w:p w14:paraId="7AE2DB8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restart"/>
                  <w:vAlign w:val="center"/>
                </w:tcPr>
                <w:p w14:paraId="4400BBA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176EF67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7711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61CBF50B">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2F20D73">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6E8B555">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0F682C97">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12002</w:t>
                  </w:r>
                </w:p>
              </w:tc>
              <w:tc>
                <w:tcPr>
                  <w:tcW w:w="1096" w:type="dxa"/>
                  <w:shd w:val="clear" w:color="auto" w:fill="auto"/>
                  <w:vAlign w:val="center"/>
                </w:tcPr>
                <w:p w14:paraId="3150F94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17841</w:t>
                  </w:r>
                </w:p>
              </w:tc>
              <w:tc>
                <w:tcPr>
                  <w:tcW w:w="1327" w:type="dxa"/>
                  <w:shd w:val="clear" w:color="auto" w:fill="auto"/>
                  <w:vAlign w:val="center"/>
                </w:tcPr>
                <w:p w14:paraId="30C832D3">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298C3F67">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6F6BE87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C0A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1662C5E5">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3E697192">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73FA674E">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1D99B64F">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12003</w:t>
                  </w:r>
                </w:p>
              </w:tc>
              <w:tc>
                <w:tcPr>
                  <w:tcW w:w="1096" w:type="dxa"/>
                  <w:shd w:val="clear" w:color="auto" w:fill="auto"/>
                  <w:vAlign w:val="center"/>
                </w:tcPr>
                <w:p w14:paraId="5C7EEE8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17166</w:t>
                  </w:r>
                </w:p>
              </w:tc>
              <w:tc>
                <w:tcPr>
                  <w:tcW w:w="1327" w:type="dxa"/>
                  <w:shd w:val="clear" w:color="auto" w:fill="auto"/>
                  <w:vAlign w:val="center"/>
                </w:tcPr>
                <w:p w14:paraId="0F09E77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501AA753">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64BBE54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5D50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58A6218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2025.3.6</w:t>
                  </w:r>
                </w:p>
              </w:tc>
              <w:tc>
                <w:tcPr>
                  <w:tcW w:w="1085" w:type="dxa"/>
                  <w:vMerge w:val="restart"/>
                  <w:vAlign w:val="center"/>
                </w:tcPr>
                <w:p w14:paraId="3BEEFCA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DA022 1#小件氧化车间碱雾排口</w:t>
                  </w:r>
                </w:p>
              </w:tc>
              <w:tc>
                <w:tcPr>
                  <w:tcW w:w="923" w:type="dxa"/>
                  <w:vMerge w:val="restart"/>
                  <w:vAlign w:val="center"/>
                </w:tcPr>
                <w:p w14:paraId="0CDD16A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低浓度颗粒物</w:t>
                  </w:r>
                </w:p>
              </w:tc>
              <w:tc>
                <w:tcPr>
                  <w:tcW w:w="1477" w:type="dxa"/>
                  <w:vAlign w:val="center"/>
                </w:tcPr>
                <w:p w14:paraId="5A3866B7">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6010</w:t>
                  </w:r>
                </w:p>
              </w:tc>
              <w:tc>
                <w:tcPr>
                  <w:tcW w:w="1096" w:type="dxa"/>
                  <w:shd w:val="clear" w:color="auto" w:fill="auto"/>
                  <w:vAlign w:val="center"/>
                </w:tcPr>
                <w:p w14:paraId="3EC84FF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12147</w:t>
                  </w:r>
                </w:p>
              </w:tc>
              <w:tc>
                <w:tcPr>
                  <w:tcW w:w="1327" w:type="dxa"/>
                  <w:shd w:val="clear" w:color="auto" w:fill="auto"/>
                  <w:vAlign w:val="center"/>
                </w:tcPr>
                <w:p w14:paraId="78D7DD8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1.6</w:t>
                  </w:r>
                </w:p>
              </w:tc>
              <w:tc>
                <w:tcPr>
                  <w:tcW w:w="877" w:type="dxa"/>
                  <w:vMerge w:val="restart"/>
                  <w:vAlign w:val="center"/>
                </w:tcPr>
                <w:p w14:paraId="296CABA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w:t>
                  </w:r>
                </w:p>
              </w:tc>
              <w:tc>
                <w:tcPr>
                  <w:tcW w:w="1196" w:type="dxa"/>
                  <w:vAlign w:val="center"/>
                </w:tcPr>
                <w:p w14:paraId="064F1D7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476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079" w:type="dxa"/>
                  <w:vMerge w:val="continue"/>
                  <w:vAlign w:val="center"/>
                </w:tcPr>
                <w:p w14:paraId="6EB23E07">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6B4B03F1">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39E270DB">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0C2710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6011</w:t>
                  </w:r>
                </w:p>
              </w:tc>
              <w:tc>
                <w:tcPr>
                  <w:tcW w:w="1096" w:type="dxa"/>
                  <w:shd w:val="clear" w:color="auto" w:fill="auto"/>
                  <w:vAlign w:val="center"/>
                </w:tcPr>
                <w:p w14:paraId="648A1AD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12242</w:t>
                  </w:r>
                </w:p>
              </w:tc>
              <w:tc>
                <w:tcPr>
                  <w:tcW w:w="1327" w:type="dxa"/>
                  <w:shd w:val="clear" w:color="auto" w:fill="auto"/>
                  <w:vAlign w:val="center"/>
                </w:tcPr>
                <w:p w14:paraId="4D1DA0E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2.3</w:t>
                  </w:r>
                </w:p>
              </w:tc>
              <w:tc>
                <w:tcPr>
                  <w:tcW w:w="877" w:type="dxa"/>
                  <w:vMerge w:val="continue"/>
                  <w:vAlign w:val="center"/>
                </w:tcPr>
                <w:p w14:paraId="2311CB91">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317D63A5">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772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767F4C6E">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1121C7CB">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B838AAB">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3A8956F6">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2025-Q-030</w:t>
                  </w:r>
                  <w:r>
                    <w:rPr>
                      <w:rFonts w:hint="eastAsia" w:cs="宋体"/>
                      <w:color w:val="auto"/>
                      <w:kern w:val="0"/>
                      <w:sz w:val="18"/>
                      <w:szCs w:val="18"/>
                      <w:lang w:val="en-US" w:eastAsia="zh-CN" w:bidi="ar"/>
                    </w:rPr>
                    <w:t>6012</w:t>
                  </w:r>
                </w:p>
              </w:tc>
              <w:tc>
                <w:tcPr>
                  <w:tcW w:w="1096" w:type="dxa"/>
                  <w:shd w:val="clear" w:color="auto" w:fill="auto"/>
                  <w:vAlign w:val="center"/>
                </w:tcPr>
                <w:p w14:paraId="1C2825F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12356</w:t>
                  </w:r>
                </w:p>
              </w:tc>
              <w:tc>
                <w:tcPr>
                  <w:tcW w:w="1327" w:type="dxa"/>
                  <w:shd w:val="clear" w:color="auto" w:fill="auto"/>
                  <w:vAlign w:val="center"/>
                </w:tcPr>
                <w:p w14:paraId="6A3C22D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3.7</w:t>
                  </w:r>
                </w:p>
              </w:tc>
              <w:tc>
                <w:tcPr>
                  <w:tcW w:w="877" w:type="dxa"/>
                  <w:vMerge w:val="continue"/>
                  <w:vAlign w:val="center"/>
                </w:tcPr>
                <w:p w14:paraId="481CDB3A">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0390E725">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EB6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7C983F0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2025.3.12</w:t>
                  </w:r>
                </w:p>
              </w:tc>
              <w:tc>
                <w:tcPr>
                  <w:tcW w:w="1085" w:type="dxa"/>
                  <w:vMerge w:val="restart"/>
                  <w:vAlign w:val="center"/>
                </w:tcPr>
                <w:p w14:paraId="450E90B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DA023 2#小件氧化车间碱雾排口</w:t>
                  </w:r>
                </w:p>
              </w:tc>
              <w:tc>
                <w:tcPr>
                  <w:tcW w:w="923" w:type="dxa"/>
                  <w:vMerge w:val="restart"/>
                  <w:vAlign w:val="center"/>
                </w:tcPr>
                <w:p w14:paraId="56AF4C5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低浓度颗粒物</w:t>
                  </w:r>
                </w:p>
              </w:tc>
              <w:tc>
                <w:tcPr>
                  <w:tcW w:w="1477" w:type="dxa"/>
                  <w:vAlign w:val="center"/>
                </w:tcPr>
                <w:p w14:paraId="0CD9A927">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12006</w:t>
                  </w:r>
                </w:p>
              </w:tc>
              <w:tc>
                <w:tcPr>
                  <w:tcW w:w="1096" w:type="dxa"/>
                  <w:shd w:val="clear" w:color="auto" w:fill="auto"/>
                  <w:vAlign w:val="center"/>
                </w:tcPr>
                <w:p w14:paraId="7322084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28184</w:t>
                  </w:r>
                </w:p>
              </w:tc>
              <w:tc>
                <w:tcPr>
                  <w:tcW w:w="1327" w:type="dxa"/>
                  <w:shd w:val="clear" w:color="auto" w:fill="auto"/>
                  <w:vAlign w:val="center"/>
                </w:tcPr>
                <w:p w14:paraId="4461F14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1.0</w:t>
                  </w:r>
                </w:p>
              </w:tc>
              <w:tc>
                <w:tcPr>
                  <w:tcW w:w="877" w:type="dxa"/>
                  <w:vMerge w:val="restart"/>
                  <w:vAlign w:val="center"/>
                </w:tcPr>
                <w:p w14:paraId="037D5C5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w:t>
                  </w:r>
                </w:p>
              </w:tc>
              <w:tc>
                <w:tcPr>
                  <w:tcW w:w="1196" w:type="dxa"/>
                  <w:vAlign w:val="center"/>
                </w:tcPr>
                <w:p w14:paraId="00CB19C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06EC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079" w:type="dxa"/>
                  <w:vMerge w:val="continue"/>
                  <w:vAlign w:val="center"/>
                </w:tcPr>
                <w:p w14:paraId="0EE9A3D9">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326F3BE5">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03169451">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71612869">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12007</w:t>
                  </w:r>
                </w:p>
              </w:tc>
              <w:tc>
                <w:tcPr>
                  <w:tcW w:w="1096" w:type="dxa"/>
                  <w:shd w:val="clear" w:color="auto" w:fill="auto"/>
                  <w:vAlign w:val="center"/>
                </w:tcPr>
                <w:p w14:paraId="15CBCB0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30830</w:t>
                  </w:r>
                </w:p>
              </w:tc>
              <w:tc>
                <w:tcPr>
                  <w:tcW w:w="1327" w:type="dxa"/>
                  <w:shd w:val="clear" w:color="auto" w:fill="auto"/>
                  <w:vAlign w:val="center"/>
                </w:tcPr>
                <w:p w14:paraId="08B89E0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&lt;1.0</w:t>
                  </w:r>
                </w:p>
              </w:tc>
              <w:tc>
                <w:tcPr>
                  <w:tcW w:w="877" w:type="dxa"/>
                  <w:vMerge w:val="continue"/>
                  <w:vAlign w:val="center"/>
                </w:tcPr>
                <w:p w14:paraId="0B74F9D2">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3CBFD4B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F36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0ECC682E">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28FB38FC">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324EA7D4">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64989A0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12008</w:t>
                  </w:r>
                </w:p>
              </w:tc>
              <w:tc>
                <w:tcPr>
                  <w:tcW w:w="1096" w:type="dxa"/>
                  <w:shd w:val="clear" w:color="auto" w:fill="auto"/>
                  <w:vAlign w:val="center"/>
                </w:tcPr>
                <w:p w14:paraId="2A2B571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28191</w:t>
                  </w:r>
                </w:p>
              </w:tc>
              <w:tc>
                <w:tcPr>
                  <w:tcW w:w="1327" w:type="dxa"/>
                  <w:shd w:val="clear" w:color="auto" w:fill="auto"/>
                  <w:vAlign w:val="center"/>
                </w:tcPr>
                <w:p w14:paraId="2FD97C8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1.7</w:t>
                  </w:r>
                </w:p>
              </w:tc>
              <w:tc>
                <w:tcPr>
                  <w:tcW w:w="877" w:type="dxa"/>
                  <w:vMerge w:val="continue"/>
                  <w:vAlign w:val="center"/>
                </w:tcPr>
                <w:p w14:paraId="74C38F2A">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3DBE44C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16B9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04E6E06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2025.3.5</w:t>
                  </w:r>
                </w:p>
              </w:tc>
              <w:tc>
                <w:tcPr>
                  <w:tcW w:w="1085" w:type="dxa"/>
                  <w:vMerge w:val="restart"/>
                  <w:vAlign w:val="center"/>
                </w:tcPr>
                <w:p w14:paraId="5920D67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DA024 煮模碱雾排口</w:t>
                  </w:r>
                </w:p>
              </w:tc>
              <w:tc>
                <w:tcPr>
                  <w:tcW w:w="923" w:type="dxa"/>
                  <w:vMerge w:val="restart"/>
                  <w:vAlign w:val="center"/>
                </w:tcPr>
                <w:p w14:paraId="598CE8C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低浓度颗粒物</w:t>
                  </w:r>
                </w:p>
              </w:tc>
              <w:tc>
                <w:tcPr>
                  <w:tcW w:w="1477" w:type="dxa"/>
                  <w:vAlign w:val="center"/>
                </w:tcPr>
                <w:p w14:paraId="5684D4EB">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05014</w:t>
                  </w:r>
                </w:p>
              </w:tc>
              <w:tc>
                <w:tcPr>
                  <w:tcW w:w="1096" w:type="dxa"/>
                  <w:shd w:val="clear" w:color="auto" w:fill="auto"/>
                  <w:vAlign w:val="center"/>
                </w:tcPr>
                <w:p w14:paraId="7BFBC94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15504</w:t>
                  </w:r>
                </w:p>
              </w:tc>
              <w:tc>
                <w:tcPr>
                  <w:tcW w:w="1327" w:type="dxa"/>
                  <w:shd w:val="clear" w:color="auto" w:fill="auto"/>
                  <w:vAlign w:val="center"/>
                </w:tcPr>
                <w:p w14:paraId="3D968E9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w:t>
                  </w:r>
                </w:p>
              </w:tc>
              <w:tc>
                <w:tcPr>
                  <w:tcW w:w="877" w:type="dxa"/>
                  <w:vMerge w:val="restart"/>
                  <w:vAlign w:val="center"/>
                </w:tcPr>
                <w:p w14:paraId="34A5225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w:t>
                  </w:r>
                </w:p>
              </w:tc>
              <w:tc>
                <w:tcPr>
                  <w:tcW w:w="1196" w:type="dxa"/>
                  <w:vAlign w:val="center"/>
                </w:tcPr>
                <w:p w14:paraId="3C67D9A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570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60A7C7EB">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2E98AAFE">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3D119DC7">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572222B5">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05015</w:t>
                  </w:r>
                </w:p>
              </w:tc>
              <w:tc>
                <w:tcPr>
                  <w:tcW w:w="1096" w:type="dxa"/>
                  <w:shd w:val="clear" w:color="auto" w:fill="auto"/>
                  <w:vAlign w:val="center"/>
                </w:tcPr>
                <w:p w14:paraId="026B921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15626</w:t>
                  </w:r>
                </w:p>
              </w:tc>
              <w:tc>
                <w:tcPr>
                  <w:tcW w:w="1327" w:type="dxa"/>
                  <w:shd w:val="clear" w:color="auto" w:fill="auto"/>
                  <w:vAlign w:val="center"/>
                </w:tcPr>
                <w:p w14:paraId="32F697FF">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&lt;1.0</w:t>
                  </w:r>
                </w:p>
              </w:tc>
              <w:tc>
                <w:tcPr>
                  <w:tcW w:w="877" w:type="dxa"/>
                  <w:vMerge w:val="continue"/>
                  <w:vAlign w:val="center"/>
                </w:tcPr>
                <w:p w14:paraId="4EEDAC77">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4A0D5F25">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548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21F9A107">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66EA55C9">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5B2D9396">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3F3F46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05016</w:t>
                  </w:r>
                </w:p>
              </w:tc>
              <w:tc>
                <w:tcPr>
                  <w:tcW w:w="1096" w:type="dxa"/>
                  <w:shd w:val="clear" w:color="auto" w:fill="auto"/>
                  <w:vAlign w:val="center"/>
                </w:tcPr>
                <w:p w14:paraId="18CC2C7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15625</w:t>
                  </w:r>
                </w:p>
              </w:tc>
              <w:tc>
                <w:tcPr>
                  <w:tcW w:w="1327" w:type="dxa"/>
                  <w:shd w:val="clear" w:color="auto" w:fill="auto"/>
                  <w:vAlign w:val="center"/>
                </w:tcPr>
                <w:p w14:paraId="11C8C650">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&lt;1.0</w:t>
                  </w:r>
                </w:p>
              </w:tc>
              <w:tc>
                <w:tcPr>
                  <w:tcW w:w="877" w:type="dxa"/>
                  <w:vMerge w:val="continue"/>
                  <w:vAlign w:val="center"/>
                </w:tcPr>
                <w:p w14:paraId="29011AB8">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611A90A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71B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4A06219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2025.3.7</w:t>
                  </w:r>
                </w:p>
              </w:tc>
              <w:tc>
                <w:tcPr>
                  <w:tcW w:w="1085" w:type="dxa"/>
                  <w:vMerge w:val="restart"/>
                  <w:vAlign w:val="center"/>
                </w:tcPr>
                <w:p w14:paraId="0FB5855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DA025 1#厂房北跨酸雾排口</w:t>
                  </w:r>
                </w:p>
              </w:tc>
              <w:tc>
                <w:tcPr>
                  <w:tcW w:w="923" w:type="dxa"/>
                  <w:vMerge w:val="restart"/>
                  <w:vAlign w:val="center"/>
                </w:tcPr>
                <w:p w14:paraId="6D73A1A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477" w:type="dxa"/>
                  <w:vAlign w:val="center"/>
                </w:tcPr>
                <w:p w14:paraId="76509366">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07001</w:t>
                  </w:r>
                </w:p>
              </w:tc>
              <w:tc>
                <w:tcPr>
                  <w:tcW w:w="1096" w:type="dxa"/>
                  <w:shd w:val="clear" w:color="auto" w:fill="auto"/>
                  <w:vAlign w:val="center"/>
                </w:tcPr>
                <w:p w14:paraId="4F73DA1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8100</w:t>
                  </w:r>
                </w:p>
              </w:tc>
              <w:tc>
                <w:tcPr>
                  <w:tcW w:w="1327" w:type="dxa"/>
                  <w:shd w:val="clear" w:color="auto" w:fill="auto"/>
                  <w:vAlign w:val="center"/>
                </w:tcPr>
                <w:p w14:paraId="73D94BC0">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restart"/>
                  <w:vAlign w:val="center"/>
                </w:tcPr>
                <w:p w14:paraId="45E2462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0A2926E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AB7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5DC82F73">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3E5A1C7A">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4FDA8129">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BB34112">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07002</w:t>
                  </w:r>
                </w:p>
              </w:tc>
              <w:tc>
                <w:tcPr>
                  <w:tcW w:w="1096" w:type="dxa"/>
                  <w:shd w:val="clear" w:color="auto" w:fill="auto"/>
                  <w:vAlign w:val="center"/>
                </w:tcPr>
                <w:p w14:paraId="1136F7E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8046</w:t>
                  </w:r>
                </w:p>
              </w:tc>
              <w:tc>
                <w:tcPr>
                  <w:tcW w:w="1327" w:type="dxa"/>
                  <w:shd w:val="clear" w:color="auto" w:fill="auto"/>
                  <w:vAlign w:val="center"/>
                </w:tcPr>
                <w:p w14:paraId="3B816410">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61D571EA">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155CD26C">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7427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783B96B7">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3E9830B">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3BDC336B">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3D68DFB6">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07003</w:t>
                  </w:r>
                </w:p>
              </w:tc>
              <w:tc>
                <w:tcPr>
                  <w:tcW w:w="1096" w:type="dxa"/>
                  <w:shd w:val="clear" w:color="auto" w:fill="auto"/>
                  <w:vAlign w:val="center"/>
                </w:tcPr>
                <w:p w14:paraId="3705801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8037</w:t>
                  </w:r>
                </w:p>
              </w:tc>
              <w:tc>
                <w:tcPr>
                  <w:tcW w:w="1327" w:type="dxa"/>
                  <w:shd w:val="clear" w:color="auto" w:fill="auto"/>
                  <w:vAlign w:val="center"/>
                </w:tcPr>
                <w:p w14:paraId="6A69BF83">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&lt;0.2</w:t>
                  </w:r>
                </w:p>
              </w:tc>
              <w:tc>
                <w:tcPr>
                  <w:tcW w:w="877" w:type="dxa"/>
                  <w:vMerge w:val="continue"/>
                  <w:vAlign w:val="center"/>
                </w:tcPr>
                <w:p w14:paraId="673040C3">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1201923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805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77B49B0D">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9C21716">
                  <w:pPr>
                    <w:widowControl/>
                    <w:spacing w:line="240" w:lineRule="auto"/>
                    <w:jc w:val="center"/>
                    <w:textAlignment w:val="center"/>
                    <w:rPr>
                      <w:rFonts w:hint="default" w:cs="宋体"/>
                      <w:color w:val="auto"/>
                      <w:kern w:val="0"/>
                      <w:sz w:val="18"/>
                      <w:szCs w:val="18"/>
                      <w:lang w:val="en-US" w:eastAsia="zh-CN" w:bidi="ar"/>
                    </w:rPr>
                  </w:pPr>
                </w:p>
              </w:tc>
              <w:tc>
                <w:tcPr>
                  <w:tcW w:w="923" w:type="dxa"/>
                  <w:vMerge w:val="restart"/>
                  <w:vAlign w:val="center"/>
                </w:tcPr>
                <w:p w14:paraId="02F1606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氮氧化物</w:t>
                  </w:r>
                </w:p>
              </w:tc>
              <w:tc>
                <w:tcPr>
                  <w:tcW w:w="1477" w:type="dxa"/>
                  <w:vAlign w:val="center"/>
                </w:tcPr>
                <w:p w14:paraId="0C31C60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096" w:type="dxa"/>
                  <w:shd w:val="clear" w:color="auto" w:fill="auto"/>
                  <w:vAlign w:val="center"/>
                </w:tcPr>
                <w:p w14:paraId="09988E3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7371</w:t>
                  </w:r>
                </w:p>
              </w:tc>
              <w:tc>
                <w:tcPr>
                  <w:tcW w:w="1327" w:type="dxa"/>
                  <w:shd w:val="clear" w:color="auto" w:fill="auto"/>
                  <w:vAlign w:val="center"/>
                </w:tcPr>
                <w:p w14:paraId="003C0A2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&lt;3</w:t>
                  </w:r>
                </w:p>
              </w:tc>
              <w:tc>
                <w:tcPr>
                  <w:tcW w:w="877" w:type="dxa"/>
                  <w:vMerge w:val="restart"/>
                  <w:vAlign w:val="center"/>
                </w:tcPr>
                <w:p w14:paraId="1ED939F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1196" w:type="dxa"/>
                  <w:vAlign w:val="center"/>
                </w:tcPr>
                <w:p w14:paraId="22D50F6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22A1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0C1C8E17">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0C72D424">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55F75273">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7C0E76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096" w:type="dxa"/>
                  <w:shd w:val="clear" w:color="auto" w:fill="auto"/>
                  <w:vAlign w:val="center"/>
                </w:tcPr>
                <w:p w14:paraId="1F70728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8181</w:t>
                  </w:r>
                </w:p>
              </w:tc>
              <w:tc>
                <w:tcPr>
                  <w:tcW w:w="1327" w:type="dxa"/>
                  <w:shd w:val="clear" w:color="auto" w:fill="auto"/>
                  <w:vAlign w:val="center"/>
                </w:tcPr>
                <w:p w14:paraId="424E38A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&lt;3</w:t>
                  </w:r>
                </w:p>
              </w:tc>
              <w:tc>
                <w:tcPr>
                  <w:tcW w:w="877" w:type="dxa"/>
                  <w:vMerge w:val="continue"/>
                  <w:vAlign w:val="center"/>
                </w:tcPr>
                <w:p w14:paraId="353ED80E">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4B5B631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138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35C1D853">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3686E069">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ACEF162">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27B2B3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096" w:type="dxa"/>
                  <w:shd w:val="clear" w:color="auto" w:fill="auto"/>
                  <w:vAlign w:val="center"/>
                </w:tcPr>
                <w:p w14:paraId="604CC04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8248</w:t>
                  </w:r>
                </w:p>
              </w:tc>
              <w:tc>
                <w:tcPr>
                  <w:tcW w:w="1327" w:type="dxa"/>
                  <w:shd w:val="clear" w:color="auto" w:fill="auto"/>
                  <w:vAlign w:val="center"/>
                </w:tcPr>
                <w:p w14:paraId="67E59EB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&lt;3</w:t>
                  </w:r>
                </w:p>
              </w:tc>
              <w:tc>
                <w:tcPr>
                  <w:tcW w:w="877" w:type="dxa"/>
                  <w:vMerge w:val="continue"/>
                  <w:vAlign w:val="center"/>
                </w:tcPr>
                <w:p w14:paraId="5C549950">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40B408B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5C38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7B71BE3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2025.3.10</w:t>
                  </w:r>
                </w:p>
              </w:tc>
              <w:tc>
                <w:tcPr>
                  <w:tcW w:w="1085" w:type="dxa"/>
                  <w:vMerge w:val="restart"/>
                  <w:vAlign w:val="center"/>
                </w:tcPr>
                <w:p w14:paraId="4B79460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DA026 喷砂废气排口</w:t>
                  </w:r>
                </w:p>
              </w:tc>
              <w:tc>
                <w:tcPr>
                  <w:tcW w:w="923" w:type="dxa"/>
                  <w:vMerge w:val="restart"/>
                  <w:vAlign w:val="center"/>
                </w:tcPr>
                <w:p w14:paraId="78A9A9C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低浓度颗粒物</w:t>
                  </w:r>
                </w:p>
              </w:tc>
              <w:tc>
                <w:tcPr>
                  <w:tcW w:w="1477" w:type="dxa"/>
                  <w:vAlign w:val="center"/>
                </w:tcPr>
                <w:p w14:paraId="78084B6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10001</w:t>
                  </w:r>
                </w:p>
              </w:tc>
              <w:tc>
                <w:tcPr>
                  <w:tcW w:w="1096" w:type="dxa"/>
                  <w:shd w:val="clear" w:color="auto" w:fill="auto"/>
                  <w:vAlign w:val="center"/>
                </w:tcPr>
                <w:p w14:paraId="556E875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5626</w:t>
                  </w:r>
                </w:p>
              </w:tc>
              <w:tc>
                <w:tcPr>
                  <w:tcW w:w="1327" w:type="dxa"/>
                  <w:shd w:val="clear" w:color="auto" w:fill="auto"/>
                  <w:vAlign w:val="center"/>
                </w:tcPr>
                <w:p w14:paraId="37731A1B">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1.1</w:t>
                  </w:r>
                </w:p>
              </w:tc>
              <w:tc>
                <w:tcPr>
                  <w:tcW w:w="877" w:type="dxa"/>
                  <w:vMerge w:val="restart"/>
                  <w:vAlign w:val="center"/>
                </w:tcPr>
                <w:p w14:paraId="1324D5F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w:t>
                  </w:r>
                </w:p>
              </w:tc>
              <w:tc>
                <w:tcPr>
                  <w:tcW w:w="1196" w:type="dxa"/>
                  <w:vAlign w:val="center"/>
                </w:tcPr>
                <w:p w14:paraId="497898B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93D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578A94E1">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3DF05381">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097CCD1C">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4A0CA817">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10002</w:t>
                  </w:r>
                </w:p>
              </w:tc>
              <w:tc>
                <w:tcPr>
                  <w:tcW w:w="1096" w:type="dxa"/>
                  <w:shd w:val="clear" w:color="auto" w:fill="auto"/>
                  <w:vAlign w:val="center"/>
                </w:tcPr>
                <w:p w14:paraId="270B4C4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5571</w:t>
                  </w:r>
                </w:p>
              </w:tc>
              <w:tc>
                <w:tcPr>
                  <w:tcW w:w="1327" w:type="dxa"/>
                  <w:shd w:val="clear" w:color="auto" w:fill="auto"/>
                  <w:vAlign w:val="center"/>
                </w:tcPr>
                <w:p w14:paraId="62094567">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&lt;1.0</w:t>
                  </w:r>
                </w:p>
              </w:tc>
              <w:tc>
                <w:tcPr>
                  <w:tcW w:w="877" w:type="dxa"/>
                  <w:vMerge w:val="continue"/>
                  <w:vAlign w:val="center"/>
                </w:tcPr>
                <w:p w14:paraId="2E6DC8E3">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0CF1758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C55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71C2D7C9">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46A5B1A2">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4649EB2A">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67F57231">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10003</w:t>
                  </w:r>
                </w:p>
              </w:tc>
              <w:tc>
                <w:tcPr>
                  <w:tcW w:w="1096" w:type="dxa"/>
                  <w:shd w:val="clear" w:color="auto" w:fill="auto"/>
                  <w:vAlign w:val="center"/>
                </w:tcPr>
                <w:p w14:paraId="1E13EC0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5380</w:t>
                  </w:r>
                </w:p>
              </w:tc>
              <w:tc>
                <w:tcPr>
                  <w:tcW w:w="1327" w:type="dxa"/>
                  <w:shd w:val="clear" w:color="auto" w:fill="auto"/>
                  <w:vAlign w:val="center"/>
                </w:tcPr>
                <w:p w14:paraId="266F2932">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&lt;1.0</w:t>
                  </w:r>
                </w:p>
              </w:tc>
              <w:tc>
                <w:tcPr>
                  <w:tcW w:w="877" w:type="dxa"/>
                  <w:vMerge w:val="continue"/>
                  <w:vAlign w:val="center"/>
                </w:tcPr>
                <w:p w14:paraId="6EA243F0">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15CFCAED">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3793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restart"/>
                  <w:vAlign w:val="center"/>
                </w:tcPr>
                <w:p w14:paraId="7F15E8C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2025.3.7</w:t>
                  </w:r>
                </w:p>
              </w:tc>
              <w:tc>
                <w:tcPr>
                  <w:tcW w:w="1085" w:type="dxa"/>
                  <w:vMerge w:val="restart"/>
                  <w:vAlign w:val="center"/>
                </w:tcPr>
                <w:p w14:paraId="32EB797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DA027 1#厂房北跨碱雾排口</w:t>
                  </w:r>
                </w:p>
              </w:tc>
              <w:tc>
                <w:tcPr>
                  <w:tcW w:w="923" w:type="dxa"/>
                  <w:vMerge w:val="restart"/>
                  <w:vAlign w:val="center"/>
                </w:tcPr>
                <w:p w14:paraId="33FA10A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低浓度颗粒物</w:t>
                  </w:r>
                </w:p>
              </w:tc>
              <w:tc>
                <w:tcPr>
                  <w:tcW w:w="1477" w:type="dxa"/>
                  <w:vAlign w:val="center"/>
                </w:tcPr>
                <w:p w14:paraId="6F767D7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07006</w:t>
                  </w:r>
                </w:p>
              </w:tc>
              <w:tc>
                <w:tcPr>
                  <w:tcW w:w="1096" w:type="dxa"/>
                  <w:shd w:val="clear" w:color="auto" w:fill="auto"/>
                  <w:vAlign w:val="center"/>
                </w:tcPr>
                <w:p w14:paraId="255DBBF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26049</w:t>
                  </w:r>
                </w:p>
              </w:tc>
              <w:tc>
                <w:tcPr>
                  <w:tcW w:w="1327" w:type="dxa"/>
                  <w:shd w:val="clear" w:color="auto" w:fill="auto"/>
                  <w:vAlign w:val="center"/>
                </w:tcPr>
                <w:p w14:paraId="3709F7F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1.4</w:t>
                  </w:r>
                </w:p>
              </w:tc>
              <w:tc>
                <w:tcPr>
                  <w:tcW w:w="877" w:type="dxa"/>
                  <w:vMerge w:val="restart"/>
                  <w:vAlign w:val="center"/>
                </w:tcPr>
                <w:p w14:paraId="13EE5DA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120</w:t>
                  </w:r>
                </w:p>
              </w:tc>
              <w:tc>
                <w:tcPr>
                  <w:tcW w:w="1196" w:type="dxa"/>
                  <w:vAlign w:val="center"/>
                </w:tcPr>
                <w:p w14:paraId="75A45047">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1D63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6580C57B">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252C8002">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2F0EB919">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3F6B4B4C">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07007</w:t>
                  </w:r>
                </w:p>
              </w:tc>
              <w:tc>
                <w:tcPr>
                  <w:tcW w:w="1096" w:type="dxa"/>
                  <w:shd w:val="clear" w:color="auto" w:fill="auto"/>
                  <w:vAlign w:val="center"/>
                </w:tcPr>
                <w:p w14:paraId="1944AE0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26345</w:t>
                  </w:r>
                </w:p>
              </w:tc>
              <w:tc>
                <w:tcPr>
                  <w:tcW w:w="1327" w:type="dxa"/>
                  <w:shd w:val="clear" w:color="auto" w:fill="auto"/>
                  <w:vAlign w:val="center"/>
                </w:tcPr>
                <w:p w14:paraId="5CE4E5C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&lt;1.0</w:t>
                  </w:r>
                </w:p>
              </w:tc>
              <w:tc>
                <w:tcPr>
                  <w:tcW w:w="877" w:type="dxa"/>
                  <w:vMerge w:val="continue"/>
                  <w:vAlign w:val="center"/>
                </w:tcPr>
                <w:p w14:paraId="29E388D2">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7958D656">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D0D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79" w:type="dxa"/>
                  <w:vMerge w:val="continue"/>
                  <w:vAlign w:val="center"/>
                </w:tcPr>
                <w:p w14:paraId="561D4453">
                  <w:pPr>
                    <w:widowControl/>
                    <w:spacing w:line="240" w:lineRule="auto"/>
                    <w:jc w:val="center"/>
                    <w:textAlignment w:val="center"/>
                    <w:rPr>
                      <w:rFonts w:hint="default" w:cs="宋体"/>
                      <w:color w:val="auto"/>
                      <w:kern w:val="0"/>
                      <w:sz w:val="18"/>
                      <w:szCs w:val="18"/>
                      <w:lang w:val="en-US" w:eastAsia="zh-CN" w:bidi="ar"/>
                    </w:rPr>
                  </w:pPr>
                </w:p>
              </w:tc>
              <w:tc>
                <w:tcPr>
                  <w:tcW w:w="1085" w:type="dxa"/>
                  <w:vMerge w:val="continue"/>
                  <w:vAlign w:val="center"/>
                </w:tcPr>
                <w:p w14:paraId="712ACC2C">
                  <w:pPr>
                    <w:widowControl/>
                    <w:spacing w:line="240" w:lineRule="auto"/>
                    <w:jc w:val="center"/>
                    <w:textAlignment w:val="center"/>
                    <w:rPr>
                      <w:rFonts w:hint="default" w:cs="宋体"/>
                      <w:color w:val="auto"/>
                      <w:kern w:val="0"/>
                      <w:sz w:val="18"/>
                      <w:szCs w:val="18"/>
                      <w:lang w:val="en-US" w:eastAsia="zh-CN" w:bidi="ar"/>
                    </w:rPr>
                  </w:pPr>
                </w:p>
              </w:tc>
              <w:tc>
                <w:tcPr>
                  <w:tcW w:w="923" w:type="dxa"/>
                  <w:vMerge w:val="continue"/>
                  <w:vAlign w:val="center"/>
                </w:tcPr>
                <w:p w14:paraId="5CF244A6">
                  <w:pPr>
                    <w:widowControl/>
                    <w:spacing w:line="240" w:lineRule="auto"/>
                    <w:jc w:val="center"/>
                    <w:textAlignment w:val="center"/>
                    <w:rPr>
                      <w:rFonts w:hint="default" w:cs="宋体"/>
                      <w:color w:val="auto"/>
                      <w:kern w:val="0"/>
                      <w:sz w:val="18"/>
                      <w:szCs w:val="18"/>
                      <w:lang w:val="en-US" w:eastAsia="zh-CN" w:bidi="ar"/>
                    </w:rPr>
                  </w:pPr>
                </w:p>
              </w:tc>
              <w:tc>
                <w:tcPr>
                  <w:tcW w:w="1477" w:type="dxa"/>
                  <w:vAlign w:val="center"/>
                </w:tcPr>
                <w:p w14:paraId="62206E7D">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2025-Q-03</w:t>
                  </w:r>
                  <w:r>
                    <w:rPr>
                      <w:rFonts w:hint="eastAsia" w:cs="宋体"/>
                      <w:color w:val="auto"/>
                      <w:kern w:val="0"/>
                      <w:sz w:val="18"/>
                      <w:szCs w:val="18"/>
                      <w:lang w:val="en-US" w:eastAsia="zh-CN" w:bidi="ar"/>
                    </w:rPr>
                    <w:t>07008</w:t>
                  </w:r>
                </w:p>
              </w:tc>
              <w:tc>
                <w:tcPr>
                  <w:tcW w:w="1096" w:type="dxa"/>
                  <w:shd w:val="clear" w:color="auto" w:fill="auto"/>
                  <w:vAlign w:val="center"/>
                </w:tcPr>
                <w:p w14:paraId="40DF8E4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26132</w:t>
                  </w:r>
                </w:p>
              </w:tc>
              <w:tc>
                <w:tcPr>
                  <w:tcW w:w="1327" w:type="dxa"/>
                  <w:shd w:val="clear" w:color="auto" w:fill="auto"/>
                  <w:vAlign w:val="center"/>
                </w:tcPr>
                <w:p w14:paraId="4F86A61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3.0</w:t>
                  </w:r>
                </w:p>
              </w:tc>
              <w:tc>
                <w:tcPr>
                  <w:tcW w:w="877" w:type="dxa"/>
                  <w:vMerge w:val="continue"/>
                  <w:vAlign w:val="center"/>
                </w:tcPr>
                <w:p w14:paraId="47E9475D">
                  <w:pPr>
                    <w:widowControl/>
                    <w:spacing w:line="240" w:lineRule="auto"/>
                    <w:jc w:val="center"/>
                    <w:textAlignment w:val="center"/>
                    <w:rPr>
                      <w:rFonts w:hint="default" w:cs="宋体"/>
                      <w:color w:val="auto"/>
                      <w:kern w:val="0"/>
                      <w:sz w:val="18"/>
                      <w:szCs w:val="18"/>
                      <w:lang w:val="en-US" w:eastAsia="zh-CN" w:bidi="ar"/>
                    </w:rPr>
                  </w:pPr>
                </w:p>
              </w:tc>
              <w:tc>
                <w:tcPr>
                  <w:tcW w:w="1196" w:type="dxa"/>
                  <w:vAlign w:val="center"/>
                </w:tcPr>
                <w:p w14:paraId="49C7BB0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达标</w:t>
                  </w:r>
                </w:p>
              </w:tc>
            </w:tr>
          </w:tbl>
          <w:p w14:paraId="228B4A65">
            <w:pPr>
              <w:ind w:firstLine="480" w:firstLineChars="200"/>
              <w:rPr>
                <w:rFonts w:hint="default"/>
                <w:color w:val="auto"/>
                <w:lang w:val="en-US" w:eastAsia="zh-CN"/>
              </w:rPr>
            </w:pPr>
            <w:r>
              <w:rPr>
                <w:rFonts w:hint="eastAsia"/>
                <w:color w:val="auto"/>
                <w:lang w:val="en-US" w:eastAsia="zh-CN"/>
              </w:rPr>
              <w:t>监测期间，各工序有组织废气中硫酸雾最大排放浓度为3.37mg/m</w:t>
            </w:r>
            <w:r>
              <w:rPr>
                <w:rFonts w:hint="eastAsia"/>
                <w:color w:val="auto"/>
                <w:vertAlign w:val="superscript"/>
                <w:lang w:val="en-US" w:eastAsia="zh-CN"/>
              </w:rPr>
              <w:t>3</w:t>
            </w:r>
            <w:r>
              <w:rPr>
                <w:rFonts w:hint="eastAsia"/>
                <w:color w:val="auto"/>
                <w:lang w:val="en-US" w:eastAsia="zh-CN"/>
              </w:rPr>
              <w:t>，满足《电镀污染物排放标准》（GB21900-2008）标准要求；颗粒物最大排放浓度为4.6mg/m</w:t>
            </w:r>
            <w:r>
              <w:rPr>
                <w:rFonts w:hint="eastAsia"/>
                <w:color w:val="auto"/>
                <w:vertAlign w:val="superscript"/>
                <w:lang w:val="en-US" w:eastAsia="zh-CN"/>
              </w:rPr>
              <w:t>3</w:t>
            </w:r>
            <w:r>
              <w:rPr>
                <w:rFonts w:hint="eastAsia"/>
                <w:color w:val="auto"/>
                <w:lang w:val="en-US" w:eastAsia="zh-CN"/>
              </w:rPr>
              <w:t>，满足《大气污染物综合排放标准》（GB16297-1996）要求。</w:t>
            </w:r>
          </w:p>
          <w:p w14:paraId="360E50F3">
            <w:pPr>
              <w:ind w:firstLine="480" w:firstLineChars="200"/>
              <w:rPr>
                <w:rFonts w:hint="eastAsia"/>
                <w:color w:val="auto"/>
                <w:lang w:val="en-US" w:eastAsia="zh-CN"/>
              </w:rPr>
            </w:pPr>
            <w:r>
              <w:rPr>
                <w:rFonts w:hint="eastAsia"/>
                <w:color w:val="auto"/>
                <w:lang w:val="en-US" w:eastAsia="zh-CN"/>
              </w:rPr>
              <w:t>现有项目废气主要为池州市安安新材料科技股份有限公司无组织废气均能达到《大气污染物综合排放标准》(GB16297-1996)中无组织排放监控浓度限值。</w:t>
            </w:r>
          </w:p>
          <w:p w14:paraId="64B18459">
            <w:pPr>
              <w:ind w:firstLine="480" w:firstLineChars="200"/>
              <w:jc w:val="center"/>
              <w:rPr>
                <w:rFonts w:hint="default"/>
                <w:color w:val="auto"/>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17</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现有工程无组织非甲烷总烃监测数据</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2"/>
              <w:gridCol w:w="1812"/>
              <w:gridCol w:w="1812"/>
              <w:gridCol w:w="1812"/>
              <w:gridCol w:w="1812"/>
            </w:tblGrid>
            <w:tr w14:paraId="52F3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812" w:type="dxa"/>
                  <w:vAlign w:val="center"/>
                </w:tcPr>
                <w:p w14:paraId="278414DB">
                  <w:pPr>
                    <w:widowControl/>
                    <w:spacing w:line="240" w:lineRule="auto"/>
                    <w:jc w:val="center"/>
                    <w:textAlignment w:val="center"/>
                    <w:rPr>
                      <w:rFonts w:hint="default" w:cs="宋体"/>
                      <w:color w:val="auto"/>
                      <w:kern w:val="0"/>
                      <w:sz w:val="18"/>
                      <w:szCs w:val="18"/>
                      <w:lang w:val="en-US" w:eastAsia="zh-CN" w:bidi="ar"/>
                    </w:rPr>
                  </w:pPr>
                  <w:r>
                    <w:rPr>
                      <w:rFonts w:hint="default" w:cs="宋体"/>
                      <w:color w:val="auto"/>
                      <w:kern w:val="0"/>
                      <w:sz w:val="18"/>
                      <w:szCs w:val="18"/>
                      <w:lang w:val="en-US" w:eastAsia="zh-CN" w:bidi="ar"/>
                    </w:rPr>
                    <w:t>监测</w:t>
                  </w:r>
                  <w:r>
                    <w:rPr>
                      <w:rFonts w:hint="eastAsia" w:cs="宋体"/>
                      <w:color w:val="auto"/>
                      <w:kern w:val="0"/>
                      <w:sz w:val="18"/>
                      <w:szCs w:val="18"/>
                      <w:lang w:val="en-US" w:eastAsia="zh-CN" w:bidi="ar"/>
                    </w:rPr>
                    <w:t>时间</w:t>
                  </w:r>
                </w:p>
              </w:tc>
              <w:tc>
                <w:tcPr>
                  <w:tcW w:w="1812" w:type="dxa"/>
                  <w:vAlign w:val="center"/>
                </w:tcPr>
                <w:p w14:paraId="377940D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监测位置</w:t>
                  </w:r>
                </w:p>
              </w:tc>
              <w:tc>
                <w:tcPr>
                  <w:tcW w:w="1812" w:type="dxa"/>
                  <w:vAlign w:val="center"/>
                </w:tcPr>
                <w:p w14:paraId="2AD0985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浓度（</w:t>
                  </w:r>
                  <w:r>
                    <w:rPr>
                      <w:rFonts w:hint="eastAsia"/>
                      <w:color w:val="auto"/>
                      <w:sz w:val="18"/>
                      <w:szCs w:val="18"/>
                      <w:lang w:val="en-US" w:eastAsia="zh-CN"/>
                    </w:rPr>
                    <w:t>mg/m</w:t>
                  </w:r>
                  <w:r>
                    <w:rPr>
                      <w:rFonts w:hint="eastAsia"/>
                      <w:color w:val="auto"/>
                      <w:sz w:val="18"/>
                      <w:szCs w:val="18"/>
                      <w:vertAlign w:val="superscript"/>
                      <w:lang w:val="en-US" w:eastAsia="zh-CN"/>
                    </w:rPr>
                    <w:t>3</w:t>
                  </w:r>
                  <w:r>
                    <w:rPr>
                      <w:rFonts w:hint="eastAsia" w:cs="宋体"/>
                      <w:color w:val="auto"/>
                      <w:kern w:val="0"/>
                      <w:sz w:val="18"/>
                      <w:szCs w:val="18"/>
                      <w:lang w:val="en-US" w:eastAsia="zh-CN" w:bidi="ar"/>
                    </w:rPr>
                    <w:t>）</w:t>
                  </w:r>
                </w:p>
              </w:tc>
              <w:tc>
                <w:tcPr>
                  <w:tcW w:w="1812" w:type="dxa"/>
                  <w:vAlign w:val="center"/>
                </w:tcPr>
                <w:p w14:paraId="3F08493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评价标准（</w:t>
                  </w:r>
                  <w:r>
                    <w:rPr>
                      <w:rFonts w:hint="eastAsia"/>
                      <w:color w:val="auto"/>
                      <w:sz w:val="18"/>
                      <w:szCs w:val="18"/>
                      <w:lang w:val="en-US" w:eastAsia="zh-CN"/>
                    </w:rPr>
                    <w:t>mg/m</w:t>
                  </w:r>
                  <w:r>
                    <w:rPr>
                      <w:rFonts w:hint="eastAsia"/>
                      <w:color w:val="auto"/>
                      <w:sz w:val="18"/>
                      <w:szCs w:val="18"/>
                      <w:vertAlign w:val="superscript"/>
                      <w:lang w:val="en-US" w:eastAsia="zh-CN"/>
                    </w:rPr>
                    <w:t>3</w:t>
                  </w:r>
                  <w:r>
                    <w:rPr>
                      <w:rFonts w:hint="eastAsia" w:cs="宋体"/>
                      <w:color w:val="auto"/>
                      <w:kern w:val="0"/>
                      <w:sz w:val="18"/>
                      <w:szCs w:val="18"/>
                      <w:lang w:val="en-US" w:eastAsia="zh-CN" w:bidi="ar"/>
                    </w:rPr>
                    <w:t>）</w:t>
                  </w:r>
                </w:p>
              </w:tc>
              <w:tc>
                <w:tcPr>
                  <w:tcW w:w="1812" w:type="dxa"/>
                  <w:vAlign w:val="center"/>
                </w:tcPr>
                <w:p w14:paraId="2D21D44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达标情况</w:t>
                  </w:r>
                </w:p>
              </w:tc>
            </w:tr>
            <w:tr w14:paraId="54BE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812" w:type="dxa"/>
                  <w:vMerge w:val="restart"/>
                  <w:vAlign w:val="center"/>
                </w:tcPr>
                <w:p w14:paraId="5F60BA0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2025年2月8日，厂界低浓度颗粒物</w:t>
                  </w:r>
                </w:p>
              </w:tc>
              <w:tc>
                <w:tcPr>
                  <w:tcW w:w="1812" w:type="dxa"/>
                  <w:vMerge w:val="restart"/>
                  <w:vAlign w:val="center"/>
                </w:tcPr>
                <w:p w14:paraId="1DCE345F">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厂界上风向</w:t>
                  </w:r>
                </w:p>
              </w:tc>
              <w:tc>
                <w:tcPr>
                  <w:tcW w:w="1812" w:type="dxa"/>
                  <w:vAlign w:val="center"/>
                </w:tcPr>
                <w:p w14:paraId="10184AD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restart"/>
                  <w:vAlign w:val="center"/>
                </w:tcPr>
                <w:p w14:paraId="7F5FDCE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1.0</w:t>
                  </w:r>
                </w:p>
              </w:tc>
              <w:tc>
                <w:tcPr>
                  <w:tcW w:w="1812" w:type="dxa"/>
                  <w:vAlign w:val="center"/>
                </w:tcPr>
                <w:p w14:paraId="062DCF1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A137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812" w:type="dxa"/>
                  <w:vMerge w:val="continue"/>
                  <w:vAlign w:val="center"/>
                </w:tcPr>
                <w:p w14:paraId="6EB4EC37">
                  <w:pPr>
                    <w:widowControl/>
                    <w:spacing w:line="240" w:lineRule="auto"/>
                    <w:jc w:val="center"/>
                    <w:textAlignment w:val="center"/>
                    <w:rPr>
                      <w:rFonts w:hint="eastAsia" w:cs="宋体"/>
                      <w:color w:val="auto"/>
                      <w:kern w:val="0"/>
                      <w:sz w:val="18"/>
                      <w:szCs w:val="18"/>
                      <w:lang w:val="en-US" w:eastAsia="zh-CN" w:bidi="ar"/>
                    </w:rPr>
                  </w:pPr>
                </w:p>
              </w:tc>
              <w:tc>
                <w:tcPr>
                  <w:tcW w:w="1812" w:type="dxa"/>
                  <w:vMerge w:val="continue"/>
                  <w:vAlign w:val="center"/>
                </w:tcPr>
                <w:p w14:paraId="04DB409E">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2950A9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6B4C442F">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2FCF484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D2E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812" w:type="dxa"/>
                  <w:vMerge w:val="continue"/>
                  <w:vAlign w:val="center"/>
                </w:tcPr>
                <w:p w14:paraId="444E70E8">
                  <w:pPr>
                    <w:widowControl/>
                    <w:spacing w:line="240" w:lineRule="auto"/>
                    <w:jc w:val="center"/>
                    <w:textAlignment w:val="center"/>
                    <w:rPr>
                      <w:rFonts w:hint="eastAsia" w:cs="宋体"/>
                      <w:color w:val="auto"/>
                      <w:kern w:val="0"/>
                      <w:sz w:val="18"/>
                      <w:szCs w:val="18"/>
                      <w:lang w:val="en-US" w:eastAsia="zh-CN" w:bidi="ar"/>
                    </w:rPr>
                  </w:pPr>
                </w:p>
              </w:tc>
              <w:tc>
                <w:tcPr>
                  <w:tcW w:w="1812" w:type="dxa"/>
                  <w:vMerge w:val="continue"/>
                  <w:vAlign w:val="center"/>
                </w:tcPr>
                <w:p w14:paraId="4B062EAC">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13D85D2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25BBF568">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E3D306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760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812" w:type="dxa"/>
                  <w:vMerge w:val="continue"/>
                  <w:vAlign w:val="center"/>
                </w:tcPr>
                <w:p w14:paraId="1C2A4729">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58246C8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厂界下风向1</w:t>
                  </w:r>
                </w:p>
              </w:tc>
              <w:tc>
                <w:tcPr>
                  <w:tcW w:w="1812" w:type="dxa"/>
                  <w:vAlign w:val="center"/>
                </w:tcPr>
                <w:p w14:paraId="08744C7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259CE4E5">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90A937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28F0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812" w:type="dxa"/>
                  <w:vMerge w:val="continue"/>
                  <w:vAlign w:val="center"/>
                </w:tcPr>
                <w:p w14:paraId="44D3B22D">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65D36DB5">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39D393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21EBD176">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066A33B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437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812" w:type="dxa"/>
                  <w:vMerge w:val="continue"/>
                  <w:vAlign w:val="center"/>
                </w:tcPr>
                <w:p w14:paraId="64C6D7AF">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419B14A0">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256E07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33F34CC4">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15CCBB6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4B4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812" w:type="dxa"/>
                  <w:vMerge w:val="continue"/>
                  <w:vAlign w:val="center"/>
                </w:tcPr>
                <w:p w14:paraId="77A37465">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60A9E54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厂界下风向2</w:t>
                  </w:r>
                </w:p>
              </w:tc>
              <w:tc>
                <w:tcPr>
                  <w:tcW w:w="1812" w:type="dxa"/>
                  <w:vAlign w:val="center"/>
                </w:tcPr>
                <w:p w14:paraId="63A435C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1408B4EF">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51C764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5DF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812" w:type="dxa"/>
                  <w:vMerge w:val="continue"/>
                  <w:vAlign w:val="center"/>
                </w:tcPr>
                <w:p w14:paraId="04C8E024">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6CBD626C">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4ED243A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059F4272">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6EC4092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66AD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812" w:type="dxa"/>
                  <w:vMerge w:val="continue"/>
                  <w:vAlign w:val="center"/>
                </w:tcPr>
                <w:p w14:paraId="0D969492">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188B1779">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30A523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17CEA15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4FF87C7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5BD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812" w:type="dxa"/>
                  <w:vMerge w:val="continue"/>
                  <w:vAlign w:val="center"/>
                </w:tcPr>
                <w:p w14:paraId="23B10771">
                  <w:pPr>
                    <w:widowControl/>
                    <w:spacing w:line="240" w:lineRule="auto"/>
                    <w:jc w:val="center"/>
                    <w:textAlignment w:val="center"/>
                    <w:rPr>
                      <w:rFonts w:hint="default" w:cs="宋体"/>
                      <w:color w:val="auto"/>
                      <w:kern w:val="0"/>
                      <w:sz w:val="18"/>
                      <w:szCs w:val="18"/>
                      <w:lang w:val="en-US" w:eastAsia="zh-CN" w:bidi="ar"/>
                    </w:rPr>
                  </w:pPr>
                </w:p>
              </w:tc>
              <w:tc>
                <w:tcPr>
                  <w:tcW w:w="1812" w:type="dxa"/>
                  <w:vMerge w:val="restart"/>
                  <w:vAlign w:val="center"/>
                </w:tcPr>
                <w:p w14:paraId="745FD15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厂界下风向3</w:t>
                  </w:r>
                </w:p>
              </w:tc>
              <w:tc>
                <w:tcPr>
                  <w:tcW w:w="1812" w:type="dxa"/>
                  <w:vAlign w:val="center"/>
                </w:tcPr>
                <w:p w14:paraId="3068C854">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2FC8C19C">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DBD821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48FB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812" w:type="dxa"/>
                  <w:vMerge w:val="continue"/>
                  <w:vAlign w:val="center"/>
                </w:tcPr>
                <w:p w14:paraId="4D36E588">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398FB81D">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A8C71F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522A3500">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042C57C3">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r w14:paraId="5A0B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812" w:type="dxa"/>
                  <w:vMerge w:val="continue"/>
                  <w:vAlign w:val="center"/>
                </w:tcPr>
                <w:p w14:paraId="613B2DBA">
                  <w:pPr>
                    <w:widowControl/>
                    <w:spacing w:line="240" w:lineRule="auto"/>
                    <w:jc w:val="center"/>
                    <w:textAlignment w:val="center"/>
                    <w:rPr>
                      <w:rFonts w:hint="default" w:cs="宋体"/>
                      <w:color w:val="auto"/>
                      <w:kern w:val="0"/>
                      <w:sz w:val="18"/>
                      <w:szCs w:val="18"/>
                      <w:lang w:val="en-US" w:eastAsia="zh-CN" w:bidi="ar"/>
                    </w:rPr>
                  </w:pPr>
                </w:p>
              </w:tc>
              <w:tc>
                <w:tcPr>
                  <w:tcW w:w="1812" w:type="dxa"/>
                  <w:vMerge w:val="continue"/>
                  <w:vAlign w:val="center"/>
                </w:tcPr>
                <w:p w14:paraId="2A1DF501">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7D8EBB02">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&lt;0.168</w:t>
                  </w:r>
                </w:p>
              </w:tc>
              <w:tc>
                <w:tcPr>
                  <w:tcW w:w="1812" w:type="dxa"/>
                  <w:vMerge w:val="continue"/>
                  <w:vAlign w:val="center"/>
                </w:tcPr>
                <w:p w14:paraId="32FF9B68">
                  <w:pPr>
                    <w:widowControl/>
                    <w:spacing w:line="240" w:lineRule="auto"/>
                    <w:jc w:val="center"/>
                    <w:textAlignment w:val="center"/>
                    <w:rPr>
                      <w:rFonts w:hint="default" w:cs="宋体"/>
                      <w:color w:val="auto"/>
                      <w:kern w:val="0"/>
                      <w:sz w:val="18"/>
                      <w:szCs w:val="18"/>
                      <w:lang w:val="en-US" w:eastAsia="zh-CN" w:bidi="ar"/>
                    </w:rPr>
                  </w:pPr>
                </w:p>
              </w:tc>
              <w:tc>
                <w:tcPr>
                  <w:tcW w:w="1812" w:type="dxa"/>
                  <w:vAlign w:val="center"/>
                </w:tcPr>
                <w:p w14:paraId="3F52FF1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达标</w:t>
                  </w:r>
                </w:p>
              </w:tc>
            </w:tr>
          </w:tbl>
          <w:p w14:paraId="5814A922">
            <w:pPr>
              <w:ind w:firstLine="480" w:firstLineChars="200"/>
              <w:rPr>
                <w:rFonts w:hint="eastAsia"/>
                <w:color w:val="auto"/>
                <w:lang w:val="en-US" w:eastAsia="zh-CN"/>
              </w:rPr>
            </w:pPr>
            <w:r>
              <w:rPr>
                <w:rFonts w:hint="eastAsia"/>
                <w:color w:val="auto"/>
                <w:lang w:val="en-US" w:eastAsia="zh-CN"/>
              </w:rPr>
              <w:t>（3）噪声</w:t>
            </w:r>
          </w:p>
          <w:p w14:paraId="24564302">
            <w:pPr>
              <w:ind w:firstLine="480" w:firstLineChars="200"/>
              <w:rPr>
                <w:rFonts w:hint="default"/>
                <w:color w:val="auto"/>
                <w:lang w:val="en-US"/>
              </w:rPr>
            </w:pPr>
            <w:r>
              <w:rPr>
                <w:rFonts w:hint="eastAsia"/>
                <w:b w:val="0"/>
                <w:bCs w:val="0"/>
                <w:color w:val="auto"/>
                <w:lang w:val="en-US" w:eastAsia="zh-CN"/>
              </w:rPr>
              <w:t>根据池州市安安新材料科技股份有限公司2025年3月常规检测报告，检测时间2025年3月21日~2025年3月22日，检测机构为安徽池云检测有限公司</w:t>
            </w:r>
            <w:r>
              <w:rPr>
                <w:rFonts w:hint="eastAsia"/>
                <w:color w:val="auto"/>
                <w:lang w:val="en-US" w:eastAsia="zh-CN"/>
              </w:rPr>
              <w:t>，池州市安安新材料科技股份有限公司厂界噪声均能达标排放。</w:t>
            </w:r>
          </w:p>
          <w:p w14:paraId="3E150ECD">
            <w:pPr>
              <w:bidi w:val="0"/>
              <w:ind w:firstLine="480" w:firstLineChars="200"/>
              <w:rPr>
                <w:rFonts w:hint="eastAsia"/>
                <w:color w:val="auto"/>
                <w:lang w:val="en-US" w:eastAsia="zh-CN"/>
              </w:rPr>
            </w:pPr>
            <w:r>
              <w:rPr>
                <w:rFonts w:hint="eastAsia"/>
                <w:color w:val="auto"/>
                <w:lang w:val="en-US" w:eastAsia="zh-CN"/>
              </w:rPr>
              <w:t>（4）固废</w:t>
            </w:r>
          </w:p>
          <w:p w14:paraId="65C52B3F">
            <w:pPr>
              <w:bidi w:val="0"/>
              <w:ind w:firstLine="480" w:firstLineChars="200"/>
              <w:rPr>
                <w:rFonts w:hint="eastAsia"/>
                <w:color w:val="auto"/>
                <w:lang w:val="en-US" w:eastAsia="zh-CN"/>
              </w:rPr>
            </w:pPr>
            <w:r>
              <w:rPr>
                <w:rFonts w:hint="eastAsia"/>
                <w:color w:val="auto"/>
                <w:lang w:val="en-US" w:eastAsia="zh-CN"/>
              </w:rPr>
              <w:t>现有项目固废主要包括废铝屑、边角料、废模具、污水处理污泥、废槽渣、废润滑油、废切削液、在线监测废液、生活垃圾。</w:t>
            </w:r>
          </w:p>
          <w:p w14:paraId="068235C3">
            <w:pPr>
              <w:ind w:firstLine="480" w:firstLineChars="200"/>
              <w:jc w:val="center"/>
              <w:rPr>
                <w:rFonts w:ascii="黑体" w:hAnsi="黑体" w:eastAsia="黑体"/>
                <w:color w:val="auto"/>
                <w:szCs w:val="24"/>
              </w:rPr>
            </w:pPr>
            <w:r>
              <w:rPr>
                <w:rFonts w:hint="eastAsia" w:ascii="黑体" w:hAnsi="黑体" w:eastAsia="黑体"/>
                <w:color w:val="auto"/>
                <w:szCs w:val="24"/>
              </w:rPr>
              <w:t>表</w:t>
            </w:r>
            <w:r>
              <w:rPr>
                <w:rFonts w:hint="default" w:ascii="Times New Roman" w:hAnsi="Times New Roman" w:eastAsia="黑体" w:cs="Times New Roman"/>
                <w:color w:val="auto"/>
                <w:szCs w:val="24"/>
              </w:rPr>
              <w:t>2-</w:t>
            </w:r>
            <w:r>
              <w:rPr>
                <w:rFonts w:hint="eastAsia" w:eastAsia="黑体" w:cs="Times New Roman"/>
                <w:color w:val="auto"/>
                <w:szCs w:val="24"/>
                <w:lang w:val="en-US" w:eastAsia="zh-CN"/>
              </w:rPr>
              <w:t>19</w:t>
            </w:r>
            <w:r>
              <w:rPr>
                <w:rFonts w:hint="eastAsia" w:ascii="黑体" w:hAnsi="黑体" w:eastAsia="黑体"/>
                <w:color w:val="auto"/>
                <w:szCs w:val="24"/>
              </w:rPr>
              <w:t xml:space="preserve">  现有项目固体废物处置情况</w:t>
            </w:r>
          </w:p>
          <w:tbl>
            <w:tblPr>
              <w:tblStyle w:val="6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877"/>
              <w:gridCol w:w="837"/>
              <w:gridCol w:w="2285"/>
              <w:gridCol w:w="1243"/>
              <w:gridCol w:w="2130"/>
            </w:tblGrid>
            <w:tr w14:paraId="42A7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77" w:type="pct"/>
                  <w:noWrap w:val="0"/>
                  <w:vAlign w:val="center"/>
                </w:tcPr>
                <w:p w14:paraId="0AD5AB2D">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序号</w:t>
                  </w:r>
                </w:p>
              </w:tc>
              <w:tc>
                <w:tcPr>
                  <w:tcW w:w="1036" w:type="pct"/>
                  <w:noWrap w:val="0"/>
                  <w:vAlign w:val="center"/>
                </w:tcPr>
                <w:p w14:paraId="486FA428">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固废名称</w:t>
                  </w:r>
                </w:p>
              </w:tc>
              <w:tc>
                <w:tcPr>
                  <w:tcW w:w="462" w:type="pct"/>
                  <w:noWrap w:val="0"/>
                  <w:vAlign w:val="center"/>
                </w:tcPr>
                <w:p w14:paraId="426F81C5">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属性</w:t>
                  </w:r>
                </w:p>
              </w:tc>
              <w:tc>
                <w:tcPr>
                  <w:tcW w:w="1261" w:type="pct"/>
                  <w:noWrap w:val="0"/>
                  <w:vAlign w:val="center"/>
                </w:tcPr>
                <w:p w14:paraId="2BF98E4E">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形态/主要成分</w:t>
                  </w:r>
                </w:p>
              </w:tc>
              <w:tc>
                <w:tcPr>
                  <w:tcW w:w="686" w:type="pct"/>
                  <w:noWrap w:val="0"/>
                  <w:vAlign w:val="center"/>
                </w:tcPr>
                <w:p w14:paraId="441A3326">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废物类别</w:t>
                  </w:r>
                </w:p>
              </w:tc>
              <w:tc>
                <w:tcPr>
                  <w:tcW w:w="1176" w:type="pct"/>
                  <w:noWrap w:val="0"/>
                  <w:vAlign w:val="center"/>
                </w:tcPr>
                <w:p w14:paraId="6D420CC8">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处理处置方法</w:t>
                  </w:r>
                </w:p>
              </w:tc>
            </w:tr>
            <w:tr w14:paraId="481D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377" w:type="pct"/>
                  <w:noWrap w:val="0"/>
                  <w:vAlign w:val="center"/>
                </w:tcPr>
                <w:p w14:paraId="5ED6747D">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1</w:t>
                  </w:r>
                </w:p>
              </w:tc>
              <w:tc>
                <w:tcPr>
                  <w:tcW w:w="1036" w:type="pct"/>
                  <w:noWrap w:val="0"/>
                  <w:vAlign w:val="center"/>
                </w:tcPr>
                <w:p w14:paraId="05158373">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废铝屑、边角料</w:t>
                  </w:r>
                </w:p>
              </w:tc>
              <w:tc>
                <w:tcPr>
                  <w:tcW w:w="462" w:type="pct"/>
                  <w:vMerge w:val="restart"/>
                  <w:noWrap w:val="0"/>
                  <w:vAlign w:val="center"/>
                </w:tcPr>
                <w:p w14:paraId="007CFD02">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一般固废</w:t>
                  </w:r>
                </w:p>
              </w:tc>
              <w:tc>
                <w:tcPr>
                  <w:tcW w:w="1261" w:type="pct"/>
                  <w:noWrap w:val="0"/>
                  <w:vAlign w:val="center"/>
                </w:tcPr>
                <w:p w14:paraId="3C77462A">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固态，</w:t>
                  </w:r>
                  <w:bookmarkStart w:id="52" w:name="OLE_LINK39"/>
                  <w:r>
                    <w:rPr>
                      <w:rFonts w:hint="default" w:eastAsia="宋体" w:cs="宋体"/>
                      <w:color w:val="auto"/>
                      <w:kern w:val="0"/>
                      <w:sz w:val="18"/>
                      <w:szCs w:val="18"/>
                      <w:lang w:val="en-US" w:eastAsia="zh-CN" w:bidi="ar"/>
                    </w:rPr>
                    <w:t>铝、镁、硅</w:t>
                  </w:r>
                  <w:bookmarkEnd w:id="52"/>
                </w:p>
              </w:tc>
              <w:tc>
                <w:tcPr>
                  <w:tcW w:w="686" w:type="pct"/>
                  <w:noWrap w:val="0"/>
                  <w:vAlign w:val="center"/>
                </w:tcPr>
                <w:p w14:paraId="363F2AFC">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w:t>
                  </w:r>
                </w:p>
              </w:tc>
              <w:tc>
                <w:tcPr>
                  <w:tcW w:w="1176" w:type="pct"/>
                  <w:noWrap w:val="0"/>
                  <w:vAlign w:val="center"/>
                </w:tcPr>
                <w:p w14:paraId="47F15C45">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收集后，</w:t>
                  </w:r>
                  <w:r>
                    <w:rPr>
                      <w:rFonts w:hint="eastAsia" w:cs="宋体"/>
                      <w:color w:val="auto"/>
                      <w:kern w:val="0"/>
                      <w:sz w:val="18"/>
                      <w:szCs w:val="18"/>
                      <w:lang w:val="en-US" w:eastAsia="zh-CN" w:bidi="ar"/>
                    </w:rPr>
                    <w:t>外售综合利用</w:t>
                  </w:r>
                </w:p>
              </w:tc>
            </w:tr>
            <w:tr w14:paraId="38B7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377" w:type="pct"/>
                  <w:shd w:val="clear" w:color="auto" w:fill="auto"/>
                  <w:noWrap w:val="0"/>
                  <w:vAlign w:val="center"/>
                </w:tcPr>
                <w:p w14:paraId="22CE2685">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w:t>
                  </w:r>
                </w:p>
              </w:tc>
              <w:tc>
                <w:tcPr>
                  <w:tcW w:w="1036" w:type="pct"/>
                  <w:noWrap w:val="0"/>
                  <w:vAlign w:val="center"/>
                </w:tcPr>
                <w:p w14:paraId="73BADA61">
                  <w:pPr>
                    <w:widowControl/>
                    <w:spacing w:line="240" w:lineRule="auto"/>
                    <w:jc w:val="center"/>
                    <w:textAlignment w:val="center"/>
                    <w:rPr>
                      <w:rFonts w:hint="default" w:eastAsia="宋体" w:cs="宋体"/>
                      <w:color w:val="auto"/>
                      <w:kern w:val="0"/>
                      <w:sz w:val="18"/>
                      <w:szCs w:val="18"/>
                      <w:lang w:val="en-US" w:eastAsia="zh-CN" w:bidi="ar"/>
                    </w:rPr>
                  </w:pPr>
                  <w:r>
                    <w:rPr>
                      <w:rFonts w:hint="eastAsia" w:eastAsia="宋体" w:cs="宋体"/>
                      <w:color w:val="auto"/>
                      <w:kern w:val="0"/>
                      <w:sz w:val="18"/>
                      <w:szCs w:val="18"/>
                      <w:lang w:val="en-US" w:eastAsia="zh-CN" w:bidi="ar"/>
                    </w:rPr>
                    <w:t>废模具</w:t>
                  </w:r>
                </w:p>
              </w:tc>
              <w:tc>
                <w:tcPr>
                  <w:tcW w:w="462" w:type="pct"/>
                  <w:vMerge w:val="continue"/>
                  <w:noWrap w:val="0"/>
                  <w:vAlign w:val="center"/>
                </w:tcPr>
                <w:p w14:paraId="0B9E43C6">
                  <w:pPr>
                    <w:widowControl/>
                    <w:spacing w:line="240" w:lineRule="auto"/>
                    <w:jc w:val="center"/>
                    <w:textAlignment w:val="center"/>
                    <w:rPr>
                      <w:rFonts w:hint="default" w:eastAsia="宋体" w:cs="宋体"/>
                      <w:color w:val="auto"/>
                      <w:kern w:val="0"/>
                      <w:sz w:val="18"/>
                      <w:szCs w:val="18"/>
                      <w:lang w:val="en-US" w:eastAsia="zh-CN" w:bidi="ar"/>
                    </w:rPr>
                  </w:pPr>
                </w:p>
              </w:tc>
              <w:tc>
                <w:tcPr>
                  <w:tcW w:w="1261" w:type="pct"/>
                  <w:noWrap w:val="0"/>
                  <w:vAlign w:val="center"/>
                </w:tcPr>
                <w:p w14:paraId="6D91F8F5">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模具</w:t>
                  </w:r>
                </w:p>
              </w:tc>
              <w:tc>
                <w:tcPr>
                  <w:tcW w:w="686" w:type="pct"/>
                  <w:noWrap w:val="0"/>
                  <w:vAlign w:val="center"/>
                </w:tcPr>
                <w:p w14:paraId="4FA7B8FC">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w:t>
                  </w:r>
                </w:p>
              </w:tc>
              <w:tc>
                <w:tcPr>
                  <w:tcW w:w="1176" w:type="pct"/>
                  <w:noWrap w:val="0"/>
                  <w:vAlign w:val="center"/>
                </w:tcPr>
                <w:p w14:paraId="7E4506DD">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厂家回收</w:t>
                  </w:r>
                </w:p>
              </w:tc>
            </w:tr>
            <w:tr w14:paraId="4209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377" w:type="pct"/>
                  <w:shd w:val="clear" w:color="auto" w:fill="auto"/>
                  <w:noWrap w:val="0"/>
                  <w:vAlign w:val="center"/>
                </w:tcPr>
                <w:p w14:paraId="4118AD32">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3</w:t>
                  </w:r>
                </w:p>
              </w:tc>
              <w:tc>
                <w:tcPr>
                  <w:tcW w:w="1036" w:type="pct"/>
                  <w:noWrap w:val="0"/>
                  <w:vAlign w:val="center"/>
                </w:tcPr>
                <w:p w14:paraId="0D9CDA22">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污水处理污泥</w:t>
                  </w:r>
                </w:p>
              </w:tc>
              <w:tc>
                <w:tcPr>
                  <w:tcW w:w="462" w:type="pct"/>
                  <w:vMerge w:val="continue"/>
                  <w:noWrap w:val="0"/>
                  <w:vAlign w:val="center"/>
                </w:tcPr>
                <w:p w14:paraId="4F499BC6">
                  <w:pPr>
                    <w:widowControl/>
                    <w:spacing w:line="240" w:lineRule="auto"/>
                    <w:jc w:val="center"/>
                    <w:textAlignment w:val="center"/>
                    <w:rPr>
                      <w:rFonts w:hint="default" w:eastAsia="宋体" w:cs="宋体"/>
                      <w:color w:val="auto"/>
                      <w:kern w:val="0"/>
                      <w:sz w:val="18"/>
                      <w:szCs w:val="18"/>
                      <w:lang w:val="en-US" w:eastAsia="zh-CN" w:bidi="ar"/>
                    </w:rPr>
                  </w:pPr>
                </w:p>
              </w:tc>
              <w:tc>
                <w:tcPr>
                  <w:tcW w:w="1261" w:type="pct"/>
                  <w:noWrap w:val="0"/>
                  <w:vAlign w:val="center"/>
                </w:tcPr>
                <w:p w14:paraId="417BCF10">
                  <w:pPr>
                    <w:widowControl/>
                    <w:spacing w:line="240" w:lineRule="auto"/>
                    <w:jc w:val="center"/>
                    <w:textAlignment w:val="center"/>
                    <w:rPr>
                      <w:rFonts w:hint="eastAsia" w:cs="宋体"/>
                      <w:color w:val="auto"/>
                      <w:kern w:val="0"/>
                      <w:sz w:val="18"/>
                      <w:szCs w:val="18"/>
                      <w:lang w:val="en-US" w:eastAsia="zh-CN" w:bidi="ar"/>
                    </w:rPr>
                  </w:pPr>
                  <w:r>
                    <w:rPr>
                      <w:rFonts w:hint="default" w:eastAsia="宋体" w:cs="宋体"/>
                      <w:color w:val="auto"/>
                      <w:kern w:val="0"/>
                      <w:sz w:val="18"/>
                      <w:szCs w:val="18"/>
                      <w:lang w:val="en-US" w:eastAsia="zh-CN" w:bidi="ar"/>
                    </w:rPr>
                    <w:t>固态</w:t>
                  </w:r>
                </w:p>
              </w:tc>
              <w:tc>
                <w:tcPr>
                  <w:tcW w:w="686" w:type="pct"/>
                  <w:noWrap w:val="0"/>
                  <w:vAlign w:val="center"/>
                </w:tcPr>
                <w:p w14:paraId="698B73D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w:t>
                  </w:r>
                </w:p>
              </w:tc>
              <w:tc>
                <w:tcPr>
                  <w:tcW w:w="1176" w:type="pct"/>
                  <w:noWrap w:val="0"/>
                  <w:vAlign w:val="center"/>
                </w:tcPr>
                <w:p w14:paraId="7DCAC10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外售综合利用</w:t>
                  </w:r>
                </w:p>
              </w:tc>
            </w:tr>
            <w:tr w14:paraId="369A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77" w:type="pct"/>
                  <w:shd w:val="clear" w:color="auto" w:fill="auto"/>
                  <w:noWrap w:val="0"/>
                  <w:vAlign w:val="center"/>
                </w:tcPr>
                <w:p w14:paraId="0561B530">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4</w:t>
                  </w:r>
                </w:p>
              </w:tc>
              <w:tc>
                <w:tcPr>
                  <w:tcW w:w="1036" w:type="pct"/>
                  <w:noWrap w:val="0"/>
                  <w:vAlign w:val="center"/>
                </w:tcPr>
                <w:p w14:paraId="3A376430">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废槽渣</w:t>
                  </w:r>
                </w:p>
              </w:tc>
              <w:tc>
                <w:tcPr>
                  <w:tcW w:w="462" w:type="pct"/>
                  <w:vMerge w:val="restart"/>
                  <w:noWrap w:val="0"/>
                  <w:vAlign w:val="center"/>
                </w:tcPr>
                <w:p w14:paraId="5B86D217">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危险废物</w:t>
                  </w:r>
                </w:p>
              </w:tc>
              <w:tc>
                <w:tcPr>
                  <w:tcW w:w="1261" w:type="pct"/>
                  <w:noWrap w:val="0"/>
                  <w:vAlign w:val="center"/>
                </w:tcPr>
                <w:p w14:paraId="4308BB08">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液态，铝</w:t>
                  </w:r>
                </w:p>
              </w:tc>
              <w:tc>
                <w:tcPr>
                  <w:tcW w:w="686" w:type="pct"/>
                  <w:noWrap w:val="0"/>
                  <w:vAlign w:val="center"/>
                </w:tcPr>
                <w:p w14:paraId="72256598">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HW17</w:t>
                  </w:r>
                </w:p>
              </w:tc>
              <w:tc>
                <w:tcPr>
                  <w:tcW w:w="1176" w:type="pct"/>
                  <w:vMerge w:val="restart"/>
                  <w:noWrap w:val="0"/>
                  <w:vAlign w:val="center"/>
                </w:tcPr>
                <w:p w14:paraId="1868880B">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委托</w:t>
                  </w:r>
                  <w:r>
                    <w:rPr>
                      <w:rFonts w:hint="eastAsia" w:eastAsia="宋体" w:cs="宋体"/>
                      <w:color w:val="auto"/>
                      <w:kern w:val="0"/>
                      <w:sz w:val="18"/>
                      <w:szCs w:val="18"/>
                      <w:lang w:val="en-US" w:eastAsia="zh-CN" w:bidi="ar"/>
                    </w:rPr>
                    <w:t>处置</w:t>
                  </w:r>
                </w:p>
              </w:tc>
            </w:tr>
            <w:tr w14:paraId="709F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77" w:type="pct"/>
                  <w:shd w:val="clear" w:color="auto" w:fill="auto"/>
                  <w:noWrap w:val="0"/>
                  <w:vAlign w:val="center"/>
                </w:tcPr>
                <w:p w14:paraId="4C129B29">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5</w:t>
                  </w:r>
                </w:p>
              </w:tc>
              <w:tc>
                <w:tcPr>
                  <w:tcW w:w="1036" w:type="pct"/>
                  <w:noWrap w:val="0"/>
                  <w:vAlign w:val="center"/>
                </w:tcPr>
                <w:p w14:paraId="5950785B">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废</w:t>
                  </w:r>
                  <w:r>
                    <w:rPr>
                      <w:rFonts w:hint="eastAsia" w:eastAsia="宋体" w:cs="宋体"/>
                      <w:color w:val="auto"/>
                      <w:kern w:val="0"/>
                      <w:sz w:val="18"/>
                      <w:szCs w:val="18"/>
                      <w:lang w:val="en-US" w:eastAsia="zh-CN" w:bidi="ar"/>
                    </w:rPr>
                    <w:t>润滑油</w:t>
                  </w:r>
                </w:p>
              </w:tc>
              <w:tc>
                <w:tcPr>
                  <w:tcW w:w="462" w:type="pct"/>
                  <w:vMerge w:val="continue"/>
                  <w:noWrap w:val="0"/>
                  <w:vAlign w:val="center"/>
                </w:tcPr>
                <w:p w14:paraId="689B7F58">
                  <w:pPr>
                    <w:widowControl/>
                    <w:spacing w:line="240" w:lineRule="auto"/>
                    <w:jc w:val="center"/>
                    <w:textAlignment w:val="center"/>
                    <w:rPr>
                      <w:rFonts w:hint="default" w:eastAsia="宋体" w:cs="宋体"/>
                      <w:color w:val="auto"/>
                      <w:kern w:val="0"/>
                      <w:sz w:val="18"/>
                      <w:szCs w:val="18"/>
                      <w:lang w:val="en-US" w:eastAsia="zh-CN" w:bidi="ar"/>
                    </w:rPr>
                  </w:pPr>
                </w:p>
              </w:tc>
              <w:tc>
                <w:tcPr>
                  <w:tcW w:w="1261" w:type="pct"/>
                  <w:noWrap w:val="0"/>
                  <w:vAlign w:val="center"/>
                </w:tcPr>
                <w:p w14:paraId="6712A8E3">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液态，石油类</w:t>
                  </w:r>
                </w:p>
              </w:tc>
              <w:tc>
                <w:tcPr>
                  <w:tcW w:w="686" w:type="pct"/>
                  <w:noWrap w:val="0"/>
                  <w:vAlign w:val="center"/>
                </w:tcPr>
                <w:p w14:paraId="0F3EA102">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HW08</w:t>
                  </w:r>
                </w:p>
              </w:tc>
              <w:tc>
                <w:tcPr>
                  <w:tcW w:w="1176" w:type="pct"/>
                  <w:vMerge w:val="continue"/>
                  <w:noWrap w:val="0"/>
                  <w:vAlign w:val="center"/>
                </w:tcPr>
                <w:p w14:paraId="497A2815">
                  <w:pPr>
                    <w:widowControl/>
                    <w:spacing w:line="240" w:lineRule="auto"/>
                    <w:jc w:val="center"/>
                    <w:textAlignment w:val="center"/>
                    <w:rPr>
                      <w:rFonts w:hint="default" w:eastAsia="宋体" w:cs="宋体"/>
                      <w:color w:val="auto"/>
                      <w:kern w:val="0"/>
                      <w:sz w:val="18"/>
                      <w:szCs w:val="18"/>
                      <w:lang w:val="en-US" w:eastAsia="zh-CN" w:bidi="ar"/>
                    </w:rPr>
                  </w:pPr>
                </w:p>
              </w:tc>
            </w:tr>
            <w:tr w14:paraId="3DBE9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77" w:type="pct"/>
                  <w:noWrap w:val="0"/>
                  <w:vAlign w:val="center"/>
                </w:tcPr>
                <w:p w14:paraId="230651A2">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6</w:t>
                  </w:r>
                </w:p>
              </w:tc>
              <w:tc>
                <w:tcPr>
                  <w:tcW w:w="1036" w:type="pct"/>
                  <w:noWrap w:val="0"/>
                  <w:vAlign w:val="center"/>
                </w:tcPr>
                <w:p w14:paraId="652CECE0">
                  <w:pPr>
                    <w:widowControl/>
                    <w:spacing w:line="240" w:lineRule="auto"/>
                    <w:jc w:val="center"/>
                    <w:textAlignment w:val="center"/>
                    <w:rPr>
                      <w:rFonts w:hint="default" w:eastAsia="宋体" w:cs="宋体"/>
                      <w:color w:val="auto"/>
                      <w:kern w:val="0"/>
                      <w:sz w:val="18"/>
                      <w:szCs w:val="18"/>
                      <w:lang w:val="en-US" w:eastAsia="zh-CN" w:bidi="ar"/>
                    </w:rPr>
                  </w:pPr>
                  <w:r>
                    <w:rPr>
                      <w:rFonts w:hint="eastAsia" w:eastAsia="宋体" w:cs="宋体"/>
                      <w:color w:val="auto"/>
                      <w:kern w:val="0"/>
                      <w:sz w:val="18"/>
                      <w:szCs w:val="18"/>
                      <w:lang w:val="en-US" w:eastAsia="zh-CN" w:bidi="ar"/>
                    </w:rPr>
                    <w:t>废切削液</w:t>
                  </w:r>
                </w:p>
              </w:tc>
              <w:tc>
                <w:tcPr>
                  <w:tcW w:w="462" w:type="pct"/>
                  <w:vMerge w:val="continue"/>
                  <w:noWrap w:val="0"/>
                  <w:vAlign w:val="center"/>
                </w:tcPr>
                <w:p w14:paraId="656A3A72">
                  <w:pPr>
                    <w:widowControl/>
                    <w:spacing w:line="240" w:lineRule="auto"/>
                    <w:jc w:val="center"/>
                    <w:textAlignment w:val="center"/>
                    <w:rPr>
                      <w:rFonts w:hint="default" w:eastAsia="宋体" w:cs="宋体"/>
                      <w:color w:val="auto"/>
                      <w:kern w:val="0"/>
                      <w:sz w:val="18"/>
                      <w:szCs w:val="18"/>
                      <w:lang w:val="en-US" w:eastAsia="zh-CN" w:bidi="ar"/>
                    </w:rPr>
                  </w:pPr>
                </w:p>
              </w:tc>
              <w:tc>
                <w:tcPr>
                  <w:tcW w:w="1261" w:type="pct"/>
                  <w:noWrap w:val="0"/>
                  <w:vAlign w:val="center"/>
                </w:tcPr>
                <w:p w14:paraId="7CA2C4C2">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液态</w:t>
                  </w:r>
                  <w:r>
                    <w:rPr>
                      <w:rFonts w:hint="eastAsia" w:eastAsia="宋体" w:cs="宋体"/>
                      <w:color w:val="auto"/>
                      <w:kern w:val="0"/>
                      <w:sz w:val="18"/>
                      <w:szCs w:val="18"/>
                      <w:lang w:val="en-US" w:eastAsia="zh-CN" w:bidi="ar"/>
                    </w:rPr>
                    <w:t>，油类</w:t>
                  </w:r>
                </w:p>
              </w:tc>
              <w:tc>
                <w:tcPr>
                  <w:tcW w:w="686" w:type="pct"/>
                  <w:noWrap w:val="0"/>
                  <w:vAlign w:val="center"/>
                </w:tcPr>
                <w:p w14:paraId="759DEA0F">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HW09</w:t>
                  </w:r>
                </w:p>
              </w:tc>
              <w:tc>
                <w:tcPr>
                  <w:tcW w:w="1176" w:type="pct"/>
                  <w:vMerge w:val="continue"/>
                  <w:noWrap w:val="0"/>
                  <w:vAlign w:val="center"/>
                </w:tcPr>
                <w:p w14:paraId="1492994E">
                  <w:pPr>
                    <w:widowControl/>
                    <w:spacing w:line="240" w:lineRule="auto"/>
                    <w:jc w:val="center"/>
                    <w:textAlignment w:val="center"/>
                    <w:rPr>
                      <w:rFonts w:hint="default" w:eastAsia="宋体" w:cs="宋体"/>
                      <w:color w:val="auto"/>
                      <w:kern w:val="0"/>
                      <w:sz w:val="18"/>
                      <w:szCs w:val="18"/>
                      <w:lang w:val="en-US" w:eastAsia="zh-CN" w:bidi="ar"/>
                    </w:rPr>
                  </w:pPr>
                </w:p>
              </w:tc>
            </w:tr>
            <w:tr w14:paraId="09B2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77" w:type="pct"/>
                  <w:noWrap w:val="0"/>
                  <w:vAlign w:val="center"/>
                </w:tcPr>
                <w:p w14:paraId="75781979">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7</w:t>
                  </w:r>
                </w:p>
              </w:tc>
              <w:tc>
                <w:tcPr>
                  <w:tcW w:w="1036" w:type="pct"/>
                  <w:noWrap w:val="0"/>
                  <w:vAlign w:val="center"/>
                </w:tcPr>
                <w:p w14:paraId="5BBE3AC8">
                  <w:pPr>
                    <w:widowControl/>
                    <w:spacing w:line="240" w:lineRule="auto"/>
                    <w:jc w:val="center"/>
                    <w:textAlignment w:val="center"/>
                    <w:rPr>
                      <w:rFonts w:hint="default" w:eastAsia="宋体" w:cs="宋体"/>
                      <w:color w:val="auto"/>
                      <w:kern w:val="0"/>
                      <w:sz w:val="18"/>
                      <w:szCs w:val="18"/>
                      <w:lang w:val="en-US" w:eastAsia="zh-CN" w:bidi="ar"/>
                    </w:rPr>
                  </w:pPr>
                  <w:r>
                    <w:rPr>
                      <w:rFonts w:hint="eastAsia" w:eastAsia="宋体" w:cs="宋体"/>
                      <w:color w:val="auto"/>
                      <w:kern w:val="0"/>
                      <w:sz w:val="18"/>
                      <w:szCs w:val="18"/>
                      <w:lang w:val="en-US" w:eastAsia="zh-CN" w:bidi="ar"/>
                    </w:rPr>
                    <w:t>在线监测废液</w:t>
                  </w:r>
                </w:p>
              </w:tc>
              <w:tc>
                <w:tcPr>
                  <w:tcW w:w="462" w:type="pct"/>
                  <w:vMerge w:val="continue"/>
                  <w:noWrap w:val="0"/>
                  <w:vAlign w:val="center"/>
                </w:tcPr>
                <w:p w14:paraId="3A9EBE68">
                  <w:pPr>
                    <w:widowControl/>
                    <w:spacing w:line="240" w:lineRule="auto"/>
                    <w:jc w:val="center"/>
                    <w:textAlignment w:val="center"/>
                    <w:rPr>
                      <w:rFonts w:hint="default" w:eastAsia="宋体" w:cs="宋体"/>
                      <w:color w:val="auto"/>
                      <w:kern w:val="0"/>
                      <w:sz w:val="18"/>
                      <w:szCs w:val="18"/>
                      <w:lang w:val="en-US" w:eastAsia="zh-CN" w:bidi="ar"/>
                    </w:rPr>
                  </w:pPr>
                </w:p>
              </w:tc>
              <w:tc>
                <w:tcPr>
                  <w:tcW w:w="1261" w:type="pct"/>
                  <w:noWrap w:val="0"/>
                  <w:vAlign w:val="center"/>
                </w:tcPr>
                <w:p w14:paraId="31E730CF">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液态</w:t>
                  </w:r>
                  <w:r>
                    <w:rPr>
                      <w:rFonts w:hint="eastAsia" w:eastAsia="宋体" w:cs="宋体"/>
                      <w:color w:val="auto"/>
                      <w:kern w:val="0"/>
                      <w:sz w:val="18"/>
                      <w:szCs w:val="18"/>
                      <w:lang w:val="en-US" w:eastAsia="zh-CN" w:bidi="ar"/>
                    </w:rPr>
                    <w:t>，化学废液</w:t>
                  </w:r>
                </w:p>
              </w:tc>
              <w:tc>
                <w:tcPr>
                  <w:tcW w:w="686" w:type="pct"/>
                  <w:noWrap w:val="0"/>
                  <w:vAlign w:val="center"/>
                </w:tcPr>
                <w:p w14:paraId="0985C191">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HW49</w:t>
                  </w:r>
                </w:p>
              </w:tc>
              <w:tc>
                <w:tcPr>
                  <w:tcW w:w="1176" w:type="pct"/>
                  <w:vMerge w:val="continue"/>
                  <w:noWrap w:val="0"/>
                  <w:vAlign w:val="center"/>
                </w:tcPr>
                <w:p w14:paraId="44203049">
                  <w:pPr>
                    <w:widowControl/>
                    <w:spacing w:line="240" w:lineRule="auto"/>
                    <w:jc w:val="center"/>
                    <w:textAlignment w:val="center"/>
                    <w:rPr>
                      <w:rFonts w:hint="default" w:eastAsia="宋体" w:cs="宋体"/>
                      <w:color w:val="auto"/>
                      <w:kern w:val="0"/>
                      <w:sz w:val="18"/>
                      <w:szCs w:val="18"/>
                      <w:lang w:val="en-US" w:eastAsia="zh-CN" w:bidi="ar"/>
                    </w:rPr>
                  </w:pPr>
                </w:p>
              </w:tc>
            </w:tr>
            <w:tr w14:paraId="5DB29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77" w:type="pct"/>
                  <w:noWrap w:val="0"/>
                  <w:vAlign w:val="center"/>
                </w:tcPr>
                <w:p w14:paraId="7C41B286">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8</w:t>
                  </w:r>
                </w:p>
              </w:tc>
              <w:tc>
                <w:tcPr>
                  <w:tcW w:w="1036" w:type="pct"/>
                  <w:noWrap w:val="0"/>
                  <w:vAlign w:val="center"/>
                </w:tcPr>
                <w:p w14:paraId="5CA6D4AF">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生活垃圾</w:t>
                  </w:r>
                </w:p>
              </w:tc>
              <w:tc>
                <w:tcPr>
                  <w:tcW w:w="462" w:type="pct"/>
                  <w:noWrap w:val="0"/>
                  <w:vAlign w:val="center"/>
                </w:tcPr>
                <w:p w14:paraId="0C78925F">
                  <w:pPr>
                    <w:widowControl/>
                    <w:spacing w:line="240" w:lineRule="auto"/>
                    <w:jc w:val="center"/>
                    <w:textAlignment w:val="center"/>
                    <w:rPr>
                      <w:rFonts w:hint="default" w:eastAsia="宋体" w:cs="宋体"/>
                      <w:color w:val="auto"/>
                      <w:kern w:val="0"/>
                      <w:sz w:val="18"/>
                      <w:szCs w:val="18"/>
                      <w:lang w:val="en-US" w:eastAsia="zh-CN" w:bidi="ar"/>
                    </w:rPr>
                  </w:pPr>
                  <w:r>
                    <w:rPr>
                      <w:rFonts w:hint="eastAsia" w:eastAsia="宋体" w:cs="宋体"/>
                      <w:color w:val="auto"/>
                      <w:kern w:val="0"/>
                      <w:sz w:val="18"/>
                      <w:szCs w:val="18"/>
                      <w:lang w:val="en-US" w:eastAsia="zh-CN" w:bidi="ar"/>
                    </w:rPr>
                    <w:t>/</w:t>
                  </w:r>
                </w:p>
              </w:tc>
              <w:tc>
                <w:tcPr>
                  <w:tcW w:w="1261" w:type="pct"/>
                  <w:noWrap w:val="0"/>
                  <w:vAlign w:val="center"/>
                </w:tcPr>
                <w:p w14:paraId="1D8C3B21">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固体，食品、塑料</w:t>
                  </w:r>
                </w:p>
              </w:tc>
              <w:tc>
                <w:tcPr>
                  <w:tcW w:w="686" w:type="pct"/>
                  <w:noWrap w:val="0"/>
                  <w:vAlign w:val="center"/>
                </w:tcPr>
                <w:p w14:paraId="7791A0F9">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w:t>
                  </w:r>
                </w:p>
              </w:tc>
              <w:tc>
                <w:tcPr>
                  <w:tcW w:w="1176" w:type="pct"/>
                  <w:noWrap w:val="0"/>
                  <w:vAlign w:val="center"/>
                </w:tcPr>
                <w:p w14:paraId="17D2A2B5">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环卫清运</w:t>
                  </w:r>
                </w:p>
              </w:tc>
            </w:tr>
          </w:tbl>
          <w:p w14:paraId="1C33C79B">
            <w:pPr>
              <w:adjustRightInd w:val="0"/>
              <w:snapToGrid w:val="0"/>
              <w:outlineLvl w:val="0"/>
              <w:rPr>
                <w:rFonts w:hint="default" w:eastAsia="宋体"/>
                <w:b/>
                <w:color w:val="auto"/>
                <w:szCs w:val="24"/>
                <w:lang w:val="en-US" w:eastAsia="zh-CN"/>
              </w:rPr>
            </w:pPr>
            <w:bookmarkStart w:id="53" w:name="_Toc31901"/>
            <w:bookmarkStart w:id="54" w:name="_Toc396"/>
            <w:r>
              <w:rPr>
                <w:rFonts w:hint="eastAsia" w:eastAsia="宋体"/>
                <w:b/>
                <w:color w:val="auto"/>
                <w:szCs w:val="24"/>
                <w:lang w:val="en-US" w:eastAsia="zh-CN"/>
              </w:rPr>
              <w:t>5、现有项目污染</w:t>
            </w:r>
            <w:r>
              <w:rPr>
                <w:rFonts w:hint="eastAsia"/>
                <w:b/>
                <w:color w:val="auto"/>
                <w:szCs w:val="24"/>
                <w:lang w:val="en-US" w:eastAsia="zh-CN"/>
              </w:rPr>
              <w:t>物</w:t>
            </w:r>
            <w:r>
              <w:rPr>
                <w:rFonts w:hint="eastAsia" w:eastAsia="宋体"/>
                <w:b/>
                <w:color w:val="auto"/>
                <w:szCs w:val="24"/>
                <w:lang w:val="en-US" w:eastAsia="zh-CN"/>
              </w:rPr>
              <w:t>排放总量</w:t>
            </w:r>
            <w:bookmarkEnd w:id="53"/>
          </w:p>
          <w:p w14:paraId="4F5732E6">
            <w:pPr>
              <w:ind w:firstLine="480" w:firstLineChars="200"/>
              <w:rPr>
                <w:rFonts w:hint="eastAsia"/>
                <w:color w:val="auto"/>
                <w:lang w:val="en-US" w:eastAsia="zh-CN"/>
              </w:rPr>
            </w:pPr>
            <w:r>
              <w:rPr>
                <w:rFonts w:hint="eastAsia"/>
                <w:color w:val="auto"/>
                <w:lang w:val="en-US" w:eastAsia="zh-CN"/>
              </w:rPr>
              <w:t>现有项目废气污染物排放量参考池州市安安新材料科技股份有限公司排污许可证执行报告2024年报，企业现有废水排放量项目固废污染物排放量参考现有项目已批复环评及验收报告中污染物计算量，汇总详见下表。</w:t>
            </w:r>
          </w:p>
          <w:p w14:paraId="0ACADC82">
            <w:pPr>
              <w:ind w:firstLine="480" w:firstLineChars="200"/>
              <w:jc w:val="center"/>
              <w:rPr>
                <w:rFonts w:ascii="黑体" w:hAnsi="黑体" w:eastAsia="黑体"/>
                <w:color w:val="auto"/>
                <w:szCs w:val="24"/>
              </w:rPr>
            </w:pPr>
          </w:p>
          <w:p w14:paraId="02FD1546">
            <w:pPr>
              <w:ind w:firstLine="480" w:firstLineChars="200"/>
              <w:jc w:val="center"/>
              <w:rPr>
                <w:rFonts w:hint="eastAsia" w:ascii="黑体" w:hAnsi="黑体" w:eastAsia="黑体"/>
                <w:color w:val="auto"/>
                <w:szCs w:val="24"/>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20</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现有项目污染物排放一览表</w:t>
            </w:r>
          </w:p>
          <w:tbl>
            <w:tblPr>
              <w:tblStyle w:val="69"/>
              <w:tblW w:w="4981" w:type="pct"/>
              <w:tblInd w:w="0" w:type="dxa"/>
              <w:tblLayout w:type="fixed"/>
              <w:tblCellMar>
                <w:top w:w="0" w:type="dxa"/>
                <w:left w:w="108" w:type="dxa"/>
                <w:bottom w:w="0" w:type="dxa"/>
                <w:right w:w="108" w:type="dxa"/>
              </w:tblCellMar>
            </w:tblPr>
            <w:tblGrid>
              <w:gridCol w:w="1367"/>
              <w:gridCol w:w="1648"/>
              <w:gridCol w:w="1898"/>
              <w:gridCol w:w="2059"/>
              <w:gridCol w:w="2064"/>
            </w:tblGrid>
            <w:tr w14:paraId="53A2F972">
              <w:tblPrEx>
                <w:tblCellMar>
                  <w:top w:w="0" w:type="dxa"/>
                  <w:left w:w="108" w:type="dxa"/>
                  <w:bottom w:w="0" w:type="dxa"/>
                  <w:right w:w="108" w:type="dxa"/>
                </w:tblCellMar>
              </w:tblPrEx>
              <w:trPr>
                <w:trHeight w:val="340" w:hRule="atLeast"/>
              </w:trPr>
              <w:tc>
                <w:tcPr>
                  <w:tcW w:w="756" w:type="pct"/>
                  <w:tcBorders>
                    <w:top w:val="single" w:color="000000" w:sz="4" w:space="0"/>
                    <w:left w:val="single" w:color="000000" w:sz="4" w:space="0"/>
                    <w:bottom w:val="single" w:color="auto" w:sz="4" w:space="0"/>
                    <w:right w:val="single" w:color="000000" w:sz="4" w:space="0"/>
                  </w:tcBorders>
                  <w:shd w:val="clear" w:color="auto" w:fill="auto"/>
                  <w:vAlign w:val="center"/>
                </w:tcPr>
                <w:p w14:paraId="2C9ECF74">
                  <w:pPr>
                    <w:widowControl/>
                    <w:spacing w:line="240" w:lineRule="auto"/>
                    <w:jc w:val="center"/>
                    <w:textAlignment w:val="center"/>
                    <w:rPr>
                      <w:rFonts w:hint="eastAsia" w:eastAsia="宋体" w:cs="宋体"/>
                      <w:color w:val="auto"/>
                      <w:sz w:val="18"/>
                      <w:szCs w:val="18"/>
                      <w:lang w:eastAsia="zh-CN"/>
                    </w:rPr>
                  </w:pPr>
                  <w:r>
                    <w:rPr>
                      <w:rFonts w:hint="eastAsia" w:cs="宋体"/>
                      <w:color w:val="auto"/>
                      <w:kern w:val="0"/>
                      <w:sz w:val="18"/>
                      <w:szCs w:val="18"/>
                      <w:lang w:val="en-US" w:eastAsia="zh-CN" w:bidi="ar"/>
                    </w:rPr>
                    <w:t>类型</w:t>
                  </w:r>
                </w:p>
              </w:tc>
              <w:tc>
                <w:tcPr>
                  <w:tcW w:w="911" w:type="pct"/>
                  <w:tcBorders>
                    <w:top w:val="single" w:color="000000" w:sz="4" w:space="0"/>
                    <w:left w:val="single" w:color="000000" w:sz="4" w:space="0"/>
                    <w:bottom w:val="single" w:color="auto" w:sz="4" w:space="0"/>
                    <w:right w:val="single" w:color="000000" w:sz="4" w:space="0"/>
                  </w:tcBorders>
                  <w:shd w:val="clear" w:color="auto" w:fill="auto"/>
                  <w:vAlign w:val="center"/>
                </w:tcPr>
                <w:p w14:paraId="38B74ECF">
                  <w:pPr>
                    <w:widowControl/>
                    <w:spacing w:line="240" w:lineRule="auto"/>
                    <w:jc w:val="center"/>
                    <w:textAlignment w:val="center"/>
                    <w:rPr>
                      <w:rFonts w:hint="eastAsia" w:eastAsia="宋体" w:cs="宋体"/>
                      <w:color w:val="auto"/>
                      <w:sz w:val="18"/>
                      <w:szCs w:val="18"/>
                      <w:lang w:eastAsia="zh-CN"/>
                    </w:rPr>
                  </w:pPr>
                  <w:r>
                    <w:rPr>
                      <w:rFonts w:hint="eastAsia" w:cs="宋体"/>
                      <w:color w:val="auto"/>
                      <w:kern w:val="0"/>
                      <w:sz w:val="18"/>
                      <w:szCs w:val="18"/>
                      <w:lang w:val="en-US" w:eastAsia="zh-CN" w:bidi="ar"/>
                    </w:rPr>
                    <w:t>排放源</w:t>
                  </w:r>
                </w:p>
              </w:tc>
              <w:tc>
                <w:tcPr>
                  <w:tcW w:w="10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2353E">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kern w:val="0"/>
                      <w:sz w:val="18"/>
                      <w:szCs w:val="18"/>
                      <w:lang w:val="en-US" w:eastAsia="zh-CN" w:bidi="ar"/>
                    </w:rPr>
                    <w:t>污染物名称</w:t>
                  </w:r>
                </w:p>
              </w:tc>
              <w:tc>
                <w:tcPr>
                  <w:tcW w:w="1139" w:type="pct"/>
                  <w:tcBorders>
                    <w:top w:val="single" w:color="000000" w:sz="4" w:space="0"/>
                    <w:left w:val="single" w:color="000000" w:sz="4" w:space="0"/>
                    <w:bottom w:val="single" w:color="auto" w:sz="4" w:space="0"/>
                    <w:right w:val="single" w:color="000000" w:sz="4" w:space="0"/>
                  </w:tcBorders>
                  <w:shd w:val="clear" w:color="auto" w:fill="auto"/>
                  <w:vAlign w:val="center"/>
                </w:tcPr>
                <w:p w14:paraId="01A996B8">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现有已验收项目排放量/处置量（</w:t>
                  </w:r>
                  <w:r>
                    <w:rPr>
                      <w:rFonts w:hint="eastAsia" w:ascii="Times New Roman" w:hAnsi="Times New Roman" w:eastAsia="宋体" w:cs="宋体"/>
                      <w:color w:val="auto"/>
                      <w:kern w:val="0"/>
                      <w:sz w:val="18"/>
                      <w:szCs w:val="18"/>
                      <w:lang w:val="en-US" w:eastAsia="zh-CN" w:bidi="ar"/>
                    </w:rPr>
                    <w:t>t/a</w:t>
                  </w:r>
                  <w:r>
                    <w:rPr>
                      <w:rFonts w:hint="eastAsia" w:cs="宋体"/>
                      <w:color w:val="auto"/>
                      <w:kern w:val="0"/>
                      <w:sz w:val="18"/>
                      <w:szCs w:val="18"/>
                      <w:lang w:val="en-US" w:eastAsia="zh-CN" w:bidi="ar"/>
                    </w:rPr>
                    <w:t>）</w:t>
                  </w:r>
                </w:p>
              </w:tc>
              <w:tc>
                <w:tcPr>
                  <w:tcW w:w="1142" w:type="pct"/>
                  <w:tcBorders>
                    <w:top w:val="single" w:color="000000" w:sz="4" w:space="0"/>
                    <w:left w:val="single" w:color="000000" w:sz="4" w:space="0"/>
                    <w:bottom w:val="single" w:color="auto" w:sz="4" w:space="0"/>
                    <w:right w:val="single" w:color="000000" w:sz="4" w:space="0"/>
                  </w:tcBorders>
                  <w:shd w:val="clear" w:color="auto" w:fill="auto"/>
                  <w:vAlign w:val="center"/>
                </w:tcPr>
                <w:p w14:paraId="7B358B3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全厂项目批复量（</w:t>
                  </w:r>
                  <w:r>
                    <w:rPr>
                      <w:rFonts w:hint="eastAsia" w:ascii="Times New Roman" w:hAnsi="Times New Roman" w:eastAsia="宋体" w:cs="宋体"/>
                      <w:color w:val="auto"/>
                      <w:kern w:val="0"/>
                      <w:sz w:val="18"/>
                      <w:szCs w:val="18"/>
                      <w:lang w:val="en-US" w:eastAsia="zh-CN" w:bidi="ar"/>
                    </w:rPr>
                    <w:t>t/a</w:t>
                  </w:r>
                  <w:r>
                    <w:rPr>
                      <w:rFonts w:hint="eastAsia" w:cs="宋体"/>
                      <w:color w:val="auto"/>
                      <w:kern w:val="0"/>
                      <w:sz w:val="18"/>
                      <w:szCs w:val="18"/>
                      <w:lang w:val="en-US" w:eastAsia="zh-CN" w:bidi="ar"/>
                    </w:rPr>
                    <w:t>）</w:t>
                  </w:r>
                </w:p>
              </w:tc>
            </w:tr>
            <w:tr w14:paraId="4F90BEE0">
              <w:tblPrEx>
                <w:tblCellMar>
                  <w:top w:w="0" w:type="dxa"/>
                  <w:left w:w="108" w:type="dxa"/>
                  <w:bottom w:w="0" w:type="dxa"/>
                  <w:right w:w="108" w:type="dxa"/>
                </w:tblCellMar>
              </w:tblPrEx>
              <w:trPr>
                <w:trHeight w:val="296" w:hRule="atLeast"/>
              </w:trPr>
              <w:tc>
                <w:tcPr>
                  <w:tcW w:w="756" w:type="pct"/>
                  <w:vMerge w:val="restart"/>
                  <w:tcBorders>
                    <w:top w:val="single" w:color="auto" w:sz="4" w:space="0"/>
                    <w:left w:val="single" w:color="auto" w:sz="4" w:space="0"/>
                    <w:right w:val="single" w:color="auto" w:sz="4" w:space="0"/>
                  </w:tcBorders>
                  <w:shd w:val="clear" w:color="auto" w:fill="auto"/>
                  <w:vAlign w:val="center"/>
                </w:tcPr>
                <w:p w14:paraId="5E1E8643">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废水（接管量）</w:t>
                  </w:r>
                </w:p>
              </w:tc>
              <w:tc>
                <w:tcPr>
                  <w:tcW w:w="911" w:type="pct"/>
                  <w:vMerge w:val="restart"/>
                  <w:tcBorders>
                    <w:top w:val="single" w:color="auto" w:sz="4" w:space="0"/>
                    <w:left w:val="single" w:color="auto" w:sz="4" w:space="0"/>
                    <w:right w:val="single" w:color="auto" w:sz="4" w:space="0"/>
                  </w:tcBorders>
                  <w:shd w:val="clear" w:color="auto" w:fill="auto"/>
                  <w:vAlign w:val="center"/>
                </w:tcPr>
                <w:p w14:paraId="2BB079B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污水总排口</w:t>
                  </w:r>
                </w:p>
              </w:tc>
              <w:tc>
                <w:tcPr>
                  <w:tcW w:w="1050" w:type="pct"/>
                  <w:tcBorders>
                    <w:top w:val="single" w:color="000000" w:sz="4" w:space="0"/>
                    <w:left w:val="single" w:color="auto" w:sz="4" w:space="0"/>
                    <w:bottom w:val="single" w:color="000000" w:sz="4" w:space="0"/>
                    <w:right w:val="single" w:color="000000" w:sz="4" w:space="0"/>
                  </w:tcBorders>
                  <w:shd w:val="clear" w:color="auto" w:fill="auto"/>
                  <w:vAlign w:val="center"/>
                </w:tcPr>
                <w:p w14:paraId="1322F7FE">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铝</w:t>
                  </w:r>
                </w:p>
              </w:tc>
              <w:tc>
                <w:tcPr>
                  <w:tcW w:w="1139" w:type="pct"/>
                  <w:tcBorders>
                    <w:top w:val="single" w:color="000000" w:sz="4" w:space="0"/>
                    <w:left w:val="single" w:color="000000" w:sz="4" w:space="0"/>
                    <w:bottom w:val="single" w:color="auto" w:sz="4" w:space="0"/>
                    <w:right w:val="single" w:color="000000" w:sz="4" w:space="0"/>
                  </w:tcBorders>
                  <w:shd w:val="clear" w:color="auto" w:fill="auto"/>
                  <w:vAlign w:val="center"/>
                </w:tcPr>
                <w:p w14:paraId="51C13A3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1.226</w:t>
                  </w:r>
                </w:p>
              </w:tc>
              <w:tc>
                <w:tcPr>
                  <w:tcW w:w="1142" w:type="pct"/>
                  <w:tcBorders>
                    <w:top w:val="single" w:color="000000" w:sz="4" w:space="0"/>
                    <w:left w:val="single" w:color="000000" w:sz="4" w:space="0"/>
                    <w:bottom w:val="single" w:color="auto" w:sz="4" w:space="0"/>
                    <w:right w:val="single" w:color="000000" w:sz="4" w:space="0"/>
                  </w:tcBorders>
                  <w:shd w:val="clear" w:color="auto" w:fill="auto"/>
                  <w:vAlign w:val="center"/>
                </w:tcPr>
                <w:p w14:paraId="2688B398">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1.226</w:t>
                  </w:r>
                </w:p>
              </w:tc>
            </w:tr>
            <w:tr w14:paraId="1B052017">
              <w:tblPrEx>
                <w:tblCellMar>
                  <w:top w:w="0" w:type="dxa"/>
                  <w:left w:w="108" w:type="dxa"/>
                  <w:bottom w:w="0" w:type="dxa"/>
                  <w:right w:w="108" w:type="dxa"/>
                </w:tblCellMar>
              </w:tblPrEx>
              <w:trPr>
                <w:trHeight w:val="328" w:hRule="atLeast"/>
              </w:trPr>
              <w:tc>
                <w:tcPr>
                  <w:tcW w:w="756" w:type="pct"/>
                  <w:vMerge w:val="continue"/>
                  <w:tcBorders>
                    <w:left w:val="single" w:color="auto" w:sz="4" w:space="0"/>
                    <w:right w:val="single" w:color="auto" w:sz="4" w:space="0"/>
                  </w:tcBorders>
                  <w:shd w:val="clear" w:color="auto" w:fill="auto"/>
                  <w:vAlign w:val="center"/>
                </w:tcPr>
                <w:p w14:paraId="5B7D150D">
                  <w:pPr>
                    <w:widowControl/>
                    <w:spacing w:line="240" w:lineRule="auto"/>
                    <w:jc w:val="center"/>
                    <w:textAlignment w:val="center"/>
                    <w:rPr>
                      <w:rFonts w:hint="default" w:eastAsia="宋体" w:cs="宋体"/>
                      <w:color w:val="auto"/>
                      <w:kern w:val="0"/>
                      <w:sz w:val="18"/>
                      <w:szCs w:val="18"/>
                      <w:lang w:val="en-US" w:eastAsia="zh-CN" w:bidi="ar"/>
                    </w:rPr>
                  </w:pPr>
                </w:p>
              </w:tc>
              <w:tc>
                <w:tcPr>
                  <w:tcW w:w="911" w:type="pct"/>
                  <w:vMerge w:val="continue"/>
                  <w:tcBorders>
                    <w:left w:val="single" w:color="auto" w:sz="4" w:space="0"/>
                    <w:right w:val="single" w:color="auto" w:sz="4" w:space="0"/>
                  </w:tcBorders>
                  <w:shd w:val="clear" w:color="auto" w:fill="auto"/>
                  <w:vAlign w:val="center"/>
                </w:tcPr>
                <w:p w14:paraId="7B61FEB5">
                  <w:pPr>
                    <w:widowControl/>
                    <w:spacing w:line="240" w:lineRule="auto"/>
                    <w:jc w:val="center"/>
                    <w:textAlignment w:val="center"/>
                    <w:rPr>
                      <w:rFonts w:hint="eastAsia" w:eastAsia="宋体" w:cs="宋体"/>
                      <w:color w:val="auto"/>
                      <w:sz w:val="18"/>
                      <w:szCs w:val="18"/>
                      <w:lang w:eastAsia="zh-CN"/>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2602E888">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color w:val="auto"/>
                      <w:kern w:val="0"/>
                      <w:sz w:val="18"/>
                      <w:szCs w:val="18"/>
                      <w:lang w:bidi="ar"/>
                    </w:rPr>
                    <w:t>COD</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68A22D2A">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91.56</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08BA5A17">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91.56</w:t>
                  </w:r>
                </w:p>
              </w:tc>
            </w:tr>
            <w:tr w14:paraId="0AC0ABF3">
              <w:tblPrEx>
                <w:tblCellMar>
                  <w:top w:w="0" w:type="dxa"/>
                  <w:left w:w="108" w:type="dxa"/>
                  <w:bottom w:w="0" w:type="dxa"/>
                  <w:right w:w="108" w:type="dxa"/>
                </w:tblCellMar>
              </w:tblPrEx>
              <w:trPr>
                <w:trHeight w:val="296" w:hRule="atLeast"/>
              </w:trPr>
              <w:tc>
                <w:tcPr>
                  <w:tcW w:w="756" w:type="pct"/>
                  <w:vMerge w:val="continue"/>
                  <w:tcBorders>
                    <w:left w:val="single" w:color="auto" w:sz="4" w:space="0"/>
                    <w:right w:val="single" w:color="auto" w:sz="4" w:space="0"/>
                  </w:tcBorders>
                  <w:shd w:val="clear" w:color="auto" w:fill="auto"/>
                  <w:vAlign w:val="center"/>
                </w:tcPr>
                <w:p w14:paraId="7E53DA92">
                  <w:pPr>
                    <w:widowControl/>
                    <w:spacing w:line="240" w:lineRule="auto"/>
                    <w:jc w:val="center"/>
                    <w:textAlignment w:val="center"/>
                    <w:rPr>
                      <w:rFonts w:hint="default" w:eastAsia="宋体" w:cs="宋体"/>
                      <w:color w:val="auto"/>
                      <w:kern w:val="0"/>
                      <w:sz w:val="18"/>
                      <w:szCs w:val="18"/>
                      <w:lang w:val="en-US" w:eastAsia="zh-CN" w:bidi="ar"/>
                    </w:rPr>
                  </w:pPr>
                </w:p>
              </w:tc>
              <w:tc>
                <w:tcPr>
                  <w:tcW w:w="911" w:type="pct"/>
                  <w:vMerge w:val="continue"/>
                  <w:tcBorders>
                    <w:left w:val="single" w:color="auto" w:sz="4" w:space="0"/>
                    <w:right w:val="single" w:color="auto" w:sz="4" w:space="0"/>
                  </w:tcBorders>
                  <w:shd w:val="clear" w:color="auto" w:fill="auto"/>
                  <w:vAlign w:val="center"/>
                </w:tcPr>
                <w:p w14:paraId="457B77A8">
                  <w:pPr>
                    <w:widowControl/>
                    <w:spacing w:line="240" w:lineRule="auto"/>
                    <w:jc w:val="center"/>
                    <w:textAlignment w:val="center"/>
                    <w:rPr>
                      <w:rFonts w:cs="宋体"/>
                      <w:color w:val="auto"/>
                      <w:kern w:val="0"/>
                      <w:sz w:val="18"/>
                      <w:szCs w:val="18"/>
                      <w:lang w:bidi="ar"/>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2D717C07">
                  <w:pPr>
                    <w:widowControl/>
                    <w:spacing w:line="240" w:lineRule="auto"/>
                    <w:jc w:val="center"/>
                    <w:textAlignment w:val="center"/>
                    <w:rPr>
                      <w:rFonts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BOD</w:t>
                  </w:r>
                  <w:r>
                    <w:rPr>
                      <w:rFonts w:hint="eastAsia" w:ascii="Times New Roman" w:hAnsi="Times New Roman" w:eastAsia="宋体" w:cs="宋体"/>
                      <w:color w:val="auto"/>
                      <w:kern w:val="0"/>
                      <w:sz w:val="18"/>
                      <w:szCs w:val="18"/>
                      <w:vertAlign w:val="subscript"/>
                      <w:lang w:val="en-US" w:eastAsia="zh-CN" w:bidi="ar"/>
                    </w:rPr>
                    <w:t>5</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3075F788">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30.838</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1B643C14">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30.838</w:t>
                  </w:r>
                </w:p>
              </w:tc>
            </w:tr>
            <w:tr w14:paraId="1C88D699">
              <w:tblPrEx>
                <w:tblCellMar>
                  <w:top w:w="0" w:type="dxa"/>
                  <w:left w:w="108" w:type="dxa"/>
                  <w:bottom w:w="0" w:type="dxa"/>
                  <w:right w:w="108" w:type="dxa"/>
                </w:tblCellMar>
              </w:tblPrEx>
              <w:trPr>
                <w:trHeight w:val="272" w:hRule="atLeast"/>
              </w:trPr>
              <w:tc>
                <w:tcPr>
                  <w:tcW w:w="756" w:type="pct"/>
                  <w:vMerge w:val="continue"/>
                  <w:tcBorders>
                    <w:left w:val="single" w:color="auto" w:sz="4" w:space="0"/>
                    <w:right w:val="single" w:color="auto" w:sz="4" w:space="0"/>
                  </w:tcBorders>
                  <w:shd w:val="clear" w:color="auto" w:fill="auto"/>
                  <w:vAlign w:val="center"/>
                </w:tcPr>
                <w:p w14:paraId="61FCE3DA">
                  <w:pPr>
                    <w:widowControl/>
                    <w:spacing w:line="240" w:lineRule="auto"/>
                    <w:jc w:val="center"/>
                    <w:textAlignment w:val="center"/>
                    <w:rPr>
                      <w:rFonts w:hint="default" w:cs="宋体"/>
                      <w:color w:val="auto"/>
                      <w:kern w:val="0"/>
                      <w:sz w:val="18"/>
                      <w:szCs w:val="18"/>
                      <w:lang w:val="en-US" w:eastAsia="zh-CN" w:bidi="ar"/>
                    </w:rPr>
                  </w:pPr>
                </w:p>
              </w:tc>
              <w:tc>
                <w:tcPr>
                  <w:tcW w:w="911" w:type="pct"/>
                  <w:vMerge w:val="continue"/>
                  <w:tcBorders>
                    <w:left w:val="single" w:color="auto" w:sz="4" w:space="0"/>
                    <w:right w:val="single" w:color="auto" w:sz="4" w:space="0"/>
                  </w:tcBorders>
                  <w:shd w:val="clear" w:color="auto" w:fill="auto"/>
                  <w:vAlign w:val="center"/>
                </w:tcPr>
                <w:p w14:paraId="2F553B79">
                  <w:pPr>
                    <w:widowControl/>
                    <w:spacing w:line="240" w:lineRule="auto"/>
                    <w:jc w:val="center"/>
                    <w:textAlignment w:val="center"/>
                    <w:rPr>
                      <w:rFonts w:hint="eastAsia" w:cs="宋体"/>
                      <w:color w:val="auto"/>
                      <w:kern w:val="0"/>
                      <w:sz w:val="18"/>
                      <w:szCs w:val="18"/>
                      <w:lang w:bidi="ar"/>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41BF1D42">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SS</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43C11024">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58.86</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5ABC75AD">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58.86</w:t>
                  </w:r>
                </w:p>
              </w:tc>
            </w:tr>
            <w:tr w14:paraId="6C7B195F">
              <w:tblPrEx>
                <w:tblCellMar>
                  <w:top w:w="0" w:type="dxa"/>
                  <w:left w:w="108" w:type="dxa"/>
                  <w:bottom w:w="0" w:type="dxa"/>
                  <w:right w:w="108" w:type="dxa"/>
                </w:tblCellMar>
              </w:tblPrEx>
              <w:trPr>
                <w:trHeight w:val="320" w:hRule="atLeast"/>
              </w:trPr>
              <w:tc>
                <w:tcPr>
                  <w:tcW w:w="756" w:type="pct"/>
                  <w:vMerge w:val="continue"/>
                  <w:tcBorders>
                    <w:left w:val="single" w:color="auto" w:sz="4" w:space="0"/>
                    <w:right w:val="single" w:color="auto" w:sz="4" w:space="0"/>
                  </w:tcBorders>
                  <w:shd w:val="clear" w:color="auto" w:fill="auto"/>
                  <w:vAlign w:val="center"/>
                </w:tcPr>
                <w:p w14:paraId="03DF3091">
                  <w:pPr>
                    <w:widowControl/>
                    <w:spacing w:line="240" w:lineRule="auto"/>
                    <w:jc w:val="center"/>
                    <w:textAlignment w:val="center"/>
                    <w:rPr>
                      <w:rFonts w:cs="宋体"/>
                      <w:color w:val="auto"/>
                      <w:sz w:val="18"/>
                      <w:szCs w:val="18"/>
                    </w:rPr>
                  </w:pPr>
                </w:p>
              </w:tc>
              <w:tc>
                <w:tcPr>
                  <w:tcW w:w="911" w:type="pct"/>
                  <w:vMerge w:val="continue"/>
                  <w:tcBorders>
                    <w:left w:val="single" w:color="auto" w:sz="4" w:space="0"/>
                    <w:right w:val="single" w:color="auto" w:sz="4" w:space="0"/>
                  </w:tcBorders>
                  <w:shd w:val="clear" w:color="auto" w:fill="auto"/>
                  <w:vAlign w:val="center"/>
                </w:tcPr>
                <w:p w14:paraId="622B52E0">
                  <w:pPr>
                    <w:widowControl/>
                    <w:spacing w:line="240" w:lineRule="auto"/>
                    <w:jc w:val="center"/>
                    <w:textAlignment w:val="center"/>
                    <w:rPr>
                      <w:rFonts w:cs="宋体"/>
                      <w:color w:val="auto"/>
                      <w:sz w:val="18"/>
                      <w:szCs w:val="18"/>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4A290247">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氨氮</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63C2C361">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14.306</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1CA8C704">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14.306</w:t>
                  </w:r>
                </w:p>
              </w:tc>
            </w:tr>
            <w:tr w14:paraId="41604A4C">
              <w:tblPrEx>
                <w:tblCellMar>
                  <w:top w:w="0" w:type="dxa"/>
                  <w:left w:w="108" w:type="dxa"/>
                  <w:bottom w:w="0" w:type="dxa"/>
                  <w:right w:w="108" w:type="dxa"/>
                </w:tblCellMar>
              </w:tblPrEx>
              <w:trPr>
                <w:trHeight w:val="295" w:hRule="atLeast"/>
              </w:trPr>
              <w:tc>
                <w:tcPr>
                  <w:tcW w:w="756" w:type="pct"/>
                  <w:vMerge w:val="continue"/>
                  <w:tcBorders>
                    <w:left w:val="single" w:color="auto" w:sz="4" w:space="0"/>
                    <w:right w:val="single" w:color="auto" w:sz="4" w:space="0"/>
                  </w:tcBorders>
                  <w:shd w:val="clear" w:color="auto" w:fill="auto"/>
                  <w:vAlign w:val="center"/>
                </w:tcPr>
                <w:p w14:paraId="62801F8F">
                  <w:pPr>
                    <w:widowControl/>
                    <w:spacing w:line="240" w:lineRule="auto"/>
                    <w:jc w:val="center"/>
                    <w:textAlignment w:val="center"/>
                    <w:rPr>
                      <w:rFonts w:cs="宋体"/>
                      <w:color w:val="auto"/>
                      <w:sz w:val="18"/>
                      <w:szCs w:val="18"/>
                    </w:rPr>
                  </w:pPr>
                </w:p>
              </w:tc>
              <w:tc>
                <w:tcPr>
                  <w:tcW w:w="911" w:type="pct"/>
                  <w:vMerge w:val="continue"/>
                  <w:tcBorders>
                    <w:left w:val="single" w:color="auto" w:sz="4" w:space="0"/>
                    <w:right w:val="single" w:color="auto" w:sz="4" w:space="0"/>
                  </w:tcBorders>
                  <w:shd w:val="clear" w:color="auto" w:fill="auto"/>
                  <w:vAlign w:val="center"/>
                </w:tcPr>
                <w:p w14:paraId="3156BE32">
                  <w:pPr>
                    <w:widowControl/>
                    <w:spacing w:line="240" w:lineRule="auto"/>
                    <w:jc w:val="center"/>
                    <w:textAlignment w:val="center"/>
                    <w:rPr>
                      <w:rFonts w:cs="宋体"/>
                      <w:color w:val="auto"/>
                      <w:sz w:val="18"/>
                      <w:szCs w:val="18"/>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49DE2C2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石油类</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68C807E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3.527</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3DAF110E">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3.527</w:t>
                  </w:r>
                </w:p>
              </w:tc>
            </w:tr>
            <w:tr w14:paraId="21D7C83C">
              <w:tblPrEx>
                <w:tblCellMar>
                  <w:top w:w="0" w:type="dxa"/>
                  <w:left w:w="108" w:type="dxa"/>
                  <w:bottom w:w="0" w:type="dxa"/>
                  <w:right w:w="108" w:type="dxa"/>
                </w:tblCellMar>
              </w:tblPrEx>
              <w:trPr>
                <w:trHeight w:val="340" w:hRule="atLeast"/>
              </w:trPr>
              <w:tc>
                <w:tcPr>
                  <w:tcW w:w="756" w:type="pct"/>
                  <w:vMerge w:val="continue"/>
                  <w:tcBorders>
                    <w:left w:val="single" w:color="auto" w:sz="4" w:space="0"/>
                    <w:right w:val="single" w:color="auto" w:sz="4" w:space="0"/>
                  </w:tcBorders>
                  <w:shd w:val="clear" w:color="auto" w:fill="auto"/>
                  <w:vAlign w:val="center"/>
                </w:tcPr>
                <w:p w14:paraId="1E34433C">
                  <w:pPr>
                    <w:widowControl/>
                    <w:spacing w:line="240" w:lineRule="auto"/>
                    <w:jc w:val="center"/>
                    <w:textAlignment w:val="center"/>
                    <w:rPr>
                      <w:rFonts w:cs="宋体"/>
                      <w:color w:val="auto"/>
                      <w:sz w:val="18"/>
                      <w:szCs w:val="18"/>
                    </w:rPr>
                  </w:pPr>
                </w:p>
              </w:tc>
              <w:tc>
                <w:tcPr>
                  <w:tcW w:w="911" w:type="pct"/>
                  <w:vMerge w:val="continue"/>
                  <w:tcBorders>
                    <w:left w:val="single" w:color="auto" w:sz="4" w:space="0"/>
                    <w:right w:val="single" w:color="auto" w:sz="4" w:space="0"/>
                  </w:tcBorders>
                  <w:shd w:val="clear" w:color="auto" w:fill="auto"/>
                  <w:vAlign w:val="center"/>
                </w:tcPr>
                <w:p w14:paraId="4EB5213D">
                  <w:pPr>
                    <w:widowControl/>
                    <w:spacing w:line="240" w:lineRule="auto"/>
                    <w:jc w:val="center"/>
                    <w:textAlignment w:val="center"/>
                    <w:rPr>
                      <w:rFonts w:cs="宋体"/>
                      <w:color w:val="auto"/>
                      <w:sz w:val="18"/>
                      <w:szCs w:val="18"/>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26694BD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总磷</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5D72D8B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2.241</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2D43E634">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2.241</w:t>
                  </w:r>
                </w:p>
              </w:tc>
            </w:tr>
            <w:tr w14:paraId="2E4A31B9">
              <w:tblPrEx>
                <w:tblCellMar>
                  <w:top w:w="0" w:type="dxa"/>
                  <w:left w:w="108" w:type="dxa"/>
                  <w:bottom w:w="0" w:type="dxa"/>
                  <w:right w:w="108" w:type="dxa"/>
                </w:tblCellMar>
              </w:tblPrEx>
              <w:trPr>
                <w:trHeight w:val="307" w:hRule="atLeast"/>
              </w:trPr>
              <w:tc>
                <w:tcPr>
                  <w:tcW w:w="756" w:type="pct"/>
                  <w:vMerge w:val="continue"/>
                  <w:tcBorders>
                    <w:left w:val="single" w:color="auto" w:sz="4" w:space="0"/>
                    <w:right w:val="single" w:color="auto" w:sz="4" w:space="0"/>
                  </w:tcBorders>
                  <w:shd w:val="clear" w:color="auto" w:fill="auto"/>
                  <w:vAlign w:val="center"/>
                </w:tcPr>
                <w:p w14:paraId="7A5D0FC1">
                  <w:pPr>
                    <w:widowControl/>
                    <w:spacing w:line="240" w:lineRule="auto"/>
                    <w:jc w:val="center"/>
                    <w:textAlignment w:val="center"/>
                    <w:rPr>
                      <w:rFonts w:cs="宋体"/>
                      <w:color w:val="auto"/>
                      <w:sz w:val="18"/>
                      <w:szCs w:val="18"/>
                    </w:rPr>
                  </w:pPr>
                </w:p>
              </w:tc>
              <w:tc>
                <w:tcPr>
                  <w:tcW w:w="911" w:type="pct"/>
                  <w:vMerge w:val="continue"/>
                  <w:tcBorders>
                    <w:left w:val="single" w:color="auto" w:sz="4" w:space="0"/>
                    <w:right w:val="single" w:color="auto" w:sz="4" w:space="0"/>
                  </w:tcBorders>
                  <w:shd w:val="clear" w:color="auto" w:fill="auto"/>
                  <w:vAlign w:val="center"/>
                </w:tcPr>
                <w:p w14:paraId="2532D306">
                  <w:pPr>
                    <w:widowControl/>
                    <w:spacing w:line="240" w:lineRule="auto"/>
                    <w:jc w:val="center"/>
                    <w:textAlignment w:val="center"/>
                    <w:rPr>
                      <w:rFonts w:cs="宋体"/>
                      <w:color w:val="auto"/>
                      <w:sz w:val="18"/>
                      <w:szCs w:val="18"/>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44C2C1B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氟化物</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09426D9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2.57</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4E41FF44">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2.57</w:t>
                  </w:r>
                </w:p>
              </w:tc>
            </w:tr>
            <w:tr w14:paraId="606418AB">
              <w:tblPrEx>
                <w:tblCellMar>
                  <w:top w:w="0" w:type="dxa"/>
                  <w:left w:w="108" w:type="dxa"/>
                  <w:bottom w:w="0" w:type="dxa"/>
                  <w:right w:w="108" w:type="dxa"/>
                </w:tblCellMar>
              </w:tblPrEx>
              <w:trPr>
                <w:trHeight w:val="307" w:hRule="atLeast"/>
              </w:trPr>
              <w:tc>
                <w:tcPr>
                  <w:tcW w:w="756" w:type="pct"/>
                  <w:vMerge w:val="continue"/>
                  <w:tcBorders>
                    <w:left w:val="single" w:color="auto" w:sz="4" w:space="0"/>
                    <w:bottom w:val="single" w:color="auto" w:sz="4" w:space="0"/>
                    <w:right w:val="single" w:color="auto" w:sz="4" w:space="0"/>
                  </w:tcBorders>
                  <w:shd w:val="clear" w:color="auto" w:fill="auto"/>
                  <w:vAlign w:val="center"/>
                </w:tcPr>
                <w:p w14:paraId="21619C8C">
                  <w:pPr>
                    <w:widowControl/>
                    <w:spacing w:line="240" w:lineRule="auto"/>
                    <w:jc w:val="center"/>
                    <w:textAlignment w:val="center"/>
                    <w:rPr>
                      <w:rFonts w:cs="宋体"/>
                      <w:color w:val="auto"/>
                      <w:sz w:val="18"/>
                      <w:szCs w:val="18"/>
                    </w:rPr>
                  </w:pPr>
                </w:p>
              </w:tc>
              <w:tc>
                <w:tcPr>
                  <w:tcW w:w="911" w:type="pct"/>
                  <w:vMerge w:val="continue"/>
                  <w:tcBorders>
                    <w:left w:val="single" w:color="auto" w:sz="4" w:space="0"/>
                    <w:bottom w:val="single" w:color="auto" w:sz="4" w:space="0"/>
                    <w:right w:val="single" w:color="auto" w:sz="4" w:space="0"/>
                  </w:tcBorders>
                  <w:shd w:val="clear" w:color="auto" w:fill="auto"/>
                  <w:vAlign w:val="center"/>
                </w:tcPr>
                <w:p w14:paraId="203F35DF">
                  <w:pPr>
                    <w:widowControl/>
                    <w:spacing w:line="240" w:lineRule="auto"/>
                    <w:jc w:val="center"/>
                    <w:textAlignment w:val="center"/>
                    <w:rPr>
                      <w:rFonts w:cs="宋体"/>
                      <w:color w:val="auto"/>
                      <w:sz w:val="18"/>
                      <w:szCs w:val="18"/>
                    </w:rPr>
                  </w:pPr>
                </w:p>
              </w:tc>
              <w:tc>
                <w:tcPr>
                  <w:tcW w:w="1050" w:type="pct"/>
                  <w:tcBorders>
                    <w:top w:val="single" w:color="000000" w:sz="4" w:space="0"/>
                    <w:left w:val="single" w:color="auto" w:sz="4" w:space="0"/>
                    <w:bottom w:val="single" w:color="000000" w:sz="4" w:space="0"/>
                    <w:right w:val="single" w:color="auto" w:sz="4" w:space="0"/>
                  </w:tcBorders>
                  <w:shd w:val="clear" w:color="auto" w:fill="auto"/>
                  <w:vAlign w:val="center"/>
                </w:tcPr>
                <w:p w14:paraId="507D739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动植物油</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31ED7F2D">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0.051</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22587666">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0.051</w:t>
                  </w:r>
                </w:p>
              </w:tc>
            </w:tr>
            <w:tr w14:paraId="0712E8B0">
              <w:tblPrEx>
                <w:tblCellMar>
                  <w:top w:w="0" w:type="dxa"/>
                  <w:left w:w="108" w:type="dxa"/>
                  <w:bottom w:w="0" w:type="dxa"/>
                  <w:right w:w="108" w:type="dxa"/>
                </w:tblCellMar>
              </w:tblPrEx>
              <w:trPr>
                <w:trHeight w:val="340" w:hRule="atLeast"/>
              </w:trPr>
              <w:tc>
                <w:tcPr>
                  <w:tcW w:w="756"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9FE335A">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废气</w:t>
                  </w:r>
                  <w:r>
                    <w:rPr>
                      <w:rFonts w:hint="eastAsia" w:cs="宋体"/>
                      <w:color w:val="auto"/>
                      <w:kern w:val="0"/>
                      <w:sz w:val="18"/>
                      <w:szCs w:val="18"/>
                      <w:lang w:val="en-US" w:eastAsia="zh-CN" w:bidi="ar"/>
                    </w:rPr>
                    <w:t>（有组织）</w:t>
                  </w:r>
                </w:p>
              </w:tc>
              <w:tc>
                <w:tcPr>
                  <w:tcW w:w="911"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0353F87">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工艺废气</w:t>
                  </w:r>
                </w:p>
              </w:tc>
              <w:tc>
                <w:tcPr>
                  <w:tcW w:w="1050" w:type="pct"/>
                  <w:tcBorders>
                    <w:top w:val="single" w:color="000000" w:sz="4" w:space="0"/>
                    <w:left w:val="single" w:color="000000" w:sz="4" w:space="0"/>
                    <w:bottom w:val="single" w:color="000000" w:sz="4" w:space="0"/>
                    <w:right w:val="single" w:color="auto" w:sz="4" w:space="0"/>
                  </w:tcBorders>
                  <w:shd w:val="clear" w:color="auto" w:fill="auto"/>
                  <w:vAlign w:val="center"/>
                </w:tcPr>
                <w:p w14:paraId="64086322">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二氧化硫</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38B5B43E">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0.259</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2A1F4400">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1.295</w:t>
                  </w:r>
                </w:p>
              </w:tc>
            </w:tr>
            <w:tr w14:paraId="62ABB4B7">
              <w:tblPrEx>
                <w:tblCellMar>
                  <w:top w:w="0" w:type="dxa"/>
                  <w:left w:w="108" w:type="dxa"/>
                  <w:bottom w:w="0" w:type="dxa"/>
                  <w:right w:w="108" w:type="dxa"/>
                </w:tblCellMar>
              </w:tblPrEx>
              <w:trPr>
                <w:trHeight w:val="340" w:hRule="atLeast"/>
              </w:trPr>
              <w:tc>
                <w:tcPr>
                  <w:tcW w:w="75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A55866">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E41B18">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000000" w:sz="4" w:space="0"/>
                    <w:left w:val="single" w:color="000000" w:sz="4" w:space="0"/>
                    <w:bottom w:val="single" w:color="000000" w:sz="4" w:space="0"/>
                    <w:right w:val="single" w:color="auto" w:sz="4" w:space="0"/>
                  </w:tcBorders>
                  <w:shd w:val="clear" w:color="auto" w:fill="auto"/>
                  <w:vAlign w:val="center"/>
                </w:tcPr>
                <w:p w14:paraId="662415C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氮氧化物</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776D429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1.4646</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3B74BDC5">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6.117</w:t>
                  </w:r>
                </w:p>
              </w:tc>
            </w:tr>
            <w:tr w14:paraId="21BD8A2B">
              <w:tblPrEx>
                <w:tblCellMar>
                  <w:top w:w="0" w:type="dxa"/>
                  <w:left w:w="108" w:type="dxa"/>
                  <w:bottom w:w="0" w:type="dxa"/>
                  <w:right w:w="108" w:type="dxa"/>
                </w:tblCellMar>
              </w:tblPrEx>
              <w:trPr>
                <w:trHeight w:val="318" w:hRule="atLeast"/>
              </w:trPr>
              <w:tc>
                <w:tcPr>
                  <w:tcW w:w="75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512B99D">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0BF586">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000000" w:sz="4" w:space="0"/>
                    <w:left w:val="single" w:color="000000" w:sz="4" w:space="0"/>
                    <w:bottom w:val="single" w:color="000000" w:sz="4" w:space="0"/>
                    <w:right w:val="single" w:color="auto" w:sz="4" w:space="0"/>
                  </w:tcBorders>
                  <w:shd w:val="clear" w:color="auto" w:fill="auto"/>
                  <w:vAlign w:val="center"/>
                </w:tcPr>
                <w:p w14:paraId="343820F6">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颗粒物</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66EA842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1.0564</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376A58E3">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4.656</w:t>
                  </w:r>
                </w:p>
              </w:tc>
            </w:tr>
            <w:tr w14:paraId="2E147C22">
              <w:tblPrEx>
                <w:tblCellMar>
                  <w:top w:w="0" w:type="dxa"/>
                  <w:left w:w="108" w:type="dxa"/>
                  <w:bottom w:w="0" w:type="dxa"/>
                  <w:right w:w="108" w:type="dxa"/>
                </w:tblCellMar>
              </w:tblPrEx>
              <w:trPr>
                <w:trHeight w:val="340" w:hRule="atLeast"/>
              </w:trPr>
              <w:tc>
                <w:tcPr>
                  <w:tcW w:w="75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B504BD1">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FC87CB">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000000" w:sz="4" w:space="0"/>
                    <w:left w:val="single" w:color="000000" w:sz="4" w:space="0"/>
                    <w:bottom w:val="single" w:color="auto" w:sz="4" w:space="0"/>
                    <w:right w:val="single" w:color="auto" w:sz="4" w:space="0"/>
                  </w:tcBorders>
                  <w:shd w:val="clear" w:color="auto" w:fill="auto"/>
                  <w:vAlign w:val="center"/>
                </w:tcPr>
                <w:p w14:paraId="40F82ED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硫酸雾</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79184A57">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0.7816</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62E53015">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0.7816</w:t>
                  </w:r>
                </w:p>
              </w:tc>
            </w:tr>
            <w:tr w14:paraId="72955845">
              <w:tblPrEx>
                <w:tblCellMar>
                  <w:top w:w="0" w:type="dxa"/>
                  <w:left w:w="108" w:type="dxa"/>
                  <w:bottom w:w="0" w:type="dxa"/>
                  <w:right w:w="108" w:type="dxa"/>
                </w:tblCellMar>
              </w:tblPrEx>
              <w:trPr>
                <w:trHeight w:val="340" w:hRule="atLeast"/>
              </w:trPr>
              <w:tc>
                <w:tcPr>
                  <w:tcW w:w="75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4329F8">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E49431">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000000" w:sz="4" w:space="0"/>
                    <w:left w:val="single" w:color="000000" w:sz="4" w:space="0"/>
                    <w:bottom w:val="single" w:color="auto" w:sz="4" w:space="0"/>
                    <w:right w:val="single" w:color="auto" w:sz="4" w:space="0"/>
                  </w:tcBorders>
                  <w:shd w:val="clear" w:color="auto" w:fill="auto"/>
                  <w:vAlign w:val="center"/>
                </w:tcPr>
                <w:p w14:paraId="2DFDE4B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氯化氢</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220F1CD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0.034</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5C04FA21">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0.034</w:t>
                  </w:r>
                </w:p>
              </w:tc>
            </w:tr>
            <w:tr w14:paraId="1C73575A">
              <w:tblPrEx>
                <w:tblCellMar>
                  <w:top w:w="0" w:type="dxa"/>
                  <w:left w:w="108" w:type="dxa"/>
                  <w:bottom w:w="0" w:type="dxa"/>
                  <w:right w:w="108" w:type="dxa"/>
                </w:tblCellMar>
              </w:tblPrEx>
              <w:trPr>
                <w:trHeight w:val="340" w:hRule="atLeast"/>
              </w:trPr>
              <w:tc>
                <w:tcPr>
                  <w:tcW w:w="75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E2E90F">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09852B">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000000" w:sz="4" w:space="0"/>
                    <w:left w:val="single" w:color="000000" w:sz="4" w:space="0"/>
                    <w:bottom w:val="single" w:color="auto" w:sz="4" w:space="0"/>
                    <w:right w:val="single" w:color="auto" w:sz="4" w:space="0"/>
                  </w:tcBorders>
                  <w:shd w:val="clear" w:color="auto" w:fill="auto"/>
                  <w:vAlign w:val="center"/>
                </w:tcPr>
                <w:p w14:paraId="55DEACE1">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氟化物</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27A503E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0.004</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3AC3275F">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0.073</w:t>
                  </w:r>
                </w:p>
              </w:tc>
            </w:tr>
            <w:tr w14:paraId="7D4C0751">
              <w:tblPrEx>
                <w:tblCellMar>
                  <w:top w:w="0" w:type="dxa"/>
                  <w:left w:w="108" w:type="dxa"/>
                  <w:bottom w:w="0" w:type="dxa"/>
                  <w:right w:w="108" w:type="dxa"/>
                </w:tblCellMar>
              </w:tblPrEx>
              <w:trPr>
                <w:trHeight w:val="284" w:hRule="atLeast"/>
              </w:trPr>
              <w:tc>
                <w:tcPr>
                  <w:tcW w:w="756"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8732DB">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76BDE1F">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000000" w:sz="4" w:space="0"/>
                    <w:left w:val="single" w:color="000000" w:sz="4" w:space="0"/>
                    <w:bottom w:val="single" w:color="auto" w:sz="4" w:space="0"/>
                    <w:right w:val="single" w:color="auto" w:sz="4" w:space="0"/>
                  </w:tcBorders>
                  <w:shd w:val="clear" w:color="auto" w:fill="auto"/>
                  <w:vAlign w:val="center"/>
                </w:tcPr>
                <w:p w14:paraId="3658E208">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VOC</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383F768B">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0.05</w:t>
                  </w:r>
                </w:p>
              </w:tc>
              <w:tc>
                <w:tcPr>
                  <w:tcW w:w="1142" w:type="pct"/>
                  <w:tcBorders>
                    <w:top w:val="single" w:color="auto" w:sz="4" w:space="0"/>
                    <w:left w:val="single" w:color="auto" w:sz="4" w:space="0"/>
                    <w:bottom w:val="single" w:color="auto" w:sz="4" w:space="0"/>
                    <w:right w:val="single" w:color="auto" w:sz="4" w:space="0"/>
                  </w:tcBorders>
                  <w:shd w:val="clear" w:color="auto" w:fill="auto"/>
                  <w:vAlign w:val="center"/>
                </w:tcPr>
                <w:p w14:paraId="292B7A5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0.36</w:t>
                  </w:r>
                </w:p>
              </w:tc>
            </w:tr>
            <w:tr w14:paraId="4D21FAE8">
              <w:tblPrEx>
                <w:tblCellMar>
                  <w:top w:w="0" w:type="dxa"/>
                  <w:left w:w="108" w:type="dxa"/>
                  <w:bottom w:w="0" w:type="dxa"/>
                  <w:right w:w="108" w:type="dxa"/>
                </w:tblCellMar>
              </w:tblPrEx>
              <w:trPr>
                <w:trHeight w:val="340" w:hRule="atLeast"/>
              </w:trPr>
              <w:tc>
                <w:tcPr>
                  <w:tcW w:w="75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18D9294">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固废</w:t>
                  </w:r>
                </w:p>
              </w:tc>
              <w:tc>
                <w:tcPr>
                  <w:tcW w:w="91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D013FE1">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生产过程</w:t>
                  </w:r>
                </w:p>
                <w:p w14:paraId="185E469A">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设备保养</w:t>
                  </w:r>
                </w:p>
              </w:tc>
              <w:tc>
                <w:tcPr>
                  <w:tcW w:w="10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B1DE0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一般固废</w:t>
                  </w:r>
                </w:p>
              </w:tc>
              <w:tc>
                <w:tcPr>
                  <w:tcW w:w="113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B4DF7D">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7452.584</w:t>
                  </w:r>
                </w:p>
              </w:tc>
              <w:tc>
                <w:tcPr>
                  <w:tcW w:w="114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5F493B">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w:t>
                  </w:r>
                </w:p>
              </w:tc>
            </w:tr>
            <w:tr w14:paraId="4D6A2DED">
              <w:tblPrEx>
                <w:tblCellMar>
                  <w:top w:w="0" w:type="dxa"/>
                  <w:left w:w="108" w:type="dxa"/>
                  <w:bottom w:w="0" w:type="dxa"/>
                  <w:right w:w="108" w:type="dxa"/>
                </w:tblCellMar>
              </w:tblPrEx>
              <w:trPr>
                <w:trHeight w:val="340" w:hRule="atLeast"/>
              </w:trPr>
              <w:tc>
                <w:tcPr>
                  <w:tcW w:w="75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7916C39">
                  <w:pPr>
                    <w:widowControl/>
                    <w:spacing w:line="240" w:lineRule="auto"/>
                    <w:jc w:val="center"/>
                    <w:textAlignment w:val="center"/>
                    <w:rPr>
                      <w:rFonts w:hint="eastAsia" w:cs="宋体"/>
                      <w:color w:val="auto"/>
                      <w:sz w:val="18"/>
                      <w:szCs w:val="18"/>
                      <w:lang w:val="en-US" w:eastAsia="zh-CN"/>
                    </w:rPr>
                  </w:pPr>
                </w:p>
              </w:tc>
              <w:tc>
                <w:tcPr>
                  <w:tcW w:w="91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A6CA832">
                  <w:pPr>
                    <w:widowControl/>
                    <w:spacing w:line="240" w:lineRule="auto"/>
                    <w:jc w:val="center"/>
                    <w:textAlignment w:val="center"/>
                    <w:rPr>
                      <w:rFonts w:hint="eastAsia" w:cs="宋体"/>
                      <w:color w:val="auto"/>
                      <w:kern w:val="0"/>
                      <w:sz w:val="18"/>
                      <w:szCs w:val="18"/>
                      <w:lang w:val="en-US" w:eastAsia="zh-CN" w:bidi="ar"/>
                    </w:rPr>
                  </w:pPr>
                </w:p>
              </w:tc>
              <w:tc>
                <w:tcPr>
                  <w:tcW w:w="10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1DDAB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危险废物</w:t>
                  </w:r>
                </w:p>
              </w:tc>
              <w:tc>
                <w:tcPr>
                  <w:tcW w:w="113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4914BA">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166.204</w:t>
                  </w:r>
                </w:p>
              </w:tc>
              <w:tc>
                <w:tcPr>
                  <w:tcW w:w="114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37B0B2">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val="en-US" w:eastAsia="zh-CN" w:bidi="ar"/>
                    </w:rPr>
                    <w:t>/</w:t>
                  </w:r>
                </w:p>
              </w:tc>
            </w:tr>
            <w:tr w14:paraId="6E469B92">
              <w:tblPrEx>
                <w:tblCellMar>
                  <w:top w:w="0" w:type="dxa"/>
                  <w:left w:w="108" w:type="dxa"/>
                  <w:bottom w:w="0" w:type="dxa"/>
                  <w:right w:w="108" w:type="dxa"/>
                </w:tblCellMar>
              </w:tblPrEx>
              <w:trPr>
                <w:trHeight w:val="352" w:hRule="atLeast"/>
              </w:trPr>
              <w:tc>
                <w:tcPr>
                  <w:tcW w:w="756" w:type="pct"/>
                  <w:tcBorders>
                    <w:top w:val="single" w:color="auto" w:sz="4" w:space="0"/>
                    <w:left w:val="single" w:color="auto" w:sz="4" w:space="0"/>
                    <w:bottom w:val="single" w:color="auto" w:sz="4" w:space="0"/>
                    <w:right w:val="single" w:color="auto" w:sz="4" w:space="0"/>
                  </w:tcBorders>
                  <w:vAlign w:val="center"/>
                </w:tcPr>
                <w:p w14:paraId="1ED0E9BD">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生活垃圾</w:t>
                  </w:r>
                </w:p>
              </w:tc>
              <w:tc>
                <w:tcPr>
                  <w:tcW w:w="911" w:type="pct"/>
                  <w:tcBorders>
                    <w:top w:val="single" w:color="auto" w:sz="4" w:space="0"/>
                    <w:left w:val="single" w:color="auto" w:sz="4" w:space="0"/>
                    <w:bottom w:val="single" w:color="auto" w:sz="4" w:space="0"/>
                    <w:right w:val="single" w:color="auto" w:sz="4" w:space="0"/>
                  </w:tcBorders>
                  <w:vAlign w:val="center"/>
                </w:tcPr>
                <w:p w14:paraId="12F34D38">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员工生活</w:t>
                  </w:r>
                </w:p>
              </w:tc>
              <w:tc>
                <w:tcPr>
                  <w:tcW w:w="1050" w:type="pct"/>
                  <w:tcBorders>
                    <w:top w:val="single" w:color="auto" w:sz="4" w:space="0"/>
                    <w:left w:val="single" w:color="auto" w:sz="4" w:space="0"/>
                    <w:bottom w:val="single" w:color="auto" w:sz="4" w:space="0"/>
                    <w:right w:val="single" w:color="auto" w:sz="4" w:space="0"/>
                  </w:tcBorders>
                  <w:vAlign w:val="center"/>
                </w:tcPr>
                <w:p w14:paraId="3C9A018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default" w:ascii="Times New Roman" w:hAnsi="Times New Roman" w:eastAsia="宋体" w:cs="宋体"/>
                      <w:color w:val="auto"/>
                      <w:kern w:val="0"/>
                      <w:sz w:val="18"/>
                      <w:szCs w:val="18"/>
                      <w:lang w:val="en-US" w:eastAsia="zh-CN" w:bidi="ar"/>
                    </w:rPr>
                    <w:t>生活垃圾</w:t>
                  </w:r>
                </w:p>
              </w:tc>
              <w:tc>
                <w:tcPr>
                  <w:tcW w:w="1139" w:type="pct"/>
                  <w:tcBorders>
                    <w:top w:val="single" w:color="auto" w:sz="4" w:space="0"/>
                    <w:left w:val="single" w:color="auto" w:sz="4" w:space="0"/>
                    <w:bottom w:val="single" w:color="auto" w:sz="4" w:space="0"/>
                    <w:right w:val="single" w:color="auto" w:sz="4" w:space="0"/>
                  </w:tcBorders>
                  <w:shd w:val="clear" w:color="auto" w:fill="auto"/>
                  <w:vAlign w:val="center"/>
                </w:tcPr>
                <w:p w14:paraId="6ADD0079">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215</w:t>
                  </w:r>
                </w:p>
              </w:tc>
              <w:tc>
                <w:tcPr>
                  <w:tcW w:w="1142" w:type="pct"/>
                  <w:tcBorders>
                    <w:top w:val="single" w:color="auto" w:sz="4" w:space="0"/>
                    <w:left w:val="single" w:color="auto" w:sz="4" w:space="0"/>
                    <w:bottom w:val="single" w:color="auto" w:sz="4" w:space="0"/>
                    <w:right w:val="single" w:color="auto" w:sz="4" w:space="0"/>
                  </w:tcBorders>
                  <w:vAlign w:val="center"/>
                </w:tcPr>
                <w:p w14:paraId="3C3EF2D7">
                  <w:pPr>
                    <w:widowControl/>
                    <w:spacing w:line="240" w:lineRule="auto"/>
                    <w:jc w:val="center"/>
                    <w:textAlignment w:val="center"/>
                    <w:rPr>
                      <w:rFonts w:hint="default" w:ascii="Times New Roman" w:hAnsi="Times New Roman" w:eastAsia="宋体" w:cs="宋体"/>
                      <w:color w:val="auto"/>
                      <w:kern w:val="0"/>
                      <w:sz w:val="18"/>
                      <w:szCs w:val="18"/>
                      <w:lang w:val="en-US" w:eastAsia="zh-CN" w:bidi="ar"/>
                    </w:rPr>
                  </w:pPr>
                  <w:r>
                    <w:rPr>
                      <w:rFonts w:hint="eastAsia" w:ascii="Times New Roman" w:hAnsi="Times New Roman" w:eastAsia="宋体" w:cs="宋体"/>
                      <w:color w:val="auto"/>
                      <w:kern w:val="0"/>
                      <w:sz w:val="18"/>
                      <w:szCs w:val="18"/>
                      <w:lang w:val="en-US" w:eastAsia="zh-CN" w:bidi="ar"/>
                    </w:rPr>
                    <w:t>/</w:t>
                  </w:r>
                </w:p>
              </w:tc>
            </w:tr>
          </w:tbl>
          <w:p w14:paraId="0CBD4A52">
            <w:pPr>
              <w:adjustRightInd w:val="0"/>
              <w:snapToGrid w:val="0"/>
              <w:outlineLvl w:val="0"/>
              <w:rPr>
                <w:b/>
                <w:color w:val="auto"/>
                <w:szCs w:val="24"/>
              </w:rPr>
            </w:pPr>
            <w:bookmarkStart w:id="55" w:name="_Toc5468"/>
            <w:r>
              <w:rPr>
                <w:rFonts w:hint="eastAsia"/>
                <w:b/>
                <w:color w:val="auto"/>
                <w:szCs w:val="24"/>
                <w:lang w:val="en-US" w:eastAsia="zh-CN"/>
              </w:rPr>
              <w:t>6</w:t>
            </w:r>
            <w:r>
              <w:rPr>
                <w:rFonts w:hint="eastAsia"/>
                <w:b/>
                <w:color w:val="auto"/>
                <w:szCs w:val="24"/>
              </w:rPr>
              <w:t>、项目地原有环境污染问题</w:t>
            </w:r>
            <w:bookmarkEnd w:id="54"/>
            <w:bookmarkEnd w:id="55"/>
          </w:p>
          <w:p w14:paraId="557CD9F5">
            <w:pPr>
              <w:ind w:firstLine="480" w:firstLineChars="200"/>
              <w:rPr>
                <w:rFonts w:hint="eastAsia" w:eastAsia="宋体"/>
                <w:color w:val="auto"/>
                <w:lang w:val="en-US" w:eastAsia="zh-CN"/>
              </w:rPr>
            </w:pPr>
            <w:r>
              <w:rPr>
                <w:rFonts w:hint="eastAsia"/>
                <w:color w:val="auto"/>
                <w:lang w:val="en-US" w:eastAsia="zh-CN"/>
              </w:rPr>
              <w:t>经现场踏勘，以及根据</w:t>
            </w:r>
            <w:r>
              <w:rPr>
                <w:rFonts w:hint="eastAsia"/>
                <w:color w:val="auto"/>
              </w:rPr>
              <w:t>现有已通过环评审批和竣工验收</w:t>
            </w:r>
            <w:r>
              <w:rPr>
                <w:rFonts w:hint="eastAsia"/>
                <w:color w:val="auto"/>
                <w:lang w:val="en-US" w:eastAsia="zh-CN"/>
              </w:rPr>
              <w:t>的</w:t>
            </w:r>
            <w:r>
              <w:rPr>
                <w:rFonts w:hint="eastAsia"/>
                <w:color w:val="auto"/>
              </w:rPr>
              <w:t>项目，</w:t>
            </w:r>
            <w:r>
              <w:rPr>
                <w:rFonts w:hint="eastAsia"/>
                <w:color w:val="auto"/>
                <w:lang w:val="en-US" w:eastAsia="zh-CN"/>
              </w:rPr>
              <w:t>现有工程</w:t>
            </w:r>
            <w:r>
              <w:rPr>
                <w:rFonts w:hint="eastAsia"/>
                <w:color w:val="auto"/>
              </w:rPr>
              <w:t>基本落实了各项污染防治措施，做到废气、废水达标排放，厂界噪声达标。企业现有项目存在问题</w:t>
            </w:r>
            <w:r>
              <w:rPr>
                <w:rFonts w:hint="eastAsia"/>
                <w:color w:val="auto"/>
                <w:lang w:val="en-US" w:eastAsia="zh-CN"/>
              </w:rPr>
              <w:t>如下表。</w:t>
            </w:r>
          </w:p>
          <w:p w14:paraId="75AE31FD">
            <w:pPr>
              <w:numPr>
                <w:ilvl w:val="0"/>
                <w:numId w:val="0"/>
              </w:numPr>
              <w:bidi w:val="0"/>
              <w:jc w:val="center"/>
              <w:rPr>
                <w:rFonts w:hint="default"/>
                <w:color w:val="auto"/>
                <w:lang w:val="en-US" w:eastAsia="zh-CN"/>
              </w:rPr>
            </w:pPr>
            <w:r>
              <w:rPr>
                <w:rFonts w:ascii="黑体" w:hAnsi="黑体" w:eastAsia="黑体"/>
                <w:color w:val="auto"/>
                <w:szCs w:val="24"/>
              </w:rPr>
              <w:t>表</w:t>
            </w:r>
            <w:r>
              <w:rPr>
                <w:rFonts w:eastAsia="黑体"/>
                <w:color w:val="auto"/>
                <w:szCs w:val="24"/>
              </w:rPr>
              <w:t>2-</w:t>
            </w:r>
            <w:r>
              <w:rPr>
                <w:rFonts w:hint="eastAsia" w:eastAsia="黑体"/>
                <w:color w:val="auto"/>
                <w:szCs w:val="24"/>
                <w:lang w:val="en-US" w:eastAsia="zh-CN"/>
              </w:rPr>
              <w:t>18</w:t>
            </w:r>
            <w:r>
              <w:rPr>
                <w:rFonts w:ascii="黑体" w:hAnsi="黑体" w:eastAsia="黑体"/>
                <w:color w:val="auto"/>
                <w:szCs w:val="24"/>
              </w:rPr>
              <w:t xml:space="preserve"> </w:t>
            </w:r>
            <w:r>
              <w:rPr>
                <w:rFonts w:hint="eastAsia" w:ascii="黑体" w:hAnsi="黑体" w:eastAsia="黑体"/>
                <w:color w:val="auto"/>
                <w:szCs w:val="24"/>
              </w:rPr>
              <w:t xml:space="preserve"> </w:t>
            </w:r>
            <w:r>
              <w:rPr>
                <w:rFonts w:hint="eastAsia" w:ascii="黑体" w:hAnsi="黑体" w:eastAsia="黑体"/>
                <w:color w:val="auto"/>
                <w:szCs w:val="24"/>
                <w:lang w:val="en-US" w:eastAsia="zh-CN"/>
              </w:rPr>
              <w:t>企业现有项目存在问题及整改措施</w:t>
            </w:r>
          </w:p>
          <w:tbl>
            <w:tblPr>
              <w:tblStyle w:val="69"/>
              <w:tblW w:w="9065" w:type="dxa"/>
              <w:tblInd w:w="0" w:type="dxa"/>
              <w:tblLayout w:type="fixed"/>
              <w:tblCellMar>
                <w:top w:w="0" w:type="dxa"/>
                <w:left w:w="108" w:type="dxa"/>
                <w:bottom w:w="0" w:type="dxa"/>
                <w:right w:w="108" w:type="dxa"/>
              </w:tblCellMar>
            </w:tblPr>
            <w:tblGrid>
              <w:gridCol w:w="575"/>
              <w:gridCol w:w="3502"/>
              <w:gridCol w:w="3691"/>
              <w:gridCol w:w="1297"/>
            </w:tblGrid>
            <w:tr w14:paraId="7EBFEE54">
              <w:tblPrEx>
                <w:tblCellMar>
                  <w:top w:w="0" w:type="dxa"/>
                  <w:left w:w="108" w:type="dxa"/>
                  <w:bottom w:w="0" w:type="dxa"/>
                  <w:right w:w="108" w:type="dxa"/>
                </w:tblCellMar>
              </w:tblPrEx>
              <w:trPr>
                <w:trHeight w:val="464" w:hRule="atLeast"/>
              </w:trPr>
              <w:tc>
                <w:tcPr>
                  <w:tcW w:w="31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6F71342">
                  <w:pPr>
                    <w:widowControl/>
                    <w:spacing w:line="240" w:lineRule="auto"/>
                    <w:jc w:val="center"/>
                    <w:textAlignment w:val="center"/>
                    <w:rPr>
                      <w:rFonts w:cs="等线"/>
                      <w:color w:val="auto"/>
                      <w:kern w:val="0"/>
                      <w:sz w:val="18"/>
                      <w:szCs w:val="22"/>
                      <w:lang w:bidi="ar"/>
                    </w:rPr>
                  </w:pPr>
                  <w:r>
                    <w:rPr>
                      <w:rFonts w:hint="eastAsia" w:cs="等线"/>
                      <w:color w:val="auto"/>
                      <w:kern w:val="0"/>
                      <w:sz w:val="18"/>
                      <w:szCs w:val="22"/>
                      <w:lang w:bidi="ar"/>
                    </w:rPr>
                    <w:t>序号</w:t>
                  </w:r>
                </w:p>
              </w:tc>
              <w:tc>
                <w:tcPr>
                  <w:tcW w:w="193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5DB3FBF">
                  <w:pPr>
                    <w:widowControl/>
                    <w:spacing w:line="240" w:lineRule="auto"/>
                    <w:jc w:val="center"/>
                    <w:textAlignment w:val="center"/>
                    <w:rPr>
                      <w:rFonts w:cs="等线"/>
                      <w:color w:val="auto"/>
                      <w:kern w:val="0"/>
                      <w:sz w:val="18"/>
                      <w:szCs w:val="22"/>
                      <w:lang w:bidi="ar"/>
                    </w:rPr>
                  </w:pPr>
                  <w:r>
                    <w:rPr>
                      <w:rFonts w:hint="eastAsia" w:cs="等线"/>
                      <w:color w:val="auto"/>
                      <w:kern w:val="0"/>
                      <w:sz w:val="18"/>
                      <w:szCs w:val="22"/>
                      <w:lang w:bidi="ar"/>
                    </w:rPr>
                    <w:t>存在问题</w:t>
                  </w:r>
                </w:p>
              </w:tc>
              <w:tc>
                <w:tcPr>
                  <w:tcW w:w="2035"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30B8C43E">
                  <w:pPr>
                    <w:widowControl/>
                    <w:spacing w:line="240" w:lineRule="auto"/>
                    <w:jc w:val="center"/>
                    <w:textAlignment w:val="center"/>
                    <w:rPr>
                      <w:rFonts w:hint="eastAsia" w:eastAsia="宋体" w:cs="等线"/>
                      <w:color w:val="auto"/>
                      <w:kern w:val="0"/>
                      <w:sz w:val="18"/>
                      <w:szCs w:val="22"/>
                      <w:lang w:val="en-US" w:eastAsia="zh-CN" w:bidi="ar"/>
                    </w:rPr>
                  </w:pPr>
                  <w:r>
                    <w:rPr>
                      <w:rFonts w:hint="eastAsia" w:cs="等线"/>
                      <w:color w:val="auto"/>
                      <w:kern w:val="0"/>
                      <w:sz w:val="18"/>
                      <w:szCs w:val="22"/>
                      <w:lang w:val="en-US" w:eastAsia="zh-CN" w:bidi="ar"/>
                    </w:rPr>
                    <w:t>整改措施</w:t>
                  </w:r>
                </w:p>
              </w:tc>
              <w:tc>
                <w:tcPr>
                  <w:tcW w:w="715"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5F89D94">
                  <w:pPr>
                    <w:widowControl/>
                    <w:spacing w:line="240" w:lineRule="auto"/>
                    <w:jc w:val="center"/>
                    <w:textAlignment w:val="center"/>
                    <w:rPr>
                      <w:rFonts w:cs="等线"/>
                      <w:color w:val="auto"/>
                      <w:kern w:val="0"/>
                      <w:sz w:val="18"/>
                      <w:szCs w:val="22"/>
                      <w:lang w:bidi="ar"/>
                    </w:rPr>
                  </w:pPr>
                  <w:r>
                    <w:rPr>
                      <w:rFonts w:hint="eastAsia" w:cs="等线"/>
                      <w:color w:val="auto"/>
                      <w:kern w:val="0"/>
                      <w:sz w:val="18"/>
                      <w:szCs w:val="22"/>
                      <w:lang w:bidi="ar"/>
                    </w:rPr>
                    <w:t>整改期限</w:t>
                  </w:r>
                </w:p>
              </w:tc>
            </w:tr>
            <w:tr w14:paraId="722A3353">
              <w:tblPrEx>
                <w:tblCellMar>
                  <w:top w:w="0" w:type="dxa"/>
                  <w:left w:w="108" w:type="dxa"/>
                  <w:bottom w:w="0" w:type="dxa"/>
                  <w:right w:w="108" w:type="dxa"/>
                </w:tblCellMar>
              </w:tblPrEx>
              <w:trPr>
                <w:trHeight w:val="277" w:hRule="atLeast"/>
              </w:trPr>
              <w:tc>
                <w:tcPr>
                  <w:tcW w:w="3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25F873">
                  <w:pPr>
                    <w:widowControl/>
                    <w:spacing w:line="240" w:lineRule="auto"/>
                    <w:jc w:val="center"/>
                    <w:textAlignment w:val="center"/>
                    <w:rPr>
                      <w:rFonts w:hint="eastAsia" w:eastAsia="宋体" w:cs="等线"/>
                      <w:color w:val="auto"/>
                      <w:kern w:val="0"/>
                      <w:sz w:val="18"/>
                      <w:szCs w:val="22"/>
                      <w:lang w:val="en-US" w:eastAsia="zh-CN" w:bidi="ar"/>
                    </w:rPr>
                  </w:pPr>
                  <w:r>
                    <w:rPr>
                      <w:rFonts w:hint="eastAsia" w:cs="等线"/>
                      <w:color w:val="auto"/>
                      <w:kern w:val="0"/>
                      <w:sz w:val="18"/>
                      <w:szCs w:val="22"/>
                      <w:lang w:val="en-US" w:eastAsia="zh-CN" w:bidi="ar"/>
                    </w:rPr>
                    <w:t>1</w:t>
                  </w:r>
                </w:p>
              </w:tc>
              <w:tc>
                <w:tcPr>
                  <w:tcW w:w="193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579C98">
                  <w:pPr>
                    <w:widowControl/>
                    <w:spacing w:line="240" w:lineRule="auto"/>
                    <w:jc w:val="center"/>
                    <w:textAlignment w:val="center"/>
                    <w:rPr>
                      <w:rFonts w:hint="default" w:eastAsia="宋体" w:cs="等线"/>
                      <w:color w:val="auto"/>
                      <w:kern w:val="0"/>
                      <w:sz w:val="18"/>
                      <w:szCs w:val="22"/>
                      <w:lang w:val="en-US" w:eastAsia="zh-CN" w:bidi="ar"/>
                    </w:rPr>
                  </w:pPr>
                  <w:r>
                    <w:rPr>
                      <w:rFonts w:hint="eastAsia" w:cs="等线"/>
                      <w:color w:val="auto"/>
                      <w:kern w:val="0"/>
                      <w:sz w:val="18"/>
                      <w:szCs w:val="22"/>
                      <w:lang w:val="en-US" w:eastAsia="zh-CN" w:bidi="ar"/>
                    </w:rPr>
                    <w:t>危废仓库分区不明确</w:t>
                  </w:r>
                </w:p>
              </w:tc>
              <w:tc>
                <w:tcPr>
                  <w:tcW w:w="203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64F04F">
                  <w:pPr>
                    <w:widowControl/>
                    <w:spacing w:line="240" w:lineRule="auto"/>
                    <w:jc w:val="center"/>
                    <w:textAlignment w:val="center"/>
                    <w:rPr>
                      <w:rFonts w:hint="default" w:eastAsia="宋体" w:cs="等线"/>
                      <w:color w:val="auto"/>
                      <w:kern w:val="0"/>
                      <w:sz w:val="18"/>
                      <w:szCs w:val="22"/>
                      <w:lang w:val="en-US" w:eastAsia="zh-CN" w:bidi="ar"/>
                    </w:rPr>
                  </w:pPr>
                  <w:r>
                    <w:rPr>
                      <w:rFonts w:hint="eastAsia" w:cs="等线"/>
                      <w:color w:val="auto"/>
                      <w:kern w:val="0"/>
                      <w:sz w:val="18"/>
                      <w:szCs w:val="22"/>
                      <w:lang w:val="en-US" w:eastAsia="zh-CN" w:bidi="ar"/>
                    </w:rPr>
                    <w:t>明确分区，液体危废和固体危废分区贮存</w:t>
                  </w:r>
                </w:p>
              </w:tc>
              <w:tc>
                <w:tcPr>
                  <w:tcW w:w="715" w:type="pct"/>
                  <w:vMerge w:val="restart"/>
                  <w:tcBorders>
                    <w:top w:val="single" w:color="auto" w:sz="4" w:space="0"/>
                    <w:left w:val="single" w:color="auto" w:sz="4" w:space="0"/>
                    <w:right w:val="single" w:color="auto" w:sz="4" w:space="0"/>
                  </w:tcBorders>
                  <w:shd w:val="clear" w:color="auto" w:fill="auto"/>
                  <w:noWrap/>
                  <w:vAlign w:val="center"/>
                </w:tcPr>
                <w:p w14:paraId="63F417F8">
                  <w:pPr>
                    <w:widowControl/>
                    <w:spacing w:line="240" w:lineRule="auto"/>
                    <w:jc w:val="center"/>
                    <w:rPr>
                      <w:rFonts w:hint="default" w:eastAsia="宋体" w:cs="等线"/>
                      <w:color w:val="auto"/>
                      <w:sz w:val="18"/>
                      <w:szCs w:val="22"/>
                      <w:lang w:val="en-US" w:eastAsia="zh-CN"/>
                    </w:rPr>
                  </w:pPr>
                  <w:r>
                    <w:rPr>
                      <w:rFonts w:hint="eastAsia" w:cs="等线"/>
                      <w:color w:val="auto"/>
                      <w:sz w:val="18"/>
                      <w:szCs w:val="22"/>
                      <w:lang w:val="en-US" w:eastAsia="zh-CN"/>
                    </w:rPr>
                    <w:t>本项目实施前</w:t>
                  </w:r>
                </w:p>
              </w:tc>
            </w:tr>
            <w:tr w14:paraId="00727CBD">
              <w:tblPrEx>
                <w:tblCellMar>
                  <w:top w:w="0" w:type="dxa"/>
                  <w:left w:w="108" w:type="dxa"/>
                  <w:bottom w:w="0" w:type="dxa"/>
                  <w:right w:w="108" w:type="dxa"/>
                </w:tblCellMar>
              </w:tblPrEx>
              <w:trPr>
                <w:trHeight w:val="277" w:hRule="atLeast"/>
              </w:trPr>
              <w:tc>
                <w:tcPr>
                  <w:tcW w:w="3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D9A541">
                  <w:pPr>
                    <w:widowControl/>
                    <w:spacing w:line="240" w:lineRule="auto"/>
                    <w:jc w:val="center"/>
                    <w:textAlignment w:val="center"/>
                    <w:rPr>
                      <w:rFonts w:hint="default" w:cs="等线"/>
                      <w:color w:val="auto"/>
                      <w:kern w:val="0"/>
                      <w:sz w:val="18"/>
                      <w:szCs w:val="22"/>
                      <w:lang w:val="en-US" w:eastAsia="zh-CN" w:bidi="ar"/>
                    </w:rPr>
                  </w:pPr>
                  <w:r>
                    <w:rPr>
                      <w:rFonts w:hint="eastAsia" w:cs="等线"/>
                      <w:color w:val="auto"/>
                      <w:kern w:val="0"/>
                      <w:sz w:val="18"/>
                      <w:szCs w:val="22"/>
                      <w:lang w:val="en-US" w:eastAsia="zh-CN" w:bidi="ar"/>
                    </w:rPr>
                    <w:t>2</w:t>
                  </w:r>
                </w:p>
              </w:tc>
              <w:tc>
                <w:tcPr>
                  <w:tcW w:w="193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3D5637">
                  <w:pPr>
                    <w:widowControl/>
                    <w:spacing w:line="240" w:lineRule="auto"/>
                    <w:jc w:val="center"/>
                    <w:textAlignment w:val="center"/>
                    <w:rPr>
                      <w:rFonts w:hint="default" w:cs="等线"/>
                      <w:color w:val="auto"/>
                      <w:kern w:val="0"/>
                      <w:sz w:val="18"/>
                      <w:szCs w:val="22"/>
                      <w:lang w:val="en-US" w:eastAsia="zh-CN" w:bidi="ar"/>
                    </w:rPr>
                  </w:pPr>
                  <w:r>
                    <w:rPr>
                      <w:rFonts w:hint="eastAsia" w:cs="等线"/>
                      <w:color w:val="auto"/>
                      <w:kern w:val="0"/>
                      <w:sz w:val="18"/>
                      <w:szCs w:val="22"/>
                      <w:lang w:val="en-US" w:eastAsia="zh-CN" w:bidi="ar"/>
                    </w:rPr>
                    <w:t>废水在线监测数据波动较大</w:t>
                  </w:r>
                </w:p>
              </w:tc>
              <w:tc>
                <w:tcPr>
                  <w:tcW w:w="203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D21358">
                  <w:pPr>
                    <w:widowControl/>
                    <w:spacing w:line="240" w:lineRule="auto"/>
                    <w:jc w:val="center"/>
                    <w:textAlignment w:val="center"/>
                    <w:rPr>
                      <w:rFonts w:hint="default" w:cs="等线"/>
                      <w:color w:val="auto"/>
                      <w:kern w:val="0"/>
                      <w:sz w:val="18"/>
                      <w:szCs w:val="22"/>
                      <w:lang w:val="en-US" w:eastAsia="zh-CN" w:bidi="ar"/>
                    </w:rPr>
                  </w:pPr>
                  <w:r>
                    <w:rPr>
                      <w:rFonts w:hint="eastAsia" w:cs="等线"/>
                      <w:color w:val="auto"/>
                      <w:kern w:val="0"/>
                      <w:sz w:val="18"/>
                      <w:szCs w:val="22"/>
                      <w:lang w:val="en-US" w:eastAsia="zh-CN" w:bidi="ar"/>
                    </w:rPr>
                    <w:t>查明具体原因并调整合适参数</w:t>
                  </w:r>
                </w:p>
              </w:tc>
              <w:tc>
                <w:tcPr>
                  <w:tcW w:w="715" w:type="pct"/>
                  <w:vMerge w:val="continue"/>
                  <w:tcBorders>
                    <w:left w:val="single" w:color="auto" w:sz="4" w:space="0"/>
                    <w:right w:val="single" w:color="auto" w:sz="4" w:space="0"/>
                  </w:tcBorders>
                  <w:shd w:val="clear" w:color="auto" w:fill="auto"/>
                  <w:noWrap/>
                  <w:vAlign w:val="center"/>
                </w:tcPr>
                <w:p w14:paraId="02F56930">
                  <w:pPr>
                    <w:widowControl/>
                    <w:spacing w:line="240" w:lineRule="auto"/>
                    <w:jc w:val="center"/>
                    <w:rPr>
                      <w:rFonts w:hint="eastAsia" w:cs="等线"/>
                      <w:color w:val="auto"/>
                      <w:sz w:val="18"/>
                      <w:szCs w:val="22"/>
                      <w:lang w:val="en-US" w:eastAsia="zh-CN"/>
                    </w:rPr>
                  </w:pPr>
                </w:p>
              </w:tc>
            </w:tr>
            <w:tr w14:paraId="02FCD6AD">
              <w:tblPrEx>
                <w:tblCellMar>
                  <w:top w:w="0" w:type="dxa"/>
                  <w:left w:w="108" w:type="dxa"/>
                  <w:bottom w:w="0" w:type="dxa"/>
                  <w:right w:w="108" w:type="dxa"/>
                </w:tblCellMar>
              </w:tblPrEx>
              <w:trPr>
                <w:trHeight w:val="277" w:hRule="atLeast"/>
              </w:trPr>
              <w:tc>
                <w:tcPr>
                  <w:tcW w:w="3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86432D">
                  <w:pPr>
                    <w:widowControl/>
                    <w:spacing w:line="240" w:lineRule="auto"/>
                    <w:jc w:val="center"/>
                    <w:textAlignment w:val="center"/>
                    <w:rPr>
                      <w:rFonts w:hint="default" w:cs="等线"/>
                      <w:color w:val="auto"/>
                      <w:kern w:val="0"/>
                      <w:sz w:val="18"/>
                      <w:szCs w:val="22"/>
                      <w:lang w:val="en-US" w:eastAsia="zh-CN" w:bidi="ar"/>
                    </w:rPr>
                  </w:pPr>
                  <w:r>
                    <w:rPr>
                      <w:rFonts w:hint="eastAsia" w:cs="等线"/>
                      <w:color w:val="auto"/>
                      <w:kern w:val="0"/>
                      <w:sz w:val="18"/>
                      <w:szCs w:val="22"/>
                      <w:lang w:val="en-US" w:eastAsia="zh-CN" w:bidi="ar"/>
                    </w:rPr>
                    <w:t>3</w:t>
                  </w:r>
                </w:p>
              </w:tc>
              <w:tc>
                <w:tcPr>
                  <w:tcW w:w="193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2BFF96">
                  <w:pPr>
                    <w:widowControl/>
                    <w:spacing w:line="240" w:lineRule="auto"/>
                    <w:jc w:val="center"/>
                    <w:textAlignment w:val="center"/>
                    <w:rPr>
                      <w:rFonts w:hint="default" w:cs="等线"/>
                      <w:color w:val="auto"/>
                      <w:kern w:val="0"/>
                      <w:sz w:val="18"/>
                      <w:szCs w:val="22"/>
                      <w:lang w:val="en-US" w:eastAsia="zh-CN" w:bidi="ar"/>
                    </w:rPr>
                  </w:pPr>
                  <w:r>
                    <w:rPr>
                      <w:rFonts w:hint="eastAsia" w:cs="等线"/>
                      <w:color w:val="auto"/>
                      <w:kern w:val="0"/>
                      <w:sz w:val="18"/>
                      <w:szCs w:val="22"/>
                      <w:lang w:val="en-US" w:eastAsia="zh-CN" w:bidi="ar"/>
                    </w:rPr>
                    <w:t>生产车间铝料头堆放杂乱</w:t>
                  </w:r>
                </w:p>
              </w:tc>
              <w:tc>
                <w:tcPr>
                  <w:tcW w:w="203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F577756">
                  <w:pPr>
                    <w:widowControl/>
                    <w:spacing w:line="240" w:lineRule="auto"/>
                    <w:jc w:val="center"/>
                    <w:textAlignment w:val="center"/>
                    <w:rPr>
                      <w:rFonts w:hint="default" w:cs="等线"/>
                      <w:color w:val="auto"/>
                      <w:kern w:val="0"/>
                      <w:sz w:val="18"/>
                      <w:szCs w:val="22"/>
                      <w:lang w:val="en-US" w:eastAsia="zh-CN" w:bidi="ar"/>
                    </w:rPr>
                  </w:pPr>
                  <w:r>
                    <w:rPr>
                      <w:rFonts w:hint="eastAsia" w:cs="等线"/>
                      <w:color w:val="auto"/>
                      <w:kern w:val="0"/>
                      <w:sz w:val="18"/>
                      <w:szCs w:val="22"/>
                      <w:lang w:val="en-US" w:eastAsia="zh-CN" w:bidi="ar"/>
                    </w:rPr>
                    <w:t>设置专用区域规范堆放铝料头</w:t>
                  </w:r>
                </w:p>
              </w:tc>
              <w:tc>
                <w:tcPr>
                  <w:tcW w:w="715" w:type="pct"/>
                  <w:vMerge w:val="continue"/>
                  <w:tcBorders>
                    <w:left w:val="single" w:color="auto" w:sz="4" w:space="0"/>
                    <w:bottom w:val="single" w:color="auto" w:sz="4" w:space="0"/>
                    <w:right w:val="single" w:color="auto" w:sz="4" w:space="0"/>
                  </w:tcBorders>
                  <w:shd w:val="clear" w:color="auto" w:fill="auto"/>
                  <w:noWrap/>
                  <w:vAlign w:val="center"/>
                </w:tcPr>
                <w:p w14:paraId="6C308250">
                  <w:pPr>
                    <w:widowControl/>
                    <w:spacing w:line="240" w:lineRule="auto"/>
                    <w:jc w:val="center"/>
                    <w:rPr>
                      <w:rFonts w:hint="eastAsia" w:cs="等线"/>
                      <w:color w:val="auto"/>
                      <w:sz w:val="18"/>
                      <w:szCs w:val="22"/>
                      <w:lang w:val="en-US" w:eastAsia="zh-CN"/>
                    </w:rPr>
                  </w:pPr>
                </w:p>
              </w:tc>
            </w:tr>
          </w:tbl>
          <w:p w14:paraId="0C30FBE4">
            <w:pPr>
              <w:rPr>
                <w:color w:val="auto"/>
              </w:rPr>
            </w:pPr>
          </w:p>
        </w:tc>
      </w:tr>
    </w:tbl>
    <w:p w14:paraId="4266CBCD">
      <w:pPr>
        <w:rPr>
          <w:b/>
          <w:color w:val="auto"/>
          <w:sz w:val="32"/>
          <w:szCs w:val="32"/>
        </w:rPr>
        <w:sectPr>
          <w:footerReference r:id="rId10" w:type="default"/>
          <w:pgSz w:w="11907" w:h="16840"/>
          <w:pgMar w:top="1247" w:right="1134" w:bottom="1134" w:left="1247" w:header="680" w:footer="680" w:gutter="0"/>
          <w:cols w:space="720" w:num="1"/>
          <w:docGrid w:linePitch="326" w:charSpace="0"/>
        </w:sectPr>
      </w:pPr>
    </w:p>
    <w:p w14:paraId="326EADFD">
      <w:pPr>
        <w:jc w:val="center"/>
        <w:outlineLvl w:val="0"/>
        <w:rPr>
          <w:b/>
          <w:color w:val="auto"/>
          <w:sz w:val="32"/>
          <w:szCs w:val="32"/>
        </w:rPr>
      </w:pPr>
      <w:bookmarkStart w:id="56" w:name="_Toc29876"/>
      <w:r>
        <w:rPr>
          <w:rFonts w:hint="eastAsia"/>
          <w:b/>
          <w:color w:val="auto"/>
          <w:sz w:val="32"/>
          <w:szCs w:val="32"/>
        </w:rPr>
        <w:t>三、区域环境质量现状、环境保护目标及评价标准</w:t>
      </w:r>
      <w:bookmarkEnd w:id="56"/>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9286"/>
      </w:tblGrid>
      <w:tr w14:paraId="27BF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1" w:hRule="atLeast"/>
        </w:trPr>
        <w:tc>
          <w:tcPr>
            <w:tcW w:w="298" w:type="pct"/>
            <w:vAlign w:val="center"/>
          </w:tcPr>
          <w:p w14:paraId="15E0DA77">
            <w:pPr>
              <w:jc w:val="center"/>
              <w:rPr>
                <w:bCs/>
                <w:color w:val="auto"/>
                <w:szCs w:val="24"/>
              </w:rPr>
            </w:pPr>
            <w:r>
              <w:rPr>
                <w:rFonts w:hint="eastAsia"/>
                <w:bCs/>
                <w:color w:val="auto"/>
                <w:szCs w:val="24"/>
              </w:rPr>
              <w:t>区域环境质量现状</w:t>
            </w:r>
          </w:p>
        </w:tc>
        <w:tc>
          <w:tcPr>
            <w:tcW w:w="4702" w:type="pct"/>
          </w:tcPr>
          <w:p w14:paraId="1AF152C9">
            <w:pPr>
              <w:rPr>
                <w:b/>
                <w:color w:val="auto"/>
                <w:szCs w:val="24"/>
              </w:rPr>
            </w:pPr>
            <w:r>
              <w:rPr>
                <w:rFonts w:hint="eastAsia"/>
                <w:b/>
                <w:color w:val="auto"/>
                <w:szCs w:val="24"/>
              </w:rPr>
              <w:t>1、</w:t>
            </w:r>
            <w:r>
              <w:rPr>
                <w:b/>
                <w:color w:val="auto"/>
                <w:szCs w:val="24"/>
              </w:rPr>
              <w:t>大气环境质量现状</w:t>
            </w:r>
          </w:p>
          <w:p w14:paraId="149808EF">
            <w:pPr>
              <w:ind w:firstLine="480" w:firstLineChars="200"/>
              <w:rPr>
                <w:color w:val="auto"/>
              </w:rPr>
            </w:pPr>
            <w:bookmarkStart w:id="57" w:name="_Hlk22078023"/>
            <w:r>
              <w:rPr>
                <w:rFonts w:hint="eastAsia"/>
                <w:color w:val="auto"/>
              </w:rPr>
              <w:t>（1）环境空气达标区判定</w:t>
            </w:r>
          </w:p>
          <w:p w14:paraId="128209A2">
            <w:pPr>
              <w:ind w:firstLine="480" w:firstLineChars="200"/>
              <w:rPr>
                <w:color w:val="auto"/>
              </w:rPr>
            </w:pPr>
            <w:r>
              <w:rPr>
                <w:rFonts w:hint="eastAsia"/>
                <w:color w:val="auto"/>
              </w:rPr>
              <w:t>根据《建设项目环境影响报告表编制技术指南（污染影响类）（试行）》，环境空气质量现状常规污染物引用与建设项目距离近的有效数据，包括近</w:t>
            </w:r>
            <w:r>
              <w:rPr>
                <w:color w:val="auto"/>
              </w:rPr>
              <w:t>3年的规划环境影响评价的监测数据，国家、地方环境空气</w:t>
            </w:r>
            <w:r>
              <w:rPr>
                <w:rFonts w:hint="eastAsia"/>
                <w:color w:val="auto"/>
              </w:rPr>
              <w:t>质量监测网数据或生态环境主管部门公开发布的质量数据等。</w:t>
            </w:r>
          </w:p>
          <w:p w14:paraId="4D015302">
            <w:pPr>
              <w:ind w:firstLine="480" w:firstLineChars="200"/>
              <w:rPr>
                <w:color w:val="auto"/>
              </w:rPr>
            </w:pPr>
            <w:bookmarkStart w:id="58" w:name="_Hlk5023870"/>
            <w:r>
              <w:rPr>
                <w:rFonts w:hint="default" w:ascii="Times New Roman" w:hAnsi="Times New Roman" w:cs="Times New Roman"/>
                <w:color w:val="auto"/>
                <w:lang w:val="en-US" w:eastAsia="zh-CN"/>
              </w:rPr>
              <w:t>根据</w:t>
            </w:r>
            <w:r>
              <w:rPr>
                <w:rFonts w:hint="default" w:ascii="Times New Roman" w:hAnsi="Times New Roman" w:cs="Times New Roman"/>
                <w:color w:val="auto"/>
              </w:rPr>
              <w:t>《202</w:t>
            </w:r>
            <w:r>
              <w:rPr>
                <w:rFonts w:hint="eastAsia" w:cs="Times New Roman"/>
                <w:color w:val="auto"/>
                <w:lang w:val="en-US" w:eastAsia="zh-CN"/>
              </w:rPr>
              <w:t>4</w:t>
            </w:r>
            <w:r>
              <w:rPr>
                <w:rFonts w:hint="default" w:ascii="Times New Roman" w:hAnsi="Times New Roman" w:cs="Times New Roman"/>
                <w:color w:val="auto"/>
              </w:rPr>
              <w:t>年池州市生态环境状况公报》</w:t>
            </w:r>
            <w:bookmarkEnd w:id="58"/>
            <w:r>
              <w:rPr>
                <w:rFonts w:hint="default" w:ascii="Times New Roman" w:hAnsi="Times New Roman" w:cs="Times New Roman"/>
                <w:color w:val="auto"/>
                <w:lang w:eastAsia="zh-CN"/>
              </w:rPr>
              <w:t>，2024年，池州市全年城区空气质量达到优、良的天数共319天，优良率87.2%，城区环境空气质量达到二级标准。城区环境空气质量达到二级标准。环境空气中二氧化硫（SO</w:t>
            </w:r>
            <w:r>
              <w:rPr>
                <w:rFonts w:hint="default" w:ascii="Times New Roman" w:hAnsi="Times New Roman" w:cs="Times New Roman"/>
                <w:color w:val="auto"/>
                <w:vertAlign w:val="subscript"/>
                <w:lang w:eastAsia="zh-CN"/>
              </w:rPr>
              <w:t>2</w:t>
            </w:r>
            <w:r>
              <w:rPr>
                <w:rFonts w:hint="default" w:ascii="Times New Roman" w:hAnsi="Times New Roman" w:cs="Times New Roman"/>
                <w:color w:val="auto"/>
                <w:lang w:eastAsia="zh-CN"/>
              </w:rPr>
              <w:t>）、二氧化氮（NO</w:t>
            </w:r>
            <w:r>
              <w:rPr>
                <w:rFonts w:hint="default" w:ascii="Times New Roman" w:hAnsi="Times New Roman" w:cs="Times New Roman"/>
                <w:color w:val="auto"/>
                <w:vertAlign w:val="subscript"/>
                <w:lang w:eastAsia="zh-CN"/>
              </w:rPr>
              <w:t>2</w:t>
            </w:r>
            <w:r>
              <w:rPr>
                <w:rFonts w:hint="default" w:ascii="Times New Roman" w:hAnsi="Times New Roman" w:cs="Times New Roman"/>
                <w:color w:val="auto"/>
                <w:lang w:eastAsia="zh-CN"/>
              </w:rPr>
              <w:t>）、可吸入颗粒物（PM</w:t>
            </w:r>
            <w:r>
              <w:rPr>
                <w:rFonts w:hint="default" w:ascii="Times New Roman" w:hAnsi="Times New Roman" w:cs="Times New Roman"/>
                <w:color w:val="auto"/>
                <w:vertAlign w:val="subscript"/>
                <w:lang w:eastAsia="zh-CN"/>
              </w:rPr>
              <w:t>10</w:t>
            </w:r>
            <w:r>
              <w:rPr>
                <w:rFonts w:hint="default" w:ascii="Times New Roman" w:hAnsi="Times New Roman" w:cs="Times New Roman"/>
                <w:color w:val="auto"/>
                <w:lang w:eastAsia="zh-CN"/>
              </w:rPr>
              <w:t>）、细颗粒物（PM</w:t>
            </w:r>
            <w:r>
              <w:rPr>
                <w:rFonts w:hint="default" w:ascii="Times New Roman" w:hAnsi="Times New Roman" w:cs="Times New Roman"/>
                <w:color w:val="auto"/>
                <w:vertAlign w:val="subscript"/>
                <w:lang w:eastAsia="zh-CN"/>
              </w:rPr>
              <w:t>2.5</w:t>
            </w:r>
            <w:r>
              <w:rPr>
                <w:rFonts w:hint="default" w:ascii="Times New Roman" w:hAnsi="Times New Roman" w:cs="Times New Roman"/>
                <w:color w:val="auto"/>
                <w:lang w:eastAsia="zh-CN"/>
              </w:rPr>
              <w:t>）年均浓度分别为6、20、51、32微克/立方米，臭氧（O</w:t>
            </w:r>
            <w:r>
              <w:rPr>
                <w:rFonts w:hint="default" w:ascii="Times New Roman" w:hAnsi="Times New Roman" w:cs="Times New Roman"/>
                <w:color w:val="auto"/>
                <w:vertAlign w:val="subscript"/>
                <w:lang w:eastAsia="zh-CN"/>
              </w:rPr>
              <w:t>3</w:t>
            </w:r>
            <w:r>
              <w:rPr>
                <w:rFonts w:hint="default" w:ascii="Times New Roman" w:hAnsi="Times New Roman" w:cs="Times New Roman"/>
                <w:color w:val="auto"/>
                <w:lang w:eastAsia="zh-CN"/>
              </w:rPr>
              <w:t>）日最大八小时滑动平均第90百分位数浓度为156微克/立方米，一氧化碳（CO）日均值第95百分位浓度为1.0毫克/立方米，与202</w:t>
            </w:r>
            <w:r>
              <w:rPr>
                <w:rFonts w:hint="eastAsia" w:cs="Times New Roman"/>
                <w:color w:val="auto"/>
                <w:lang w:val="en-US" w:eastAsia="zh-CN"/>
              </w:rPr>
              <w:t>3</w:t>
            </w:r>
            <w:r>
              <w:rPr>
                <w:rFonts w:hint="default" w:ascii="Times New Roman" w:hAnsi="Times New Roman" w:cs="Times New Roman"/>
                <w:color w:val="auto"/>
                <w:lang w:eastAsia="zh-CN"/>
              </w:rPr>
              <w:t>年相比SO</w:t>
            </w:r>
            <w:r>
              <w:rPr>
                <w:rFonts w:hint="default" w:ascii="Times New Roman" w:hAnsi="Times New Roman" w:cs="Times New Roman"/>
                <w:color w:val="auto"/>
                <w:vertAlign w:val="subscript"/>
                <w:lang w:eastAsia="zh-CN"/>
              </w:rPr>
              <w:t>2</w:t>
            </w:r>
            <w:r>
              <w:rPr>
                <w:rFonts w:hint="default" w:ascii="Times New Roman" w:hAnsi="Times New Roman" w:cs="Times New Roman"/>
                <w:color w:val="auto"/>
                <w:lang w:eastAsia="zh-CN"/>
              </w:rPr>
              <w:t>、NO</w:t>
            </w:r>
            <w:r>
              <w:rPr>
                <w:rFonts w:hint="default" w:ascii="Times New Roman" w:hAnsi="Times New Roman" w:cs="Times New Roman"/>
                <w:color w:val="auto"/>
                <w:vertAlign w:val="subscript"/>
                <w:lang w:eastAsia="zh-CN"/>
              </w:rPr>
              <w:t>2</w:t>
            </w:r>
            <w:r>
              <w:rPr>
                <w:rFonts w:hint="default" w:ascii="Times New Roman" w:hAnsi="Times New Roman" w:cs="Times New Roman"/>
                <w:color w:val="auto"/>
                <w:lang w:eastAsia="zh-CN"/>
              </w:rPr>
              <w:t>、PM</w:t>
            </w:r>
            <w:r>
              <w:rPr>
                <w:rFonts w:hint="default" w:ascii="Times New Roman" w:hAnsi="Times New Roman" w:cs="Times New Roman"/>
                <w:color w:val="auto"/>
                <w:vertAlign w:val="subscript"/>
                <w:lang w:eastAsia="zh-CN"/>
              </w:rPr>
              <w:t>2.5</w:t>
            </w:r>
            <w:r>
              <w:rPr>
                <w:rFonts w:hint="default" w:ascii="Times New Roman" w:hAnsi="Times New Roman" w:cs="Times New Roman"/>
                <w:color w:val="auto"/>
                <w:lang w:eastAsia="zh-CN"/>
              </w:rPr>
              <w:t>年均浓度分别下降了14.3%、9.1%、3.0%，臭氧（O</w:t>
            </w:r>
            <w:r>
              <w:rPr>
                <w:rFonts w:hint="default" w:ascii="Times New Roman" w:hAnsi="Times New Roman" w:cs="Times New Roman"/>
                <w:color w:val="auto"/>
                <w:vertAlign w:val="subscript"/>
                <w:lang w:eastAsia="zh-CN"/>
              </w:rPr>
              <w:t>3</w:t>
            </w:r>
            <w:r>
              <w:rPr>
                <w:rFonts w:hint="default" w:ascii="Times New Roman" w:hAnsi="Times New Roman" w:cs="Times New Roman"/>
                <w:color w:val="auto"/>
                <w:lang w:eastAsia="zh-CN"/>
              </w:rPr>
              <w:t>）日最大八小时滑动平均第90百分位数浓度下降了3.1%，PM10年均浓度、一氧化碳（CO）日均值第95百分位数浓度均与去年持平。城区大气降水pH值年均值为6.31，全年未出现酸雨。城区空气降尘量为2.1吨/平方千米•月。</w:t>
            </w:r>
            <w:r>
              <w:rPr>
                <w:rFonts w:hint="default" w:ascii="Times New Roman" w:hAnsi="Times New Roman" w:cs="Times New Roman"/>
                <w:color w:val="auto"/>
              </w:rPr>
              <w:t>项目所在区域空气质量现状评价结果见</w:t>
            </w:r>
            <w:r>
              <w:rPr>
                <w:rFonts w:hint="default" w:ascii="Times New Roman" w:hAnsi="Times New Roman" w:cs="Times New Roman"/>
                <w:color w:val="auto"/>
                <w:lang w:val="en-US" w:eastAsia="zh-CN"/>
              </w:rPr>
              <w:t>下</w:t>
            </w:r>
            <w:r>
              <w:rPr>
                <w:rFonts w:hint="default" w:ascii="Times New Roman" w:hAnsi="Times New Roman" w:cs="Times New Roman"/>
                <w:color w:val="auto"/>
              </w:rPr>
              <w:t>表</w:t>
            </w:r>
            <w:r>
              <w:rPr>
                <w:rFonts w:hint="eastAsia"/>
                <w:color w:val="auto"/>
              </w:rPr>
              <w:t>。</w:t>
            </w:r>
          </w:p>
          <w:p w14:paraId="73F3574B">
            <w:pPr>
              <w:pStyle w:val="902"/>
              <w:rPr>
                <w:color w:val="auto"/>
              </w:rPr>
            </w:pPr>
            <w:r>
              <w:rPr>
                <w:rFonts w:hint="eastAsia"/>
                <w:color w:val="auto"/>
              </w:rPr>
              <w:t>表3</w:t>
            </w:r>
            <w:r>
              <w:rPr>
                <w:color w:val="auto"/>
              </w:rPr>
              <w:t xml:space="preserve">-1  </w:t>
            </w:r>
            <w:r>
              <w:rPr>
                <w:rFonts w:hint="eastAsia"/>
                <w:color w:val="auto"/>
              </w:rPr>
              <w:t>区</w:t>
            </w:r>
            <w:r>
              <w:rPr>
                <w:color w:val="auto"/>
              </w:rPr>
              <w:t>域环境空气</w:t>
            </w:r>
            <w:r>
              <w:rPr>
                <w:rFonts w:hint="eastAsia"/>
                <w:color w:val="auto"/>
              </w:rPr>
              <w:t>质量</w:t>
            </w:r>
            <w:r>
              <w:rPr>
                <w:color w:val="auto"/>
              </w:rPr>
              <w:t>达标判断结果一览表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2703"/>
              <w:gridCol w:w="1356"/>
              <w:gridCol w:w="1358"/>
              <w:gridCol w:w="1358"/>
              <w:gridCol w:w="1361"/>
            </w:tblGrid>
            <w:tr w14:paraId="2526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3E7478D9">
                  <w:pPr>
                    <w:pStyle w:val="906"/>
                    <w:spacing w:line="240" w:lineRule="auto"/>
                    <w:rPr>
                      <w:color w:val="auto"/>
                    </w:rPr>
                  </w:pPr>
                  <w:r>
                    <w:rPr>
                      <w:rFonts w:hint="eastAsia"/>
                      <w:color w:val="auto"/>
                    </w:rPr>
                    <w:t>污染物</w:t>
                  </w:r>
                </w:p>
              </w:tc>
              <w:tc>
                <w:tcPr>
                  <w:tcW w:w="1491" w:type="pct"/>
                  <w:vAlign w:val="center"/>
                </w:tcPr>
                <w:p w14:paraId="065E2D13">
                  <w:pPr>
                    <w:pStyle w:val="906"/>
                    <w:spacing w:line="240" w:lineRule="auto"/>
                    <w:rPr>
                      <w:color w:val="auto"/>
                    </w:rPr>
                  </w:pPr>
                  <w:r>
                    <w:rPr>
                      <w:rFonts w:hint="eastAsia"/>
                      <w:color w:val="auto"/>
                    </w:rPr>
                    <w:t>评价指标</w:t>
                  </w:r>
                </w:p>
              </w:tc>
              <w:tc>
                <w:tcPr>
                  <w:tcW w:w="748" w:type="pct"/>
                  <w:vAlign w:val="center"/>
                </w:tcPr>
                <w:p w14:paraId="3795CE21">
                  <w:pPr>
                    <w:pStyle w:val="906"/>
                    <w:spacing w:line="240" w:lineRule="auto"/>
                    <w:rPr>
                      <w:color w:val="auto"/>
                    </w:rPr>
                  </w:pPr>
                  <w:r>
                    <w:rPr>
                      <w:rFonts w:hint="eastAsia"/>
                      <w:color w:val="auto"/>
                    </w:rPr>
                    <w:t>现状浓度</w:t>
                  </w:r>
                </w:p>
                <w:p w14:paraId="3F4C8DFE">
                  <w:pPr>
                    <w:pStyle w:val="906"/>
                    <w:spacing w:line="240" w:lineRule="auto"/>
                    <w:rPr>
                      <w:color w:val="auto"/>
                    </w:rPr>
                  </w:pPr>
                  <w:r>
                    <w:rPr>
                      <w:color w:val="auto"/>
                    </w:rPr>
                    <w:t>μ</w:t>
                  </w:r>
                  <w:r>
                    <w:rPr>
                      <w:rFonts w:hint="eastAsia"/>
                      <w:color w:val="auto"/>
                    </w:rPr>
                    <w:t>g</w:t>
                  </w:r>
                  <w:r>
                    <w:rPr>
                      <w:color w:val="auto"/>
                    </w:rPr>
                    <w:t>/m</w:t>
                  </w:r>
                  <w:r>
                    <w:rPr>
                      <w:color w:val="auto"/>
                      <w:vertAlign w:val="superscript"/>
                    </w:rPr>
                    <w:t>3</w:t>
                  </w:r>
                </w:p>
              </w:tc>
              <w:tc>
                <w:tcPr>
                  <w:tcW w:w="749" w:type="pct"/>
                  <w:vAlign w:val="center"/>
                </w:tcPr>
                <w:p w14:paraId="43AFFD31">
                  <w:pPr>
                    <w:pStyle w:val="906"/>
                    <w:spacing w:line="240" w:lineRule="auto"/>
                    <w:rPr>
                      <w:color w:val="auto"/>
                    </w:rPr>
                  </w:pPr>
                  <w:r>
                    <w:rPr>
                      <w:rFonts w:hint="eastAsia"/>
                      <w:color w:val="auto"/>
                    </w:rPr>
                    <w:t>标准值</w:t>
                  </w:r>
                </w:p>
                <w:p w14:paraId="0133BCDF">
                  <w:pPr>
                    <w:pStyle w:val="906"/>
                    <w:spacing w:line="240" w:lineRule="auto"/>
                    <w:rPr>
                      <w:color w:val="auto"/>
                    </w:rPr>
                  </w:pPr>
                  <w:r>
                    <w:rPr>
                      <w:color w:val="auto"/>
                    </w:rPr>
                    <w:t>μ</w:t>
                  </w:r>
                  <w:r>
                    <w:rPr>
                      <w:rFonts w:hint="eastAsia"/>
                      <w:color w:val="auto"/>
                    </w:rPr>
                    <w:t>g</w:t>
                  </w:r>
                  <w:r>
                    <w:rPr>
                      <w:color w:val="auto"/>
                    </w:rPr>
                    <w:t>/m</w:t>
                  </w:r>
                  <w:r>
                    <w:rPr>
                      <w:color w:val="auto"/>
                      <w:vertAlign w:val="superscript"/>
                    </w:rPr>
                    <w:t>3</w:t>
                  </w:r>
                </w:p>
              </w:tc>
              <w:tc>
                <w:tcPr>
                  <w:tcW w:w="749" w:type="pct"/>
                  <w:vAlign w:val="center"/>
                </w:tcPr>
                <w:p w14:paraId="558544A1">
                  <w:pPr>
                    <w:pStyle w:val="906"/>
                    <w:spacing w:line="240" w:lineRule="auto"/>
                    <w:rPr>
                      <w:color w:val="auto"/>
                    </w:rPr>
                  </w:pPr>
                  <w:r>
                    <w:rPr>
                      <w:rFonts w:hint="eastAsia"/>
                      <w:color w:val="auto"/>
                    </w:rPr>
                    <w:t>占标率</w:t>
                  </w:r>
                </w:p>
                <w:p w14:paraId="085C1A6E">
                  <w:pPr>
                    <w:pStyle w:val="906"/>
                    <w:spacing w:line="240" w:lineRule="auto"/>
                    <w:rPr>
                      <w:color w:val="auto"/>
                    </w:rPr>
                  </w:pPr>
                  <w:r>
                    <w:rPr>
                      <w:rFonts w:hint="eastAsia"/>
                      <w:color w:val="auto"/>
                    </w:rPr>
                    <w:t>%</w:t>
                  </w:r>
                </w:p>
              </w:tc>
              <w:tc>
                <w:tcPr>
                  <w:tcW w:w="751" w:type="pct"/>
                  <w:vAlign w:val="center"/>
                </w:tcPr>
                <w:p w14:paraId="6B3262C5">
                  <w:pPr>
                    <w:pStyle w:val="906"/>
                    <w:spacing w:line="240" w:lineRule="auto"/>
                    <w:rPr>
                      <w:color w:val="auto"/>
                    </w:rPr>
                  </w:pPr>
                  <w:r>
                    <w:rPr>
                      <w:rFonts w:hint="eastAsia"/>
                      <w:color w:val="auto"/>
                    </w:rPr>
                    <w:t>达标情况</w:t>
                  </w:r>
                </w:p>
              </w:tc>
            </w:tr>
            <w:tr w14:paraId="2F7B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114502E8">
                  <w:pPr>
                    <w:pStyle w:val="906"/>
                    <w:spacing w:line="240" w:lineRule="auto"/>
                    <w:rPr>
                      <w:color w:val="auto"/>
                    </w:rPr>
                  </w:pPr>
                  <w:r>
                    <w:rPr>
                      <w:rFonts w:hint="eastAsia"/>
                      <w:color w:val="auto"/>
                    </w:rPr>
                    <w:t>S</w:t>
                  </w:r>
                  <w:r>
                    <w:rPr>
                      <w:color w:val="auto"/>
                    </w:rPr>
                    <w:t>O</w:t>
                  </w:r>
                  <w:r>
                    <w:rPr>
                      <w:color w:val="auto"/>
                      <w:vertAlign w:val="subscript"/>
                    </w:rPr>
                    <w:t>2</w:t>
                  </w:r>
                </w:p>
              </w:tc>
              <w:tc>
                <w:tcPr>
                  <w:tcW w:w="1491" w:type="pct"/>
                  <w:vAlign w:val="center"/>
                </w:tcPr>
                <w:p w14:paraId="7CEB5CA8">
                  <w:pPr>
                    <w:pStyle w:val="906"/>
                    <w:spacing w:line="240" w:lineRule="auto"/>
                    <w:rPr>
                      <w:color w:val="auto"/>
                    </w:rPr>
                  </w:pPr>
                  <w:r>
                    <w:rPr>
                      <w:rFonts w:hint="eastAsia"/>
                      <w:color w:val="auto"/>
                    </w:rPr>
                    <w:t>年平均质量浓度</w:t>
                  </w:r>
                </w:p>
              </w:tc>
              <w:tc>
                <w:tcPr>
                  <w:tcW w:w="748" w:type="pct"/>
                  <w:vAlign w:val="center"/>
                </w:tcPr>
                <w:p w14:paraId="11F0BA9F">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6</w:t>
                  </w:r>
                  <w:r>
                    <w:rPr>
                      <w:rFonts w:hint="default" w:ascii="Times New Roman" w:hAnsi="Times New Roman" w:eastAsia="宋体" w:cs="Times New Roman"/>
                      <w:color w:val="auto"/>
                    </w:rPr>
                    <w:t>μg/m</w:t>
                  </w:r>
                  <w:r>
                    <w:rPr>
                      <w:rFonts w:hint="default" w:ascii="Times New Roman" w:hAnsi="Times New Roman" w:eastAsia="宋体" w:cs="Times New Roman"/>
                      <w:color w:val="auto"/>
                      <w:vertAlign w:val="superscript"/>
                    </w:rPr>
                    <w:t>3</w:t>
                  </w:r>
                </w:p>
              </w:tc>
              <w:tc>
                <w:tcPr>
                  <w:tcW w:w="749" w:type="pct"/>
                  <w:vAlign w:val="center"/>
                </w:tcPr>
                <w:p w14:paraId="031C4DA4">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60μg/m</w:t>
                  </w:r>
                  <w:r>
                    <w:rPr>
                      <w:rFonts w:hint="default" w:ascii="Times New Roman" w:hAnsi="Times New Roman" w:eastAsia="宋体" w:cs="Times New Roman"/>
                      <w:color w:val="auto"/>
                      <w:vertAlign w:val="superscript"/>
                    </w:rPr>
                    <w:t>3</w:t>
                  </w:r>
                </w:p>
              </w:tc>
              <w:tc>
                <w:tcPr>
                  <w:tcW w:w="749" w:type="pct"/>
                  <w:vAlign w:val="center"/>
                </w:tcPr>
                <w:p w14:paraId="2C7A4E60">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10</w:t>
                  </w:r>
                </w:p>
              </w:tc>
              <w:tc>
                <w:tcPr>
                  <w:tcW w:w="751" w:type="pct"/>
                  <w:vAlign w:val="center"/>
                </w:tcPr>
                <w:p w14:paraId="2C0C7C14">
                  <w:pPr>
                    <w:pStyle w:val="906"/>
                    <w:spacing w:line="240" w:lineRule="auto"/>
                    <w:rPr>
                      <w:rFonts w:hint="eastAsia" w:ascii="Times New Roman" w:hAnsi="Times New Roman" w:eastAsia="宋体" w:cs="Times New Roman"/>
                      <w:color w:val="auto"/>
                    </w:rPr>
                  </w:pPr>
                  <w:r>
                    <w:rPr>
                      <w:rFonts w:hint="eastAsia" w:ascii="Times New Roman" w:hAnsi="Times New Roman" w:eastAsia="宋体" w:cs="Times New Roman"/>
                      <w:color w:val="auto"/>
                    </w:rPr>
                    <w:t>达标</w:t>
                  </w:r>
                </w:p>
              </w:tc>
            </w:tr>
            <w:tr w14:paraId="4E78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09D6EA84">
                  <w:pPr>
                    <w:pStyle w:val="906"/>
                    <w:spacing w:line="240" w:lineRule="auto"/>
                    <w:rPr>
                      <w:color w:val="auto"/>
                    </w:rPr>
                  </w:pPr>
                  <w:r>
                    <w:rPr>
                      <w:rFonts w:hint="eastAsia"/>
                      <w:color w:val="auto"/>
                    </w:rPr>
                    <w:t>N</w:t>
                  </w:r>
                  <w:r>
                    <w:rPr>
                      <w:color w:val="auto"/>
                    </w:rPr>
                    <w:t>O</w:t>
                  </w:r>
                  <w:r>
                    <w:rPr>
                      <w:color w:val="auto"/>
                      <w:vertAlign w:val="subscript"/>
                    </w:rPr>
                    <w:t>2</w:t>
                  </w:r>
                </w:p>
              </w:tc>
              <w:tc>
                <w:tcPr>
                  <w:tcW w:w="1491" w:type="pct"/>
                  <w:vAlign w:val="center"/>
                </w:tcPr>
                <w:p w14:paraId="79C396DC">
                  <w:pPr>
                    <w:pStyle w:val="906"/>
                    <w:spacing w:line="240" w:lineRule="auto"/>
                    <w:rPr>
                      <w:color w:val="auto"/>
                    </w:rPr>
                  </w:pPr>
                  <w:r>
                    <w:rPr>
                      <w:rFonts w:hint="eastAsia"/>
                      <w:color w:val="auto"/>
                    </w:rPr>
                    <w:t>年平均质量浓度</w:t>
                  </w:r>
                </w:p>
              </w:tc>
              <w:tc>
                <w:tcPr>
                  <w:tcW w:w="748" w:type="pct"/>
                  <w:vAlign w:val="center"/>
                </w:tcPr>
                <w:p w14:paraId="313BB106">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2</w:t>
                  </w:r>
                  <w:r>
                    <w:rPr>
                      <w:rFonts w:hint="default" w:ascii="Times New Roman" w:hAnsi="Times New Roman" w:eastAsia="宋体" w:cs="Times New Roman"/>
                      <w:color w:val="auto"/>
                      <w:lang w:val="en-US" w:eastAsia="zh-CN"/>
                    </w:rPr>
                    <w:t>0</w:t>
                  </w:r>
                  <w:r>
                    <w:rPr>
                      <w:rFonts w:hint="default" w:ascii="Times New Roman" w:hAnsi="Times New Roman" w:eastAsia="宋体" w:cs="Times New Roman"/>
                      <w:color w:val="auto"/>
                    </w:rPr>
                    <w:t>μg/m</w:t>
                  </w:r>
                  <w:r>
                    <w:rPr>
                      <w:rFonts w:hint="default" w:ascii="Times New Roman" w:hAnsi="Times New Roman" w:eastAsia="宋体" w:cs="Times New Roman"/>
                      <w:color w:val="auto"/>
                      <w:vertAlign w:val="superscript"/>
                    </w:rPr>
                    <w:t>3</w:t>
                  </w:r>
                </w:p>
              </w:tc>
              <w:tc>
                <w:tcPr>
                  <w:tcW w:w="749" w:type="pct"/>
                  <w:vAlign w:val="center"/>
                </w:tcPr>
                <w:p w14:paraId="4E94A3BC">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40μg/m</w:t>
                  </w:r>
                  <w:r>
                    <w:rPr>
                      <w:rFonts w:hint="default" w:ascii="Times New Roman" w:hAnsi="Times New Roman" w:eastAsia="宋体" w:cs="Times New Roman"/>
                      <w:color w:val="auto"/>
                      <w:vertAlign w:val="superscript"/>
                    </w:rPr>
                    <w:t>3</w:t>
                  </w:r>
                </w:p>
              </w:tc>
              <w:tc>
                <w:tcPr>
                  <w:tcW w:w="749" w:type="pct"/>
                  <w:vAlign w:val="center"/>
                </w:tcPr>
                <w:p w14:paraId="1A04DB36">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55</w:t>
                  </w:r>
                </w:p>
              </w:tc>
              <w:tc>
                <w:tcPr>
                  <w:tcW w:w="751" w:type="pct"/>
                  <w:vAlign w:val="center"/>
                </w:tcPr>
                <w:p w14:paraId="008F6C4E">
                  <w:pPr>
                    <w:pStyle w:val="906"/>
                    <w:spacing w:line="240" w:lineRule="auto"/>
                    <w:rPr>
                      <w:rFonts w:hint="eastAsia" w:ascii="Times New Roman" w:hAnsi="Times New Roman" w:eastAsia="宋体" w:cs="Times New Roman"/>
                      <w:color w:val="auto"/>
                    </w:rPr>
                  </w:pPr>
                  <w:r>
                    <w:rPr>
                      <w:rFonts w:hint="eastAsia" w:ascii="Times New Roman" w:hAnsi="Times New Roman" w:eastAsia="宋体" w:cs="Times New Roman"/>
                      <w:color w:val="auto"/>
                    </w:rPr>
                    <w:t>达标</w:t>
                  </w:r>
                </w:p>
              </w:tc>
            </w:tr>
            <w:tr w14:paraId="17F27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43C89517">
                  <w:pPr>
                    <w:pStyle w:val="906"/>
                    <w:spacing w:line="240" w:lineRule="auto"/>
                    <w:rPr>
                      <w:color w:val="auto"/>
                    </w:rPr>
                  </w:pPr>
                  <w:r>
                    <w:rPr>
                      <w:rFonts w:hint="eastAsia"/>
                      <w:color w:val="auto"/>
                    </w:rPr>
                    <w:t>P</w:t>
                  </w:r>
                  <w:r>
                    <w:rPr>
                      <w:color w:val="auto"/>
                    </w:rPr>
                    <w:t>M</w:t>
                  </w:r>
                  <w:r>
                    <w:rPr>
                      <w:color w:val="auto"/>
                      <w:vertAlign w:val="subscript"/>
                    </w:rPr>
                    <w:t>10</w:t>
                  </w:r>
                </w:p>
              </w:tc>
              <w:tc>
                <w:tcPr>
                  <w:tcW w:w="1491" w:type="pct"/>
                  <w:vAlign w:val="center"/>
                </w:tcPr>
                <w:p w14:paraId="65BF3919">
                  <w:pPr>
                    <w:pStyle w:val="906"/>
                    <w:spacing w:line="240" w:lineRule="auto"/>
                    <w:rPr>
                      <w:color w:val="auto"/>
                    </w:rPr>
                  </w:pPr>
                  <w:r>
                    <w:rPr>
                      <w:rFonts w:hint="eastAsia"/>
                      <w:color w:val="auto"/>
                    </w:rPr>
                    <w:t>年平均质量浓度</w:t>
                  </w:r>
                </w:p>
              </w:tc>
              <w:tc>
                <w:tcPr>
                  <w:tcW w:w="748" w:type="pct"/>
                  <w:vAlign w:val="center"/>
                </w:tcPr>
                <w:p w14:paraId="475591FC">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5</w:t>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rPr>
                    <w:t>μg/m</w:t>
                  </w:r>
                  <w:r>
                    <w:rPr>
                      <w:rFonts w:hint="default" w:ascii="Times New Roman" w:hAnsi="Times New Roman" w:eastAsia="宋体" w:cs="Times New Roman"/>
                      <w:color w:val="auto"/>
                      <w:vertAlign w:val="superscript"/>
                    </w:rPr>
                    <w:t>3</w:t>
                  </w:r>
                </w:p>
              </w:tc>
              <w:tc>
                <w:tcPr>
                  <w:tcW w:w="749" w:type="pct"/>
                  <w:vAlign w:val="center"/>
                </w:tcPr>
                <w:p w14:paraId="09C25838">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70μg/m</w:t>
                  </w:r>
                  <w:r>
                    <w:rPr>
                      <w:rFonts w:hint="default" w:ascii="Times New Roman" w:hAnsi="Times New Roman" w:eastAsia="宋体" w:cs="Times New Roman"/>
                      <w:color w:val="auto"/>
                      <w:vertAlign w:val="superscript"/>
                    </w:rPr>
                    <w:t>3</w:t>
                  </w:r>
                </w:p>
              </w:tc>
              <w:tc>
                <w:tcPr>
                  <w:tcW w:w="749" w:type="pct"/>
                  <w:vAlign w:val="center"/>
                </w:tcPr>
                <w:p w14:paraId="137630BA">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72.8</w:t>
                  </w:r>
                </w:p>
              </w:tc>
              <w:tc>
                <w:tcPr>
                  <w:tcW w:w="751" w:type="pct"/>
                  <w:vAlign w:val="center"/>
                </w:tcPr>
                <w:p w14:paraId="53EB89AC">
                  <w:pPr>
                    <w:pStyle w:val="906"/>
                    <w:spacing w:line="240" w:lineRule="auto"/>
                    <w:rPr>
                      <w:rFonts w:hint="eastAsia" w:ascii="Times New Roman" w:hAnsi="Times New Roman" w:eastAsia="宋体" w:cs="Times New Roman"/>
                      <w:color w:val="auto"/>
                    </w:rPr>
                  </w:pPr>
                  <w:r>
                    <w:rPr>
                      <w:rFonts w:hint="eastAsia" w:ascii="Times New Roman" w:hAnsi="Times New Roman" w:eastAsia="宋体" w:cs="Times New Roman"/>
                      <w:color w:val="auto"/>
                    </w:rPr>
                    <w:t>达标</w:t>
                  </w:r>
                </w:p>
              </w:tc>
            </w:tr>
            <w:tr w14:paraId="0D98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03CF5F38">
                  <w:pPr>
                    <w:pStyle w:val="906"/>
                    <w:spacing w:line="240" w:lineRule="auto"/>
                    <w:rPr>
                      <w:color w:val="auto"/>
                    </w:rPr>
                  </w:pPr>
                  <w:r>
                    <w:rPr>
                      <w:rFonts w:hint="eastAsia"/>
                      <w:color w:val="auto"/>
                    </w:rPr>
                    <w:t>P</w:t>
                  </w:r>
                  <w:r>
                    <w:rPr>
                      <w:color w:val="auto"/>
                    </w:rPr>
                    <w:t>M</w:t>
                  </w:r>
                  <w:r>
                    <w:rPr>
                      <w:color w:val="auto"/>
                      <w:vertAlign w:val="subscript"/>
                    </w:rPr>
                    <w:t>2.5</w:t>
                  </w:r>
                </w:p>
              </w:tc>
              <w:tc>
                <w:tcPr>
                  <w:tcW w:w="1491" w:type="pct"/>
                  <w:vAlign w:val="center"/>
                </w:tcPr>
                <w:p w14:paraId="1EA6DEEA">
                  <w:pPr>
                    <w:pStyle w:val="906"/>
                    <w:spacing w:line="240" w:lineRule="auto"/>
                    <w:rPr>
                      <w:color w:val="auto"/>
                    </w:rPr>
                  </w:pPr>
                  <w:r>
                    <w:rPr>
                      <w:rFonts w:hint="eastAsia"/>
                      <w:color w:val="auto"/>
                    </w:rPr>
                    <w:t>年平均质量浓度</w:t>
                  </w:r>
                </w:p>
              </w:tc>
              <w:tc>
                <w:tcPr>
                  <w:tcW w:w="748" w:type="pct"/>
                  <w:vAlign w:val="center"/>
                </w:tcPr>
                <w:p w14:paraId="2F4D9B77">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32</w:t>
                  </w:r>
                  <w:r>
                    <w:rPr>
                      <w:rFonts w:hint="default" w:ascii="Times New Roman" w:hAnsi="Times New Roman" w:eastAsia="宋体" w:cs="Times New Roman"/>
                      <w:color w:val="auto"/>
                    </w:rPr>
                    <w:t>μg/m</w:t>
                  </w:r>
                  <w:r>
                    <w:rPr>
                      <w:rFonts w:hint="default" w:ascii="Times New Roman" w:hAnsi="Times New Roman" w:eastAsia="宋体" w:cs="Times New Roman"/>
                      <w:color w:val="auto"/>
                      <w:vertAlign w:val="superscript"/>
                    </w:rPr>
                    <w:t>3</w:t>
                  </w:r>
                </w:p>
              </w:tc>
              <w:tc>
                <w:tcPr>
                  <w:tcW w:w="749" w:type="pct"/>
                  <w:vAlign w:val="center"/>
                </w:tcPr>
                <w:p w14:paraId="308348B4">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35μg/m</w:t>
                  </w:r>
                  <w:r>
                    <w:rPr>
                      <w:rFonts w:hint="default" w:ascii="Times New Roman" w:hAnsi="Times New Roman" w:eastAsia="宋体" w:cs="Times New Roman"/>
                      <w:color w:val="auto"/>
                      <w:vertAlign w:val="superscript"/>
                    </w:rPr>
                    <w:t>3</w:t>
                  </w:r>
                </w:p>
              </w:tc>
              <w:tc>
                <w:tcPr>
                  <w:tcW w:w="749" w:type="pct"/>
                  <w:vAlign w:val="center"/>
                </w:tcPr>
                <w:p w14:paraId="0DFF228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91.4</w:t>
                  </w:r>
                </w:p>
              </w:tc>
              <w:tc>
                <w:tcPr>
                  <w:tcW w:w="751" w:type="pct"/>
                  <w:vAlign w:val="center"/>
                </w:tcPr>
                <w:p w14:paraId="32162650">
                  <w:pPr>
                    <w:pStyle w:val="906"/>
                    <w:spacing w:line="240" w:lineRule="auto"/>
                    <w:rPr>
                      <w:rFonts w:hint="eastAsia" w:ascii="Times New Roman" w:hAnsi="Times New Roman" w:eastAsia="宋体" w:cs="Times New Roman"/>
                      <w:color w:val="auto"/>
                    </w:rPr>
                  </w:pPr>
                  <w:r>
                    <w:rPr>
                      <w:rFonts w:hint="eastAsia" w:ascii="Times New Roman" w:hAnsi="Times New Roman" w:eastAsia="宋体" w:cs="Times New Roman"/>
                      <w:color w:val="auto"/>
                    </w:rPr>
                    <w:t>达标</w:t>
                  </w:r>
                </w:p>
              </w:tc>
            </w:tr>
            <w:tr w14:paraId="09E9A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2C923891">
                  <w:pPr>
                    <w:pStyle w:val="906"/>
                    <w:spacing w:line="240" w:lineRule="auto"/>
                    <w:rPr>
                      <w:color w:val="auto"/>
                    </w:rPr>
                  </w:pPr>
                  <w:r>
                    <w:rPr>
                      <w:rFonts w:hint="eastAsia"/>
                      <w:color w:val="auto"/>
                    </w:rPr>
                    <w:t>C</w:t>
                  </w:r>
                  <w:r>
                    <w:rPr>
                      <w:color w:val="auto"/>
                    </w:rPr>
                    <w:t>O</w:t>
                  </w:r>
                </w:p>
              </w:tc>
              <w:tc>
                <w:tcPr>
                  <w:tcW w:w="1491" w:type="pct"/>
                  <w:vAlign w:val="center"/>
                </w:tcPr>
                <w:p w14:paraId="254E73CA">
                  <w:pPr>
                    <w:pStyle w:val="906"/>
                    <w:spacing w:line="240" w:lineRule="auto"/>
                    <w:rPr>
                      <w:color w:val="auto"/>
                    </w:rPr>
                  </w:pPr>
                  <w:r>
                    <w:rPr>
                      <w:rFonts w:hint="eastAsia"/>
                      <w:color w:val="auto"/>
                    </w:rPr>
                    <w:t>日平均第</w:t>
                  </w:r>
                  <w:r>
                    <w:rPr>
                      <w:color w:val="auto"/>
                    </w:rPr>
                    <w:t>95百分位数</w:t>
                  </w:r>
                </w:p>
              </w:tc>
              <w:tc>
                <w:tcPr>
                  <w:tcW w:w="748" w:type="pct"/>
                  <w:vAlign w:val="center"/>
                </w:tcPr>
                <w:p w14:paraId="48D6CA39">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w:t>
                  </w:r>
                  <w:r>
                    <w:rPr>
                      <w:rFonts w:hint="default" w:ascii="Times New Roman" w:hAnsi="Times New Roman" w:eastAsia="宋体" w:cs="Times New Roman"/>
                      <w:color w:val="auto"/>
                      <w:lang w:val="en-US" w:eastAsia="zh-CN"/>
                    </w:rPr>
                    <w:t>0</w:t>
                  </w:r>
                  <w:r>
                    <w:rPr>
                      <w:rFonts w:hint="default" w:ascii="Times New Roman" w:hAnsi="Times New Roman" w:eastAsia="宋体" w:cs="Times New Roman"/>
                      <w:color w:val="auto"/>
                    </w:rPr>
                    <w:t>mg/m</w:t>
                  </w:r>
                  <w:r>
                    <w:rPr>
                      <w:rFonts w:hint="default" w:ascii="Times New Roman" w:hAnsi="Times New Roman" w:eastAsia="宋体" w:cs="Times New Roman"/>
                      <w:color w:val="auto"/>
                      <w:vertAlign w:val="superscript"/>
                    </w:rPr>
                    <w:t>3</w:t>
                  </w:r>
                </w:p>
              </w:tc>
              <w:tc>
                <w:tcPr>
                  <w:tcW w:w="749" w:type="pct"/>
                  <w:vAlign w:val="center"/>
                </w:tcPr>
                <w:p w14:paraId="3AC0E680">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4</w:t>
                  </w:r>
                  <w:r>
                    <w:rPr>
                      <w:rFonts w:hint="eastAsia" w:ascii="Times New Roman" w:hAnsi="Times New Roman" w:eastAsia="宋体" w:cs="Times New Roman"/>
                      <w:color w:val="auto"/>
                      <w:lang w:val="en-US" w:eastAsia="zh-CN"/>
                    </w:rPr>
                    <w:t>.0</w:t>
                  </w:r>
                  <w:r>
                    <w:rPr>
                      <w:rFonts w:hint="default" w:ascii="Times New Roman" w:hAnsi="Times New Roman" w:eastAsia="宋体" w:cs="Times New Roman"/>
                      <w:color w:val="auto"/>
                    </w:rPr>
                    <w:t>mg/m</w:t>
                  </w:r>
                  <w:r>
                    <w:rPr>
                      <w:rFonts w:hint="default" w:ascii="Times New Roman" w:hAnsi="Times New Roman" w:eastAsia="宋体" w:cs="Times New Roman"/>
                      <w:color w:val="auto"/>
                      <w:vertAlign w:val="superscript"/>
                    </w:rPr>
                    <w:t>3</w:t>
                  </w:r>
                </w:p>
              </w:tc>
              <w:tc>
                <w:tcPr>
                  <w:tcW w:w="749" w:type="pct"/>
                  <w:vAlign w:val="center"/>
                </w:tcPr>
                <w:p w14:paraId="5845EBF0">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25</w:t>
                  </w:r>
                </w:p>
              </w:tc>
              <w:tc>
                <w:tcPr>
                  <w:tcW w:w="751" w:type="pct"/>
                  <w:vAlign w:val="center"/>
                </w:tcPr>
                <w:p w14:paraId="5966F9B7">
                  <w:pPr>
                    <w:pStyle w:val="906"/>
                    <w:spacing w:line="240" w:lineRule="auto"/>
                    <w:rPr>
                      <w:rFonts w:hint="eastAsia" w:ascii="Times New Roman" w:hAnsi="Times New Roman" w:eastAsia="宋体" w:cs="Times New Roman"/>
                      <w:color w:val="auto"/>
                    </w:rPr>
                  </w:pPr>
                  <w:r>
                    <w:rPr>
                      <w:rFonts w:hint="eastAsia" w:ascii="Times New Roman" w:hAnsi="Times New Roman" w:eastAsia="宋体" w:cs="Times New Roman"/>
                      <w:color w:val="auto"/>
                    </w:rPr>
                    <w:t>达标</w:t>
                  </w:r>
                </w:p>
              </w:tc>
            </w:tr>
            <w:tr w14:paraId="51F8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0" w:type="pct"/>
                  <w:vAlign w:val="center"/>
                </w:tcPr>
                <w:p w14:paraId="2B1BB2DA">
                  <w:pPr>
                    <w:pStyle w:val="906"/>
                    <w:spacing w:line="240" w:lineRule="auto"/>
                    <w:rPr>
                      <w:color w:val="auto"/>
                    </w:rPr>
                  </w:pPr>
                  <w:r>
                    <w:rPr>
                      <w:rFonts w:hint="eastAsia"/>
                      <w:color w:val="auto"/>
                    </w:rPr>
                    <w:t>O</w:t>
                  </w:r>
                  <w:r>
                    <w:rPr>
                      <w:color w:val="auto"/>
                      <w:vertAlign w:val="subscript"/>
                    </w:rPr>
                    <w:t>3</w:t>
                  </w:r>
                </w:p>
              </w:tc>
              <w:tc>
                <w:tcPr>
                  <w:tcW w:w="1491" w:type="pct"/>
                  <w:vAlign w:val="center"/>
                </w:tcPr>
                <w:p w14:paraId="1BD47A72">
                  <w:pPr>
                    <w:pStyle w:val="906"/>
                    <w:spacing w:line="240" w:lineRule="auto"/>
                    <w:rPr>
                      <w:color w:val="auto"/>
                    </w:rPr>
                  </w:pPr>
                  <w:r>
                    <w:rPr>
                      <w:rFonts w:hint="eastAsia"/>
                      <w:color w:val="auto"/>
                    </w:rPr>
                    <w:t>日最大</w:t>
                  </w:r>
                  <w:r>
                    <w:rPr>
                      <w:color w:val="auto"/>
                    </w:rPr>
                    <w:t>8小时滑动平均</w:t>
                  </w:r>
                  <w:r>
                    <w:rPr>
                      <w:rFonts w:hint="eastAsia"/>
                      <w:color w:val="auto"/>
                    </w:rPr>
                    <w:t>值的</w:t>
                  </w:r>
                  <w:r>
                    <w:rPr>
                      <w:color w:val="auto"/>
                    </w:rPr>
                    <w:t>第90百分位数</w:t>
                  </w:r>
                </w:p>
              </w:tc>
              <w:tc>
                <w:tcPr>
                  <w:tcW w:w="748" w:type="pct"/>
                  <w:vAlign w:val="center"/>
                </w:tcPr>
                <w:p w14:paraId="7CF315F7">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w:t>
                  </w:r>
                  <w:r>
                    <w:rPr>
                      <w:rFonts w:hint="default" w:ascii="Times New Roman" w:hAnsi="Times New Roman" w:eastAsia="宋体" w:cs="Times New Roman"/>
                      <w:color w:val="auto"/>
                      <w:lang w:val="en-US" w:eastAsia="zh-CN"/>
                    </w:rPr>
                    <w:t>56</w:t>
                  </w:r>
                  <w:r>
                    <w:rPr>
                      <w:rFonts w:hint="default" w:ascii="Times New Roman" w:hAnsi="Times New Roman" w:eastAsia="宋体" w:cs="Times New Roman"/>
                      <w:color w:val="auto"/>
                    </w:rPr>
                    <w:t>μg/m</w:t>
                  </w:r>
                  <w:r>
                    <w:rPr>
                      <w:rFonts w:hint="default" w:ascii="Times New Roman" w:hAnsi="Times New Roman" w:eastAsia="宋体" w:cs="Times New Roman"/>
                      <w:color w:val="auto"/>
                      <w:vertAlign w:val="superscript"/>
                    </w:rPr>
                    <w:t>3</w:t>
                  </w:r>
                </w:p>
              </w:tc>
              <w:tc>
                <w:tcPr>
                  <w:tcW w:w="749" w:type="pct"/>
                  <w:vAlign w:val="center"/>
                </w:tcPr>
                <w:p w14:paraId="3526847B">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160μg/m</w:t>
                  </w:r>
                  <w:r>
                    <w:rPr>
                      <w:rFonts w:hint="default" w:ascii="Times New Roman" w:hAnsi="Times New Roman" w:eastAsia="宋体" w:cs="Times New Roman"/>
                      <w:color w:val="auto"/>
                      <w:vertAlign w:val="superscript"/>
                    </w:rPr>
                    <w:t>3</w:t>
                  </w:r>
                </w:p>
              </w:tc>
              <w:tc>
                <w:tcPr>
                  <w:tcW w:w="749" w:type="pct"/>
                  <w:vAlign w:val="center"/>
                </w:tcPr>
                <w:p w14:paraId="1E56DC38">
                  <w:pPr>
                    <w:pStyle w:val="906"/>
                    <w:spacing w:line="240" w:lineRule="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97.5</w:t>
                  </w:r>
                </w:p>
              </w:tc>
              <w:tc>
                <w:tcPr>
                  <w:tcW w:w="751" w:type="pct"/>
                  <w:vAlign w:val="center"/>
                </w:tcPr>
                <w:p w14:paraId="32A474F0">
                  <w:pPr>
                    <w:pStyle w:val="906"/>
                    <w:spacing w:line="240" w:lineRule="auto"/>
                    <w:rPr>
                      <w:rFonts w:hint="eastAsia" w:ascii="Times New Roman" w:hAnsi="Times New Roman" w:eastAsia="宋体" w:cs="Times New Roman"/>
                      <w:color w:val="auto"/>
                    </w:rPr>
                  </w:pPr>
                  <w:r>
                    <w:rPr>
                      <w:rFonts w:hint="eastAsia" w:ascii="Times New Roman" w:hAnsi="Times New Roman" w:eastAsia="宋体" w:cs="Times New Roman"/>
                      <w:color w:val="auto"/>
                    </w:rPr>
                    <w:t>达标</w:t>
                  </w:r>
                </w:p>
              </w:tc>
            </w:tr>
          </w:tbl>
          <w:p w14:paraId="7216B216">
            <w:pPr>
              <w:ind w:firstLine="480" w:firstLineChars="200"/>
              <w:rPr>
                <w:color w:val="auto"/>
              </w:rPr>
            </w:pPr>
            <w:r>
              <w:rPr>
                <w:rFonts w:hint="eastAsia"/>
                <w:color w:val="auto"/>
              </w:rPr>
              <w:t>由上表数据可知，项目所在区域</w:t>
            </w:r>
            <w:r>
              <w:rPr>
                <w:rFonts w:hint="eastAsia"/>
                <w:color w:val="auto"/>
                <w:lang w:val="en-US" w:eastAsia="zh-CN"/>
              </w:rPr>
              <w:t>池州</w:t>
            </w:r>
            <w:r>
              <w:rPr>
                <w:rFonts w:hint="eastAsia"/>
                <w:color w:val="auto"/>
              </w:rPr>
              <w:t>市S</w:t>
            </w:r>
            <w:r>
              <w:rPr>
                <w:color w:val="auto"/>
              </w:rPr>
              <w:t>O</w:t>
            </w:r>
            <w:r>
              <w:rPr>
                <w:color w:val="auto"/>
                <w:vertAlign w:val="subscript"/>
              </w:rPr>
              <w:t>2</w:t>
            </w:r>
            <w:r>
              <w:rPr>
                <w:rFonts w:hint="eastAsia"/>
                <w:color w:val="auto"/>
              </w:rPr>
              <w:t>、N</w:t>
            </w:r>
            <w:r>
              <w:rPr>
                <w:color w:val="auto"/>
              </w:rPr>
              <w:t>O</w:t>
            </w:r>
            <w:r>
              <w:rPr>
                <w:color w:val="auto"/>
                <w:vertAlign w:val="subscript"/>
              </w:rPr>
              <w:t>2</w:t>
            </w:r>
            <w:r>
              <w:rPr>
                <w:rFonts w:hint="eastAsia"/>
                <w:color w:val="auto"/>
              </w:rPr>
              <w:t>、P</w:t>
            </w:r>
            <w:r>
              <w:rPr>
                <w:color w:val="auto"/>
              </w:rPr>
              <w:t>M</w:t>
            </w:r>
            <w:r>
              <w:rPr>
                <w:color w:val="auto"/>
                <w:vertAlign w:val="subscript"/>
              </w:rPr>
              <w:t>10</w:t>
            </w:r>
            <w:r>
              <w:rPr>
                <w:rFonts w:hint="eastAsia"/>
                <w:color w:val="auto"/>
              </w:rPr>
              <w:t>、P</w:t>
            </w:r>
            <w:r>
              <w:rPr>
                <w:color w:val="auto"/>
              </w:rPr>
              <w:t>M</w:t>
            </w:r>
            <w:r>
              <w:rPr>
                <w:color w:val="auto"/>
                <w:vertAlign w:val="subscript"/>
              </w:rPr>
              <w:t>2.5</w:t>
            </w:r>
            <w:r>
              <w:rPr>
                <w:rFonts w:hint="eastAsia"/>
                <w:color w:val="auto"/>
              </w:rPr>
              <w:t>的年平均质量浓度、C</w:t>
            </w:r>
            <w:r>
              <w:rPr>
                <w:color w:val="auto"/>
              </w:rPr>
              <w:t>O</w:t>
            </w:r>
            <w:r>
              <w:rPr>
                <w:rFonts w:hint="eastAsia"/>
                <w:color w:val="auto"/>
              </w:rPr>
              <w:t>的日平均第</w:t>
            </w:r>
            <w:r>
              <w:rPr>
                <w:color w:val="auto"/>
              </w:rPr>
              <w:t>95百分位数</w:t>
            </w:r>
            <w:r>
              <w:rPr>
                <w:rFonts w:hint="eastAsia"/>
                <w:color w:val="auto"/>
              </w:rPr>
              <w:t>和O</w:t>
            </w:r>
            <w:r>
              <w:rPr>
                <w:color w:val="auto"/>
                <w:vertAlign w:val="subscript"/>
              </w:rPr>
              <w:t>3</w:t>
            </w:r>
            <w:r>
              <w:rPr>
                <w:rFonts w:hint="eastAsia"/>
                <w:color w:val="auto"/>
              </w:rPr>
              <w:t>日最大</w:t>
            </w:r>
            <w:r>
              <w:rPr>
                <w:color w:val="auto"/>
              </w:rPr>
              <w:t>8小时滑动平均值的第90百分位数</w:t>
            </w:r>
            <w:r>
              <w:rPr>
                <w:rFonts w:hint="eastAsia"/>
                <w:color w:val="auto"/>
              </w:rPr>
              <w:t>均满足《环境空气质量标准》（</w:t>
            </w:r>
            <w:r>
              <w:rPr>
                <w:color w:val="auto"/>
              </w:rPr>
              <w:t>GB3095-2012）中的二级标准，</w:t>
            </w:r>
            <w:r>
              <w:rPr>
                <w:rFonts w:hint="eastAsia"/>
                <w:color w:val="auto"/>
              </w:rPr>
              <w:t>项目所在区域为环境空气质量达标区。</w:t>
            </w:r>
          </w:p>
          <w:p w14:paraId="4C8EFB7A">
            <w:pPr>
              <w:ind w:firstLine="480" w:firstLineChars="200"/>
              <w:rPr>
                <w:color w:val="auto"/>
              </w:rPr>
            </w:pPr>
            <w:r>
              <w:rPr>
                <w:rFonts w:hint="eastAsia"/>
                <w:color w:val="auto"/>
              </w:rPr>
              <w:t>（2）其他污染物环境质量现状评价</w:t>
            </w:r>
          </w:p>
          <w:p w14:paraId="745B3518">
            <w:pPr>
              <w:ind w:firstLine="480" w:firstLineChars="200"/>
              <w:rPr>
                <w:rFonts w:hint="eastAsia" w:eastAsia="宋体"/>
                <w:color w:val="auto"/>
                <w:lang w:eastAsia="zh-CN"/>
              </w:rPr>
            </w:pPr>
            <w:r>
              <w:rPr>
                <w:rFonts w:hint="eastAsia"/>
                <w:color w:val="auto"/>
                <w:lang w:val="en-US" w:eastAsia="zh-CN"/>
              </w:rPr>
              <w:t>根据生态环境部回复意见，排放的特征污染物需要在国家、地方环境空气质量标准中有限值要求才涉及现状监测，</w:t>
            </w:r>
            <w:r>
              <w:rPr>
                <w:rFonts w:hint="eastAsia"/>
                <w:color w:val="auto"/>
              </w:rPr>
              <w:t>本项目仅考虑环境空气质量标准中有标准</w:t>
            </w:r>
            <w:r>
              <w:rPr>
                <w:rFonts w:hint="eastAsia"/>
                <w:color w:val="auto"/>
                <w:lang w:val="en-US" w:eastAsia="zh-CN"/>
              </w:rPr>
              <w:t>限值</w:t>
            </w:r>
            <w:r>
              <w:rPr>
                <w:rFonts w:hint="eastAsia"/>
                <w:color w:val="auto"/>
              </w:rPr>
              <w:t>的进行分析</w:t>
            </w:r>
            <w:r>
              <w:rPr>
                <w:rFonts w:hint="eastAsia"/>
                <w:color w:val="auto"/>
                <w:lang w:eastAsia="zh-CN"/>
              </w:rPr>
              <w:t>，</w:t>
            </w:r>
            <w:r>
              <w:rPr>
                <w:rFonts w:hint="eastAsia"/>
                <w:color w:val="auto"/>
                <w:lang w:val="en-US" w:eastAsia="zh-CN"/>
              </w:rPr>
              <w:t>故TSP</w:t>
            </w:r>
            <w:r>
              <w:rPr>
                <w:rFonts w:hint="eastAsia"/>
                <w:color w:val="auto"/>
              </w:rPr>
              <w:t>需要补充监测。根据《建设项目环境影响报告表编制技术指南（污染影响类）（试行）》，引用建设项目周边5千米范围内近3年的现有监测数据，无相关数据的选择当季主导风向下风向1个点位补充不少于3天的监测数据。本次评价特征污染物TSP现状浓度引用《安徽华航电子科技有限公司智能终端研发生产基地项目环境影响报告表》中的现状监测数据（安徽绿健检测技术服务有限公司于2023年8月7日~8月9日进行监测），孵化园公租房位于本项目区西北侧约</w:t>
            </w:r>
            <w:bookmarkStart w:id="59" w:name="OLE_LINK33"/>
            <w:r>
              <w:rPr>
                <w:rFonts w:hint="eastAsia"/>
                <w:color w:val="auto"/>
                <w:lang w:val="en-US" w:eastAsia="zh-CN"/>
              </w:rPr>
              <w:t>468</w:t>
            </w:r>
            <w:r>
              <w:rPr>
                <w:rFonts w:hint="eastAsia"/>
                <w:color w:val="auto"/>
              </w:rPr>
              <w:t>0</w:t>
            </w:r>
            <w:bookmarkEnd w:id="59"/>
            <w:r>
              <w:rPr>
                <w:rFonts w:hint="eastAsia"/>
                <w:color w:val="auto"/>
              </w:rPr>
              <w:t>m，满足3年时效性要求</w:t>
            </w:r>
            <w:r>
              <w:rPr>
                <w:rFonts w:hint="eastAsia"/>
                <w:color w:val="auto"/>
                <w:lang w:eastAsia="zh-CN"/>
              </w:rPr>
              <w:t>，</w:t>
            </w:r>
            <w:r>
              <w:rPr>
                <w:rFonts w:hint="eastAsia"/>
                <w:color w:val="auto"/>
                <w:lang w:val="en-US" w:eastAsia="zh-CN"/>
              </w:rPr>
              <w:t>满足</w:t>
            </w:r>
            <w:r>
              <w:rPr>
                <w:rFonts w:hint="eastAsia"/>
                <w:color w:val="auto"/>
              </w:rPr>
              <w:t>项目周边5千米范围内。本次评价特征污染物</w:t>
            </w:r>
            <w:r>
              <w:rPr>
                <w:rFonts w:hint="eastAsia"/>
                <w:color w:val="auto"/>
                <w:lang w:val="en-US" w:eastAsia="zh-CN"/>
              </w:rPr>
              <w:t>氟化物</w:t>
            </w:r>
            <w:r>
              <w:rPr>
                <w:rFonts w:hint="eastAsia"/>
                <w:color w:val="auto"/>
              </w:rPr>
              <w:t>现状浓度引用《皖江江南新兴产业集中区环境影响区域评估报告》（2022年版）中G6点位大气环境监测数据，监测日期为2022年5月23日~5月29日</w:t>
            </w:r>
            <w:r>
              <w:rPr>
                <w:rFonts w:hint="eastAsia"/>
                <w:color w:val="auto"/>
                <w:lang w:eastAsia="zh-CN"/>
              </w:rPr>
              <w:t>，监测点位距离项目</w:t>
            </w:r>
            <w:r>
              <w:rPr>
                <w:rFonts w:hint="eastAsia"/>
                <w:color w:val="auto"/>
              </w:rPr>
              <w:t>约</w:t>
            </w:r>
            <w:r>
              <w:rPr>
                <w:rFonts w:hint="eastAsia"/>
                <w:color w:val="auto"/>
                <w:lang w:val="en-US" w:eastAsia="zh-CN"/>
              </w:rPr>
              <w:t>2312</w:t>
            </w:r>
            <w:r>
              <w:rPr>
                <w:rFonts w:hint="eastAsia"/>
                <w:color w:val="auto"/>
              </w:rPr>
              <w:t>m</w:t>
            </w:r>
            <w:r>
              <w:rPr>
                <w:rFonts w:hint="eastAsia"/>
                <w:color w:val="auto"/>
                <w:lang w:eastAsia="zh-CN"/>
              </w:rPr>
              <w:t>，</w:t>
            </w:r>
            <w:r>
              <w:rPr>
                <w:rFonts w:hint="eastAsia"/>
                <w:color w:val="auto"/>
              </w:rPr>
              <w:t>满足3年时效性要求</w:t>
            </w:r>
            <w:r>
              <w:rPr>
                <w:rFonts w:hint="eastAsia"/>
                <w:color w:val="auto"/>
                <w:lang w:eastAsia="zh-CN"/>
              </w:rPr>
              <w:t>，</w:t>
            </w:r>
            <w:r>
              <w:rPr>
                <w:rFonts w:hint="eastAsia"/>
                <w:color w:val="auto"/>
                <w:lang w:val="en-US" w:eastAsia="zh-CN"/>
              </w:rPr>
              <w:t>满足</w:t>
            </w:r>
            <w:r>
              <w:rPr>
                <w:rFonts w:hint="eastAsia"/>
                <w:color w:val="auto"/>
              </w:rPr>
              <w:t>项目周边5千米范围内。</w:t>
            </w:r>
          </w:p>
          <w:p w14:paraId="2CB6BBE4">
            <w:pPr>
              <w:jc w:val="center"/>
              <w:rPr>
                <w:rFonts w:hint="eastAsia"/>
                <w:b/>
                <w:bCs/>
                <w:color w:val="auto"/>
              </w:rPr>
            </w:pPr>
            <w:r>
              <w:rPr>
                <w:color w:val="auto"/>
                <w:sz w:val="24"/>
              </w:rPr>
              <mc:AlternateContent>
                <mc:Choice Requires="wps">
                  <w:drawing>
                    <wp:anchor distT="0" distB="0" distL="114300" distR="114300" simplePos="0" relativeHeight="251688960" behindDoc="0" locked="0" layoutInCell="1" allowOverlap="1">
                      <wp:simplePos x="0" y="0"/>
                      <wp:positionH relativeFrom="column">
                        <wp:posOffset>3456305</wp:posOffset>
                      </wp:positionH>
                      <wp:positionV relativeFrom="paragraph">
                        <wp:posOffset>2207260</wp:posOffset>
                      </wp:positionV>
                      <wp:extent cx="554355" cy="232410"/>
                      <wp:effectExtent l="0" t="0" r="0" b="0"/>
                      <wp:wrapNone/>
                      <wp:docPr id="75" name="文本框 75"/>
                      <wp:cNvGraphicFramePr/>
                      <a:graphic xmlns:a="http://schemas.openxmlformats.org/drawingml/2006/main">
                        <a:graphicData uri="http://schemas.microsoft.com/office/word/2010/wordprocessingShape">
                          <wps:wsp>
                            <wps:cNvSpPr txBox="1"/>
                            <wps:spPr>
                              <a:xfrm>
                                <a:off x="4713605" y="6280785"/>
                                <a:ext cx="554355" cy="2324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9A8FB">
                                  <w:pPr>
                                    <w:rPr>
                                      <w:b/>
                                      <w:bCs/>
                                      <w:color w:val="F4B183" w:themeColor="accent2" w:themeTint="99"/>
                                      <w:sz w:val="16"/>
                                      <w:szCs w:val="13"/>
                                      <w:highlight w:val="none"/>
                                      <w14:textFill>
                                        <w14:solidFill>
                                          <w14:schemeClr w14:val="accent2">
                                            <w14:lumMod w14:val="60000"/>
                                            <w14:lumOff w14:val="40000"/>
                                          </w14:schemeClr>
                                        </w14:solidFill>
                                      </w14:textFill>
                                    </w:rPr>
                                  </w:pPr>
                                  <w:r>
                                    <w:rPr>
                                      <w:rFonts w:hint="eastAsia"/>
                                      <w:b/>
                                      <w:bCs/>
                                      <w:color w:val="FF0000"/>
                                      <w:sz w:val="18"/>
                                      <w:szCs w:val="15"/>
                                      <w:highlight w:val="none"/>
                                    </w:rPr>
                                    <w:t>（G6）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2.15pt;margin-top:173.8pt;height:18.3pt;width:43.65pt;z-index:251688960;mso-width-relative:page;mso-height-relative:page;" filled="f" stroked="f" coordsize="21600,21600" o:gfxdata="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wsPNdsAAAALAQAADwAAAAAA&#10;AAABACAAAAAiAAAAZHJzL2Rvd25yZXYueG1sUEsBAhQAFAAAAAgAh07iQIyfdTRJAgAAcwQAAA4A&#10;AAAAAAAAAQAgAAAAKgEAAGRycy9lMm9Eb2MueG1sUEsFBgAAAAAGAAYAWQEAAOUFAAAAAA==&#10;">
                      <v:fill on="f" focussize="0,0"/>
                      <v:stroke on="f" weight="0.5pt"/>
                      <v:imagedata o:title=""/>
                      <o:lock v:ext="edit" aspectratio="f"/>
                      <v:textbox>
                        <w:txbxContent>
                          <w:p w14:paraId="3439A8FB">
                            <w:pPr>
                              <w:rPr>
                                <w:b/>
                                <w:bCs/>
                                <w:color w:val="F4B183" w:themeColor="accent2" w:themeTint="99"/>
                                <w:sz w:val="16"/>
                                <w:szCs w:val="13"/>
                                <w:highlight w:val="none"/>
                                <w14:textFill>
                                  <w14:solidFill>
                                    <w14:schemeClr w14:val="accent2">
                                      <w14:lumMod w14:val="60000"/>
                                      <w14:lumOff w14:val="40000"/>
                                    </w14:schemeClr>
                                  </w14:solidFill>
                                </w14:textFill>
                              </w:rPr>
                            </w:pPr>
                            <w:r>
                              <w:rPr>
                                <w:rFonts w:hint="eastAsia"/>
                                <w:b/>
                                <w:bCs/>
                                <w:color w:val="FF0000"/>
                                <w:sz w:val="18"/>
                                <w:szCs w:val="15"/>
                                <w:highlight w:val="none"/>
                              </w:rPr>
                              <w:t>（G6）</w:t>
                            </w:r>
                          </w:p>
                        </w:txbxContent>
                      </v:textbox>
                    </v:shape>
                  </w:pict>
                </mc:Fallback>
              </mc:AlternateContent>
            </w:r>
            <w:r>
              <w:rPr>
                <w:color w:val="auto"/>
                <w:sz w:val="24"/>
              </w:rPr>
              <mc:AlternateContent>
                <mc:Choice Requires="wps">
                  <w:drawing>
                    <wp:anchor distT="0" distB="0" distL="114300" distR="114300" simplePos="0" relativeHeight="251687936" behindDoc="0" locked="0" layoutInCell="1" allowOverlap="1">
                      <wp:simplePos x="0" y="0"/>
                      <wp:positionH relativeFrom="column">
                        <wp:posOffset>3493770</wp:posOffset>
                      </wp:positionH>
                      <wp:positionV relativeFrom="paragraph">
                        <wp:posOffset>2313940</wp:posOffset>
                      </wp:positionV>
                      <wp:extent cx="75565" cy="75565"/>
                      <wp:effectExtent l="6350" t="6350" r="13335" b="13335"/>
                      <wp:wrapNone/>
                      <wp:docPr id="74" name="椭圆 74"/>
                      <wp:cNvGraphicFramePr/>
                      <a:graphic xmlns:a="http://schemas.openxmlformats.org/drawingml/2006/main">
                        <a:graphicData uri="http://schemas.microsoft.com/office/word/2010/wordprocessingShape">
                          <wps:wsp>
                            <wps:cNvSpPr/>
                            <wps:spPr>
                              <a:xfrm>
                                <a:off x="4545330" y="6076315"/>
                                <a:ext cx="75565" cy="75565"/>
                              </a:xfrm>
                              <a:prstGeom prst="ellipse">
                                <a:avLst/>
                              </a:prstGeom>
                              <a:solidFill>
                                <a:srgbClr val="FF0000"/>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75.1pt;margin-top:182.2pt;height:5.95pt;width:5.95pt;z-index:251687936;v-text-anchor:middle;mso-width-relative:page;mso-height-relative:page;" fillcolor="#FF0000" filled="t" stroked="t" coordsize="21600,21600" o:gfxdata="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DNjtWraAAAACwEAAA8AAAAAAAAAAQAgAAAA&#10;IgAAAGRycy9kb3ducmV2LnhtbFBLAQIUABQAAAAIAIdO4kCCuLDiewIAAAIFAAAOAAAAAAAAAAEA&#10;IAAAACkBAABkcnMvZTJvRG9jLnhtbFBLBQYAAAAABgAGAFkBAAAWBgAAAAA=&#10;">
                      <v:fill on="t" focussize="0,0"/>
                      <v:stroke weight="1pt" color="#000000 [3213]" miterlimit="8" joinstyle="miter"/>
                      <v:imagedata o:title=""/>
                      <o:lock v:ext="edit" aspectratio="f"/>
                    </v:shape>
                  </w:pict>
                </mc:Fallback>
              </mc:AlternateContent>
            </w:r>
            <w:r>
              <w:rPr>
                <w:color w:val="auto"/>
                <w:sz w:val="24"/>
              </w:rPr>
              <mc:AlternateContent>
                <mc:Choice Requires="wps">
                  <w:drawing>
                    <wp:anchor distT="0" distB="0" distL="114300" distR="114300" simplePos="0" relativeHeight="251665408" behindDoc="0" locked="0" layoutInCell="1" allowOverlap="1">
                      <wp:simplePos x="0" y="0"/>
                      <wp:positionH relativeFrom="column">
                        <wp:posOffset>2729865</wp:posOffset>
                      </wp:positionH>
                      <wp:positionV relativeFrom="paragraph">
                        <wp:posOffset>1789430</wp:posOffset>
                      </wp:positionV>
                      <wp:extent cx="825500" cy="364490"/>
                      <wp:effectExtent l="0" t="0" r="0" b="0"/>
                      <wp:wrapNone/>
                      <wp:docPr id="19" name="文本框 19"/>
                      <wp:cNvGraphicFramePr/>
                      <a:graphic xmlns:a="http://schemas.openxmlformats.org/drawingml/2006/main">
                        <a:graphicData uri="http://schemas.microsoft.com/office/word/2010/wordprocessingShape">
                          <wps:wsp>
                            <wps:cNvSpPr txBox="1"/>
                            <wps:spPr>
                              <a:xfrm rot="20700000">
                                <a:off x="4047490" y="4892675"/>
                                <a:ext cx="825500" cy="364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FDB52C">
                                  <w:pPr>
                                    <w:rPr>
                                      <w:rFonts w:hint="default" w:eastAsia="宋体"/>
                                      <w:color w:val="FFFF00"/>
                                      <w:sz w:val="28"/>
                                      <w:szCs w:val="22"/>
                                      <w:lang w:val="en-US" w:eastAsia="zh-CN"/>
                                    </w:rPr>
                                  </w:pPr>
                                  <w:r>
                                    <w:rPr>
                                      <w:rFonts w:hint="eastAsia"/>
                                      <w:color w:val="FFFF00"/>
                                      <w:sz w:val="28"/>
                                      <w:szCs w:val="22"/>
                                      <w:lang w:val="en-US" w:eastAsia="zh-CN"/>
                                    </w:rPr>
                                    <w:t>4680m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95pt;margin-top:140.9pt;height:28.7pt;width:65pt;rotation:-983040f;z-index:251665408;mso-width-relative:page;mso-height-relative:page;" filled="f" stroked="f" coordsize="21600,21600" o:gfxdata="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wgbt3aAAAACwEAAA8A&#10;AAAAAAAAAQAgAAAAIgAAAGRycy9kb3ducmV2LnhtbFBLAQIUABQAAAAIAIdO4kCP1xLDTgIAAIIE&#10;AAAOAAAAAAAAAAEAIAAAACkBAABkcnMvZTJvRG9jLnhtbFBLBQYAAAAABgAGAFkBAADpBQAAAAA=&#10;">
                      <v:fill on="f" focussize="0,0"/>
                      <v:stroke on="f" weight="0.5pt"/>
                      <v:imagedata o:title=""/>
                      <o:lock v:ext="edit" aspectratio="f"/>
                      <v:textbox>
                        <w:txbxContent>
                          <w:p w14:paraId="21FDB52C">
                            <w:pPr>
                              <w:rPr>
                                <w:rFonts w:hint="default" w:eastAsia="宋体"/>
                                <w:color w:val="FFFF00"/>
                                <w:sz w:val="28"/>
                                <w:szCs w:val="22"/>
                                <w:lang w:val="en-US" w:eastAsia="zh-CN"/>
                              </w:rPr>
                            </w:pPr>
                            <w:r>
                              <w:rPr>
                                <w:rFonts w:hint="eastAsia"/>
                                <w:color w:val="FFFF00"/>
                                <w:sz w:val="28"/>
                                <w:szCs w:val="22"/>
                                <w:lang w:val="en-US" w:eastAsia="zh-CN"/>
                              </w:rPr>
                              <w:t>4680m</w:t>
                            </w:r>
                          </w:p>
                        </w:txbxContent>
                      </v:textbox>
                    </v:shape>
                  </w:pict>
                </mc:Fallback>
              </mc:AlternateContent>
            </w:r>
            <w:r>
              <w:rPr>
                <w:color w:val="auto"/>
                <w:sz w:val="24"/>
              </w:rPr>
              <mc:AlternateContent>
                <mc:Choice Requires="wps">
                  <w:drawing>
                    <wp:anchor distT="0" distB="0" distL="114300" distR="114300" simplePos="0" relativeHeight="251686912" behindDoc="0" locked="0" layoutInCell="1" allowOverlap="1">
                      <wp:simplePos x="0" y="0"/>
                      <wp:positionH relativeFrom="column">
                        <wp:posOffset>3390265</wp:posOffset>
                      </wp:positionH>
                      <wp:positionV relativeFrom="paragraph">
                        <wp:posOffset>2378710</wp:posOffset>
                      </wp:positionV>
                      <wp:extent cx="114300" cy="1718945"/>
                      <wp:effectExtent l="6350" t="0" r="50800" b="14605"/>
                      <wp:wrapNone/>
                      <wp:docPr id="68" name="直接箭头连接符 68"/>
                      <wp:cNvGraphicFramePr/>
                      <a:graphic xmlns:a="http://schemas.openxmlformats.org/drawingml/2006/main">
                        <a:graphicData uri="http://schemas.microsoft.com/office/word/2010/wordprocessingShape">
                          <wps:wsp>
                            <wps:cNvCnPr>
                              <a:endCxn id="74" idx="3"/>
                            </wps:cNvCnPr>
                            <wps:spPr>
                              <a:xfrm flipV="1">
                                <a:off x="0" y="0"/>
                                <a:ext cx="114300" cy="171894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66.95pt;margin-top:187.3pt;height:135.35pt;width:9pt;z-index:251686912;mso-width-relative:page;mso-height-relative:page;" filled="f" stroked="t" coordsize="21600,21600" o:gfxdata="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JO4MdcAAAALAQAADwAAAAAAAAABACAAAAAiAAAAZHJzL2Rvd25yZXYueG1sUEsBAhQAFAAAAAgA&#10;h07iQPPwwmQmAgAAGAQAAA4AAAAAAAAAAQAgAAAAJgEAAGRycy9lMm9Eb2MueG1sUEsFBgAAAAAG&#10;AAYAWQEAAL4FAAAAAA==&#10;">
                      <v:fill on="f" focussize="0,0"/>
                      <v:stroke weight="1pt" color="#FFFF00 [3204]" miterlimit="8" joinstyle="miter" endarrow="open"/>
                      <v:imagedata o:title=""/>
                      <o:lock v:ext="edit" aspectratio="f"/>
                    </v:shape>
                  </w:pict>
                </mc:Fallback>
              </mc:AlternateContent>
            </w:r>
            <w:r>
              <w:rPr>
                <w:color w:val="auto"/>
                <w:sz w:val="24"/>
              </w:rPr>
              <mc:AlternateContent>
                <mc:Choice Requires="wps">
                  <w:drawing>
                    <wp:anchor distT="0" distB="0" distL="114300" distR="114300" simplePos="0" relativeHeight="251664384" behindDoc="0" locked="0" layoutInCell="1" allowOverlap="1">
                      <wp:simplePos x="0" y="0"/>
                      <wp:positionH relativeFrom="column">
                        <wp:posOffset>2337435</wp:posOffset>
                      </wp:positionH>
                      <wp:positionV relativeFrom="paragraph">
                        <wp:posOffset>562610</wp:posOffset>
                      </wp:positionV>
                      <wp:extent cx="986790" cy="3535045"/>
                      <wp:effectExtent l="25400" t="0" r="16510" b="8255"/>
                      <wp:wrapNone/>
                      <wp:docPr id="17" name="直接箭头连接符 17"/>
                      <wp:cNvGraphicFramePr/>
                      <a:graphic xmlns:a="http://schemas.openxmlformats.org/drawingml/2006/main">
                        <a:graphicData uri="http://schemas.microsoft.com/office/word/2010/wordprocessingShape">
                          <wps:wsp>
                            <wps:cNvCnPr/>
                            <wps:spPr>
                              <a:xfrm flipH="1" flipV="1">
                                <a:off x="3402965" y="3579495"/>
                                <a:ext cx="986790" cy="3535045"/>
                              </a:xfrm>
                              <a:prstGeom prst="straightConnector1">
                                <a:avLst/>
                              </a:prstGeom>
                              <a:ln>
                                <a:solidFill>
                                  <a:srgbClr val="FFFF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184.05pt;margin-top:44.3pt;height:278.35pt;width:77.7pt;z-index:251664384;mso-width-relative:page;mso-height-relative:page;" filled="f" stroked="t" coordsize="21600,21600" o:gfxdata="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c&#10;z/CK2QAAAAoBAAAPAAAAAAAAAAEAIAAAACIAAABkcnMvZG93bnJldi54bWxQSwECFAAUAAAACACH&#10;TuJAncB7+SMCAAAGBAAADgAAAAAAAAABACAAAAAoAQAAZHJzL2Uyb0RvYy54bWxQSwUGAAAAAAYA&#10;BgBZAQAAvQUAAAAA&#10;">
                      <v:fill on="f" focussize="0,0"/>
                      <v:stroke weight="1pt" color="#FFFF00 [3204]" miterlimit="8" joinstyle="miter" endarrow="open"/>
                      <v:imagedata o:title=""/>
                      <o:lock v:ext="edit" aspectratio="f"/>
                    </v:shape>
                  </w:pict>
                </mc:Fallback>
              </mc:AlternateContent>
            </w:r>
            <w:r>
              <w:rPr>
                <w:color w:val="auto"/>
              </w:rPr>
              <w:drawing>
                <wp:inline distT="0" distB="0" distL="114300" distR="114300">
                  <wp:extent cx="5358765" cy="4751070"/>
                  <wp:effectExtent l="0" t="0" r="13335" b="1143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31"/>
                          <a:stretch>
                            <a:fillRect/>
                          </a:stretch>
                        </pic:blipFill>
                        <pic:spPr>
                          <a:xfrm>
                            <a:off x="0" y="0"/>
                            <a:ext cx="5358765" cy="4751070"/>
                          </a:xfrm>
                          <a:prstGeom prst="rect">
                            <a:avLst/>
                          </a:prstGeom>
                          <a:noFill/>
                          <a:ln>
                            <a:noFill/>
                          </a:ln>
                        </pic:spPr>
                      </pic:pic>
                    </a:graphicData>
                  </a:graphic>
                </wp:inline>
              </w:drawing>
            </w:r>
          </w:p>
          <w:p w14:paraId="4EAE2645">
            <w:pPr>
              <w:pStyle w:val="85"/>
              <w:jc w:val="center"/>
              <w:rPr>
                <w:rFonts w:hint="eastAsia"/>
                <w:b/>
                <w:bCs/>
                <w:color w:val="auto"/>
              </w:rPr>
            </w:pPr>
            <w:r>
              <w:rPr>
                <w:color w:val="auto"/>
              </w:rPr>
              <w:drawing>
                <wp:inline distT="0" distB="0" distL="114300" distR="114300">
                  <wp:extent cx="0" cy="0"/>
                  <wp:effectExtent l="0" t="0" r="0" b="0"/>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icPr>
                        <pic:blipFill>
                          <a:blip r:embed="rId20"/>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21"/>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1"/>
                          </pic:cNvPicPr>
                        </pic:nvPicPr>
                        <pic:blipFill>
                          <a:blip r:embed="rId22"/>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9"/>
                          <pic:cNvPicPr>
                            <a:picLocks noChangeAspect="1"/>
                          </pic:cNvPicPr>
                        </pic:nvPicPr>
                        <pic:blipFill>
                          <a:blip r:embed="rId23"/>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0"/>
                          <pic:cNvPicPr>
                            <a:picLocks noChangeAspect="1"/>
                          </pic:cNvPicPr>
                        </pic:nvPicPr>
                        <pic:blipFill>
                          <a:blip r:embed="rId24"/>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1"/>
                          <pic:cNvPicPr>
                            <a:picLocks noChangeAspect="1"/>
                          </pic:cNvPicPr>
                        </pic:nvPicPr>
                        <pic:blipFill>
                          <a:blip r:embed="rId25"/>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2"/>
                          <pic:cNvPicPr>
                            <a:picLocks noChangeAspect="1"/>
                          </pic:cNvPicPr>
                        </pic:nvPicPr>
                        <pic:blipFill>
                          <a:blip r:embed="rId26"/>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4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3"/>
                          <pic:cNvPicPr>
                            <a:picLocks noChangeAspect="1"/>
                          </pic:cNvPicPr>
                        </pic:nvPicPr>
                        <pic:blipFill>
                          <a:blip r:embed="rId27"/>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5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4"/>
                          <pic:cNvPicPr>
                            <a:picLocks noChangeAspect="1"/>
                          </pic:cNvPicPr>
                        </pic:nvPicPr>
                        <pic:blipFill>
                          <a:blip r:embed="rId28"/>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5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5"/>
                          <pic:cNvPicPr>
                            <a:picLocks noChangeAspect="1"/>
                          </pic:cNvPicPr>
                        </pic:nvPicPr>
                        <pic:blipFill>
                          <a:blip r:embed="rId26"/>
                          <a:stretch>
                            <a:fillRect/>
                          </a:stretch>
                        </pic:blipFill>
                        <pic:spPr>
                          <a:xfrm>
                            <a:off x="0" y="0"/>
                            <a:ext cx="0" cy="0"/>
                          </a:xfrm>
                          <a:prstGeom prst="rect">
                            <a:avLst/>
                          </a:prstGeom>
                          <a:noFill/>
                          <a:ln>
                            <a:noFill/>
                          </a:ln>
                        </pic:spPr>
                      </pic:pic>
                    </a:graphicData>
                  </a:graphic>
                </wp:inline>
              </w:drawing>
            </w:r>
            <w:r>
              <w:rPr>
                <w:color w:val="auto"/>
              </w:rPr>
              <w:drawing>
                <wp:inline distT="0" distB="0" distL="114300" distR="114300">
                  <wp:extent cx="0" cy="0"/>
                  <wp:effectExtent l="0" t="0" r="0" b="0"/>
                  <wp:docPr id="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
                          <pic:cNvPicPr>
                            <a:picLocks noChangeAspect="1"/>
                          </pic:cNvPicPr>
                        </pic:nvPicPr>
                        <pic:blipFill>
                          <a:blip r:embed="rId29"/>
                          <a:stretch>
                            <a:fillRect/>
                          </a:stretch>
                        </pic:blipFill>
                        <pic:spPr>
                          <a:xfrm>
                            <a:off x="0" y="0"/>
                            <a:ext cx="0" cy="0"/>
                          </a:xfrm>
                          <a:prstGeom prst="rect">
                            <a:avLst/>
                          </a:prstGeom>
                          <a:noFill/>
                          <a:ln>
                            <a:noFill/>
                          </a:ln>
                        </pic:spPr>
                      </pic:pic>
                    </a:graphicData>
                  </a:graphic>
                </wp:inline>
              </w:drawing>
            </w:r>
            <w:r>
              <w:rPr>
                <w:rFonts w:eastAsia="黑体"/>
                <w:color w:val="auto"/>
              </w:rPr>
              <w:t>图</w:t>
            </w:r>
            <w:r>
              <w:rPr>
                <w:rFonts w:ascii="Times New Roman" w:eastAsia="黑体" w:cs="Times New Roman"/>
                <w:color w:val="auto"/>
              </w:rPr>
              <w:t>2-</w:t>
            </w:r>
            <w:r>
              <w:rPr>
                <w:rFonts w:hint="eastAsia" w:ascii="Times New Roman" w:eastAsia="黑体" w:cs="Times New Roman"/>
                <w:color w:val="auto"/>
                <w:lang w:val="en-US" w:eastAsia="zh-CN"/>
              </w:rPr>
              <w:t>4</w:t>
            </w:r>
            <w:r>
              <w:rPr>
                <w:rFonts w:hint="eastAsia" w:eastAsia="黑体"/>
                <w:color w:val="auto"/>
              </w:rPr>
              <w:t xml:space="preserve">  </w:t>
            </w:r>
            <w:r>
              <w:rPr>
                <w:rFonts w:hint="eastAsia" w:ascii="Times New Roman" w:eastAsia="黑体"/>
                <w:color w:val="auto"/>
                <w:lang w:val="en-US" w:eastAsia="zh-CN"/>
              </w:rPr>
              <w:t>项目引用监测点位相对位置</w:t>
            </w:r>
            <w:r>
              <w:rPr>
                <w:rFonts w:hint="eastAsia" w:eastAsia="黑体"/>
                <w:color w:val="auto"/>
              </w:rPr>
              <w:t>图</w:t>
            </w:r>
          </w:p>
          <w:p w14:paraId="7AEFB8F9">
            <w:pPr>
              <w:ind w:firstLine="482" w:firstLineChars="200"/>
              <w:rPr>
                <w:color w:val="auto"/>
              </w:rPr>
            </w:pPr>
            <w:r>
              <w:rPr>
                <w:rFonts w:hint="eastAsia"/>
                <w:b/>
                <w:bCs/>
                <w:color w:val="auto"/>
              </w:rPr>
              <w:t>监测及评价结果</w:t>
            </w:r>
          </w:p>
          <w:p w14:paraId="51655EA0">
            <w:pPr>
              <w:ind w:firstLine="480" w:firstLineChars="200"/>
              <w:rPr>
                <w:color w:val="auto"/>
              </w:rPr>
            </w:pPr>
            <w:r>
              <w:rPr>
                <w:rFonts w:hint="eastAsia"/>
                <w:color w:val="auto"/>
              </w:rPr>
              <w:t>环境空气监测及评价结果见表3-2所示。</w:t>
            </w:r>
          </w:p>
          <w:p w14:paraId="4D1DD700">
            <w:pPr>
              <w:pStyle w:val="902"/>
              <w:rPr>
                <w:color w:val="auto"/>
              </w:rPr>
            </w:pPr>
            <w:r>
              <w:rPr>
                <w:rFonts w:hint="eastAsia"/>
                <w:color w:val="auto"/>
              </w:rPr>
              <w:t>表3</w:t>
            </w:r>
            <w:r>
              <w:rPr>
                <w:color w:val="auto"/>
              </w:rPr>
              <w:t>-</w:t>
            </w:r>
            <w:r>
              <w:rPr>
                <w:rFonts w:hint="eastAsia"/>
                <w:color w:val="auto"/>
                <w:lang w:val="en-US" w:eastAsia="zh-CN"/>
              </w:rPr>
              <w:t>2</w:t>
            </w:r>
            <w:r>
              <w:rPr>
                <w:color w:val="auto"/>
              </w:rPr>
              <w:t xml:space="preserve">  </w:t>
            </w:r>
            <w:r>
              <w:rPr>
                <w:rFonts w:hint="eastAsia"/>
                <w:color w:val="auto"/>
                <w:lang w:val="en-US" w:eastAsia="zh-CN"/>
              </w:rPr>
              <w:t>引用</w:t>
            </w:r>
            <w:r>
              <w:rPr>
                <w:rFonts w:hint="eastAsia"/>
                <w:color w:val="auto"/>
              </w:rPr>
              <w:t>大气环境现状监测结果一览表</w:t>
            </w:r>
          </w:p>
          <w:tbl>
            <w:tblPr>
              <w:tblStyle w:val="7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8"/>
              <w:gridCol w:w="830"/>
              <w:gridCol w:w="1323"/>
              <w:gridCol w:w="817"/>
              <w:gridCol w:w="1062"/>
              <w:gridCol w:w="1024"/>
              <w:gridCol w:w="908"/>
              <w:gridCol w:w="930"/>
              <w:gridCol w:w="771"/>
            </w:tblGrid>
            <w:tr w14:paraId="656C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66" w:type="pct"/>
                  <w:noWrap w:val="0"/>
                  <w:vAlign w:val="center"/>
                </w:tcPr>
                <w:p w14:paraId="1F7D8181">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监测点位</w:t>
                  </w:r>
                </w:p>
              </w:tc>
              <w:tc>
                <w:tcPr>
                  <w:tcW w:w="458" w:type="pct"/>
                  <w:noWrap w:val="0"/>
                  <w:vAlign w:val="center"/>
                </w:tcPr>
                <w:p w14:paraId="0E3944F0">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污染物</w:t>
                  </w:r>
                </w:p>
              </w:tc>
              <w:tc>
                <w:tcPr>
                  <w:tcW w:w="730" w:type="pct"/>
                  <w:noWrap w:val="0"/>
                  <w:vAlign w:val="center"/>
                </w:tcPr>
                <w:p w14:paraId="27C851D5">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日均值浓度</w:t>
                  </w:r>
                  <w:r>
                    <w:rPr>
                      <w:rFonts w:ascii="宋体" w:hAnsi="宋体" w:cs="宋体"/>
                      <w:color w:val="auto"/>
                    </w:rPr>
                    <w:t>（</w:t>
                  </w:r>
                  <w:r>
                    <w:rPr>
                      <w:rFonts w:hint="eastAsia" w:ascii="TimesNewRomanPSMT" w:hAnsi="TimesNewRomanPSMT" w:eastAsia="宋体" w:cs="TimesNewRomanPSMT"/>
                      <w:color w:val="auto"/>
                      <w:lang w:val="en-US" w:eastAsia="zh-CN"/>
                    </w:rPr>
                    <w:t>m</w:t>
                  </w:r>
                  <w:r>
                    <w:rPr>
                      <w:rFonts w:ascii="TimesNewRomanPSMT" w:hAnsi="TimesNewRomanPSMT" w:eastAsia="TimesNewRomanPSMT" w:cs="TimesNewRomanPSMT"/>
                      <w:color w:val="auto"/>
                    </w:rPr>
                    <w:t>g/m³</w:t>
                  </w:r>
                  <w:r>
                    <w:rPr>
                      <w:rFonts w:ascii="宋体" w:hAnsi="宋体" w:cs="宋体"/>
                      <w:color w:val="auto"/>
                    </w:rPr>
                    <w:t>）</w:t>
                  </w:r>
                </w:p>
              </w:tc>
              <w:tc>
                <w:tcPr>
                  <w:tcW w:w="451" w:type="pct"/>
                  <w:noWrap w:val="0"/>
                  <w:vAlign w:val="center"/>
                </w:tcPr>
                <w:p w14:paraId="0F6BE079">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标准限值</w:t>
                  </w:r>
                </w:p>
              </w:tc>
              <w:tc>
                <w:tcPr>
                  <w:tcW w:w="586" w:type="pct"/>
                  <w:noWrap w:val="0"/>
                  <w:vAlign w:val="center"/>
                </w:tcPr>
                <w:p w14:paraId="0C76A739">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最大占标率(%)</w:t>
                  </w:r>
                </w:p>
              </w:tc>
              <w:tc>
                <w:tcPr>
                  <w:tcW w:w="565" w:type="pct"/>
                  <w:noWrap w:val="0"/>
                  <w:vAlign w:val="center"/>
                </w:tcPr>
                <w:p w14:paraId="408F6F02">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超标数(个)</w:t>
                  </w:r>
                </w:p>
              </w:tc>
              <w:tc>
                <w:tcPr>
                  <w:tcW w:w="501" w:type="pct"/>
                  <w:noWrap w:val="0"/>
                  <w:vAlign w:val="center"/>
                </w:tcPr>
                <w:p w14:paraId="2FF5E47E">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超标率(%)</w:t>
                  </w:r>
                </w:p>
              </w:tc>
              <w:tc>
                <w:tcPr>
                  <w:tcW w:w="513" w:type="pct"/>
                  <w:noWrap w:val="0"/>
                  <w:vAlign w:val="center"/>
                </w:tcPr>
                <w:p w14:paraId="67EC38D5">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最大超标倍数</w:t>
                  </w:r>
                </w:p>
              </w:tc>
              <w:tc>
                <w:tcPr>
                  <w:tcW w:w="425" w:type="pct"/>
                  <w:noWrap w:val="0"/>
                  <w:vAlign w:val="center"/>
                </w:tcPr>
                <w:p w14:paraId="10714F25">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是否达标</w:t>
                  </w:r>
                </w:p>
              </w:tc>
            </w:tr>
            <w:tr w14:paraId="33FB5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pct"/>
                  <w:noWrap w:val="0"/>
                  <w:vAlign w:val="center"/>
                </w:tcPr>
                <w:p w14:paraId="4F61B432">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孵化园公租房</w:t>
                  </w:r>
                  <w:r>
                    <w:rPr>
                      <w:rFonts w:hint="eastAsia" w:cs="Times New Roman"/>
                      <w:color w:val="auto"/>
                      <w:lang w:val="en-US" w:eastAsia="zh-CN"/>
                    </w:rPr>
                    <w:t>（G1）</w:t>
                  </w:r>
                </w:p>
              </w:tc>
              <w:tc>
                <w:tcPr>
                  <w:tcW w:w="458" w:type="pct"/>
                  <w:noWrap w:val="0"/>
                  <w:vAlign w:val="center"/>
                </w:tcPr>
                <w:p w14:paraId="6884FC86">
                  <w:pPr>
                    <w:pStyle w:val="906"/>
                    <w:spacing w:line="240" w:lineRule="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TSP</w:t>
                  </w:r>
                </w:p>
              </w:tc>
              <w:tc>
                <w:tcPr>
                  <w:tcW w:w="730" w:type="pct"/>
                  <w:noWrap w:val="0"/>
                  <w:vAlign w:val="center"/>
                </w:tcPr>
                <w:p w14:paraId="793FF3B4">
                  <w:pPr>
                    <w:pStyle w:val="906"/>
                    <w:spacing w:line="240" w:lineRule="auto"/>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0.099~0.105</w:t>
                  </w:r>
                </w:p>
              </w:tc>
              <w:tc>
                <w:tcPr>
                  <w:tcW w:w="451" w:type="pct"/>
                  <w:noWrap w:val="0"/>
                  <w:vAlign w:val="center"/>
                </w:tcPr>
                <w:p w14:paraId="38AFFD39">
                  <w:pPr>
                    <w:pStyle w:val="906"/>
                    <w:spacing w:line="240" w:lineRule="auto"/>
                    <w:rPr>
                      <w:rFonts w:hint="default"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0.5</w:t>
                  </w:r>
                </w:p>
              </w:tc>
              <w:tc>
                <w:tcPr>
                  <w:tcW w:w="586" w:type="pct"/>
                  <w:noWrap w:val="0"/>
                  <w:vAlign w:val="center"/>
                </w:tcPr>
                <w:p w14:paraId="1ADB6D2E">
                  <w:pPr>
                    <w:pStyle w:val="906"/>
                    <w:spacing w:line="240" w:lineRule="auto"/>
                    <w:rPr>
                      <w:rFonts w:hint="default"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21%</w:t>
                  </w:r>
                </w:p>
              </w:tc>
              <w:tc>
                <w:tcPr>
                  <w:tcW w:w="565" w:type="pct"/>
                  <w:noWrap w:val="0"/>
                  <w:vAlign w:val="center"/>
                </w:tcPr>
                <w:p w14:paraId="10F97199">
                  <w:pPr>
                    <w:pStyle w:val="906"/>
                    <w:spacing w:line="240" w:lineRule="auto"/>
                    <w:rPr>
                      <w:rFonts w:hint="default"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0</w:t>
                  </w:r>
                </w:p>
              </w:tc>
              <w:tc>
                <w:tcPr>
                  <w:tcW w:w="501" w:type="pct"/>
                  <w:noWrap w:val="0"/>
                  <w:vAlign w:val="center"/>
                </w:tcPr>
                <w:p w14:paraId="651E690E">
                  <w:pPr>
                    <w:pStyle w:val="906"/>
                    <w:spacing w:line="240" w:lineRule="auto"/>
                    <w:rPr>
                      <w:rFonts w:hint="default"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0</w:t>
                  </w:r>
                </w:p>
              </w:tc>
              <w:tc>
                <w:tcPr>
                  <w:tcW w:w="513" w:type="pct"/>
                  <w:noWrap w:val="0"/>
                  <w:vAlign w:val="center"/>
                </w:tcPr>
                <w:p w14:paraId="5B03AFDC">
                  <w:pPr>
                    <w:pStyle w:val="906"/>
                    <w:spacing w:line="240" w:lineRule="auto"/>
                    <w:rPr>
                      <w:rFonts w:hint="default"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0</w:t>
                  </w:r>
                </w:p>
              </w:tc>
              <w:tc>
                <w:tcPr>
                  <w:tcW w:w="425" w:type="pct"/>
                  <w:noWrap w:val="0"/>
                  <w:vAlign w:val="center"/>
                </w:tcPr>
                <w:p w14:paraId="1846FCA4">
                  <w:pPr>
                    <w:pStyle w:val="906"/>
                    <w:spacing w:line="240" w:lineRule="auto"/>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eastAsia="宋体" w:cs="Times New Roman"/>
                      <w:color w:val="auto"/>
                      <w:lang w:val="en-US" w:eastAsia="zh-CN"/>
                    </w:rPr>
                    <w:t>是</w:t>
                  </w:r>
                </w:p>
              </w:tc>
            </w:tr>
            <w:tr w14:paraId="26760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6" w:type="pct"/>
                  <w:noWrap w:val="0"/>
                  <w:vAlign w:val="center"/>
                </w:tcPr>
                <w:p w14:paraId="1B641047">
                  <w:pPr>
                    <w:pStyle w:val="906"/>
                    <w:spacing w:line="240" w:lineRule="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淮河西路与凤鸣大道交口</w:t>
                  </w:r>
                  <w:r>
                    <w:rPr>
                      <w:rFonts w:hint="eastAsia" w:cs="Times New Roman"/>
                      <w:color w:val="auto"/>
                      <w:lang w:val="en-US" w:eastAsia="zh-CN"/>
                    </w:rPr>
                    <w:t>（G6）</w:t>
                  </w:r>
                </w:p>
              </w:tc>
              <w:tc>
                <w:tcPr>
                  <w:tcW w:w="458" w:type="pct"/>
                  <w:noWrap w:val="0"/>
                  <w:vAlign w:val="center"/>
                </w:tcPr>
                <w:p w14:paraId="52930D37">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氟化物</w:t>
                  </w:r>
                </w:p>
              </w:tc>
              <w:tc>
                <w:tcPr>
                  <w:tcW w:w="730" w:type="pct"/>
                  <w:noWrap w:val="0"/>
                  <w:vAlign w:val="center"/>
                </w:tcPr>
                <w:p w14:paraId="64908075">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0.0012~0.0017</w:t>
                  </w:r>
                </w:p>
              </w:tc>
              <w:tc>
                <w:tcPr>
                  <w:tcW w:w="451" w:type="pct"/>
                  <w:noWrap w:val="0"/>
                  <w:vAlign w:val="center"/>
                </w:tcPr>
                <w:p w14:paraId="2FA1DA46">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7</w:t>
                  </w:r>
                </w:p>
              </w:tc>
              <w:tc>
                <w:tcPr>
                  <w:tcW w:w="586" w:type="pct"/>
                  <w:noWrap w:val="0"/>
                  <w:vAlign w:val="center"/>
                </w:tcPr>
                <w:p w14:paraId="738B67D9">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0.03</w:t>
                  </w:r>
                </w:p>
              </w:tc>
              <w:tc>
                <w:tcPr>
                  <w:tcW w:w="565" w:type="pct"/>
                  <w:noWrap w:val="0"/>
                  <w:vAlign w:val="center"/>
                </w:tcPr>
                <w:p w14:paraId="0D507636">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0</w:t>
                  </w:r>
                </w:p>
              </w:tc>
              <w:tc>
                <w:tcPr>
                  <w:tcW w:w="501" w:type="pct"/>
                  <w:noWrap w:val="0"/>
                  <w:vAlign w:val="center"/>
                </w:tcPr>
                <w:p w14:paraId="12028A1E">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0</w:t>
                  </w:r>
                </w:p>
              </w:tc>
              <w:tc>
                <w:tcPr>
                  <w:tcW w:w="513" w:type="pct"/>
                  <w:noWrap w:val="0"/>
                  <w:vAlign w:val="center"/>
                </w:tcPr>
                <w:p w14:paraId="6FEF162B">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0</w:t>
                  </w:r>
                </w:p>
              </w:tc>
              <w:tc>
                <w:tcPr>
                  <w:tcW w:w="425" w:type="pct"/>
                  <w:noWrap w:val="0"/>
                  <w:vAlign w:val="center"/>
                </w:tcPr>
                <w:p w14:paraId="046B25FC">
                  <w:pPr>
                    <w:pStyle w:val="906"/>
                    <w:spacing w:line="240" w:lineRule="auto"/>
                    <w:rPr>
                      <w:rFonts w:hint="default" w:ascii="Times New Roman" w:hAnsi="Times New Roman" w:eastAsia="宋体" w:cs="Times New Roman"/>
                      <w:color w:val="auto"/>
                      <w:lang w:val="en-US" w:eastAsia="zh-CN"/>
                    </w:rPr>
                  </w:pPr>
                  <w:r>
                    <w:rPr>
                      <w:rFonts w:hint="eastAsia" w:cs="Times New Roman"/>
                      <w:color w:val="auto"/>
                      <w:lang w:val="en-US" w:eastAsia="zh-CN"/>
                    </w:rPr>
                    <w:t>是</w:t>
                  </w:r>
                </w:p>
              </w:tc>
            </w:tr>
          </w:tbl>
          <w:p w14:paraId="62001B12">
            <w:pPr>
              <w:ind w:firstLine="480" w:firstLineChars="200"/>
              <w:rPr>
                <w:rFonts w:hint="eastAsia" w:eastAsia="宋体"/>
                <w:color w:val="auto"/>
                <w:lang w:eastAsia="zh-CN"/>
              </w:rPr>
            </w:pPr>
            <w:r>
              <w:rPr>
                <w:rFonts w:hint="eastAsia"/>
                <w:color w:val="auto"/>
              </w:rPr>
              <w:t>从以上结果分析可以看出，评价区域内监测点TSP</w:t>
            </w:r>
            <w:r>
              <w:rPr>
                <w:rFonts w:hint="eastAsia"/>
                <w:color w:val="auto"/>
                <w:lang w:eastAsia="zh-CN"/>
              </w:rPr>
              <w:t>、</w:t>
            </w:r>
            <w:r>
              <w:rPr>
                <w:rFonts w:hint="eastAsia"/>
                <w:color w:val="auto"/>
                <w:lang w:val="en-US" w:eastAsia="zh-CN"/>
              </w:rPr>
              <w:t>氟化物</w:t>
            </w:r>
            <w:r>
              <w:rPr>
                <w:rFonts w:hint="eastAsia"/>
                <w:color w:val="auto"/>
              </w:rPr>
              <w:t>浓度符合《环境空气质量标准》（GB3095-2012）附录A中表A1中二级标准限值要求</w:t>
            </w:r>
            <w:r>
              <w:rPr>
                <w:rFonts w:hint="eastAsia"/>
                <w:color w:val="auto"/>
                <w:lang w:eastAsia="zh-CN"/>
              </w:rPr>
              <w:t>。</w:t>
            </w:r>
          </w:p>
          <w:bookmarkEnd w:id="57"/>
          <w:p w14:paraId="5E702355">
            <w:pPr>
              <w:rPr>
                <w:b/>
                <w:color w:val="auto"/>
                <w:szCs w:val="24"/>
              </w:rPr>
            </w:pPr>
            <w:r>
              <w:rPr>
                <w:b/>
                <w:color w:val="auto"/>
                <w:szCs w:val="24"/>
              </w:rPr>
              <w:t>2</w:t>
            </w:r>
            <w:r>
              <w:rPr>
                <w:rFonts w:hint="eastAsia"/>
                <w:b/>
                <w:color w:val="auto"/>
                <w:szCs w:val="24"/>
              </w:rPr>
              <w:t>、</w:t>
            </w:r>
            <w:r>
              <w:rPr>
                <w:b/>
                <w:color w:val="auto"/>
                <w:szCs w:val="24"/>
              </w:rPr>
              <w:t>地表水环境质量现状</w:t>
            </w:r>
          </w:p>
          <w:p w14:paraId="7E426986">
            <w:pPr>
              <w:ind w:firstLine="480" w:firstLineChars="200"/>
              <w:rPr>
                <w:rFonts w:hint="eastAsia"/>
                <w:color w:val="auto"/>
                <w:szCs w:val="24"/>
              </w:rPr>
            </w:pPr>
            <w:r>
              <w:rPr>
                <w:rFonts w:hint="eastAsia"/>
                <w:color w:val="auto"/>
                <w:szCs w:val="24"/>
              </w:rPr>
              <w:t>项目附近水体有九华河和长江（池州段）。</w:t>
            </w:r>
          </w:p>
          <w:p w14:paraId="03F1EEC1">
            <w:pPr>
              <w:ind w:firstLine="480" w:firstLineChars="200"/>
              <w:rPr>
                <w:rFonts w:hint="eastAsia"/>
                <w:color w:val="auto"/>
                <w:szCs w:val="24"/>
              </w:rPr>
            </w:pPr>
            <w:r>
              <w:rPr>
                <w:rFonts w:hint="eastAsia"/>
                <w:color w:val="auto"/>
                <w:szCs w:val="24"/>
              </w:rPr>
              <w:t>根据《环境影响评价技术导则-地面水环境》（HJ/T2.3-2018）“6.6.3 水环境质量现状调查：应优先采用国务院生态环境保护主管部门统一发布的水环境状况信息。</w:t>
            </w:r>
          </w:p>
          <w:p w14:paraId="4C450B98">
            <w:pPr>
              <w:ind w:firstLine="480" w:firstLineChars="200"/>
              <w:rPr>
                <w:bCs/>
                <w:color w:val="auto"/>
                <w:szCs w:val="24"/>
              </w:rPr>
            </w:pPr>
            <w:r>
              <w:rPr>
                <w:rFonts w:hint="eastAsia"/>
                <w:color w:val="auto"/>
                <w:szCs w:val="24"/>
              </w:rPr>
              <w:t>根据《202</w:t>
            </w:r>
            <w:r>
              <w:rPr>
                <w:rFonts w:hint="eastAsia"/>
                <w:color w:val="auto"/>
                <w:szCs w:val="24"/>
                <w:lang w:val="en-US" w:eastAsia="zh-CN"/>
              </w:rPr>
              <w:t>4</w:t>
            </w:r>
            <w:r>
              <w:rPr>
                <w:rFonts w:hint="eastAsia"/>
                <w:color w:val="auto"/>
                <w:szCs w:val="24"/>
              </w:rPr>
              <w:t>年池州市生态环境状况公报》，按照《地表水环境质量标准》（GB 3838—2002）和《地表水环境质量评价办法（试行）》（2011年3月）进行评价，2024年全市长江（池州段）、秋浦河、青通河等湖库共计25个国省控考核监测断面（点位），其中达到Ⅰ类水的断面（点位）有3个，占12%；达到Ⅱ类水的断面（点位）有17个，占68%；达到Ⅲ类水的断面（点位）有5个，占20%</w:t>
            </w:r>
            <w:r>
              <w:rPr>
                <w:rFonts w:hint="eastAsia"/>
                <w:color w:val="auto"/>
              </w:rPr>
              <w:t>。</w:t>
            </w:r>
          </w:p>
          <w:p w14:paraId="019BF0BF">
            <w:pPr>
              <w:pStyle w:val="29"/>
              <w:jc w:val="both"/>
              <w:rPr>
                <w:b/>
                <w:bCs/>
                <w:color w:val="auto"/>
                <w:sz w:val="24"/>
                <w:szCs w:val="24"/>
              </w:rPr>
            </w:pPr>
            <w:r>
              <w:rPr>
                <w:b/>
                <w:bCs/>
                <w:color w:val="auto"/>
                <w:sz w:val="24"/>
                <w:szCs w:val="24"/>
              </w:rPr>
              <w:t>3</w:t>
            </w:r>
            <w:r>
              <w:rPr>
                <w:rFonts w:hint="eastAsia"/>
                <w:b/>
                <w:bCs/>
                <w:color w:val="auto"/>
                <w:sz w:val="24"/>
                <w:szCs w:val="24"/>
              </w:rPr>
              <w:t>、声环境</w:t>
            </w:r>
          </w:p>
          <w:p w14:paraId="7052CD28">
            <w:pPr>
              <w:pStyle w:val="29"/>
              <w:ind w:firstLine="480" w:firstLineChars="200"/>
              <w:jc w:val="both"/>
              <w:rPr>
                <w:color w:val="auto"/>
                <w:sz w:val="24"/>
                <w:szCs w:val="24"/>
              </w:rPr>
            </w:pPr>
            <w:r>
              <w:rPr>
                <w:rFonts w:hint="eastAsia"/>
                <w:color w:val="auto"/>
                <w:sz w:val="24"/>
                <w:szCs w:val="24"/>
              </w:rPr>
              <w:t>本项目厂界外周围5</w:t>
            </w:r>
            <w:r>
              <w:rPr>
                <w:color w:val="auto"/>
                <w:sz w:val="24"/>
                <w:szCs w:val="24"/>
              </w:rPr>
              <w:t>0m</w:t>
            </w:r>
            <w:r>
              <w:rPr>
                <w:rFonts w:hint="eastAsia"/>
                <w:color w:val="auto"/>
                <w:sz w:val="24"/>
                <w:szCs w:val="24"/>
              </w:rPr>
              <w:t>范围内不存在声环境保护目标，不进行声环境质量现状调查与评价。</w:t>
            </w:r>
          </w:p>
          <w:p w14:paraId="55A2E19F">
            <w:pPr>
              <w:pStyle w:val="29"/>
              <w:jc w:val="both"/>
              <w:rPr>
                <w:b/>
                <w:bCs/>
                <w:color w:val="auto"/>
                <w:sz w:val="24"/>
                <w:szCs w:val="24"/>
              </w:rPr>
            </w:pPr>
            <w:r>
              <w:rPr>
                <w:b/>
                <w:bCs/>
                <w:color w:val="auto"/>
                <w:sz w:val="24"/>
                <w:szCs w:val="24"/>
              </w:rPr>
              <w:t>4</w:t>
            </w:r>
            <w:r>
              <w:rPr>
                <w:rFonts w:hint="eastAsia"/>
                <w:b/>
                <w:bCs/>
                <w:color w:val="auto"/>
                <w:sz w:val="24"/>
                <w:szCs w:val="24"/>
              </w:rPr>
              <w:t>、生态环境</w:t>
            </w:r>
          </w:p>
          <w:p w14:paraId="2849A1E6">
            <w:pPr>
              <w:pStyle w:val="29"/>
              <w:ind w:firstLine="480" w:firstLineChars="200"/>
              <w:jc w:val="both"/>
              <w:rPr>
                <w:color w:val="auto"/>
                <w:sz w:val="24"/>
                <w:szCs w:val="24"/>
              </w:rPr>
            </w:pPr>
            <w:r>
              <w:rPr>
                <w:rFonts w:hint="eastAsia"/>
                <w:color w:val="auto"/>
                <w:sz w:val="24"/>
                <w:szCs w:val="24"/>
              </w:rPr>
              <w:t>本项目无新增用地，用地范围内无生态环境保护目标，不进行生态现状调查。</w:t>
            </w:r>
          </w:p>
          <w:p w14:paraId="038DEC70">
            <w:pPr>
              <w:pStyle w:val="29"/>
              <w:jc w:val="both"/>
              <w:rPr>
                <w:b/>
                <w:bCs/>
                <w:color w:val="auto"/>
                <w:sz w:val="24"/>
                <w:szCs w:val="24"/>
              </w:rPr>
            </w:pPr>
            <w:r>
              <w:rPr>
                <w:rFonts w:hint="eastAsia"/>
                <w:b/>
                <w:bCs/>
                <w:color w:val="auto"/>
                <w:sz w:val="24"/>
                <w:szCs w:val="24"/>
              </w:rPr>
              <w:t>5、电磁辐射</w:t>
            </w:r>
          </w:p>
          <w:p w14:paraId="6D62E085">
            <w:pPr>
              <w:pStyle w:val="29"/>
              <w:ind w:firstLine="480" w:firstLineChars="200"/>
              <w:jc w:val="both"/>
              <w:rPr>
                <w:color w:val="auto"/>
                <w:sz w:val="24"/>
                <w:szCs w:val="24"/>
              </w:rPr>
            </w:pPr>
            <w:r>
              <w:rPr>
                <w:rFonts w:hint="eastAsia"/>
                <w:color w:val="auto"/>
                <w:sz w:val="24"/>
                <w:szCs w:val="24"/>
              </w:rPr>
              <w:t>本项目不属于电磁辐射类项目，不开展电磁辐射现状开展监测与评价。</w:t>
            </w:r>
          </w:p>
          <w:p w14:paraId="703036FB">
            <w:pPr>
              <w:pStyle w:val="29"/>
              <w:jc w:val="both"/>
              <w:rPr>
                <w:b/>
                <w:bCs/>
                <w:color w:val="auto"/>
                <w:sz w:val="24"/>
                <w:szCs w:val="24"/>
              </w:rPr>
            </w:pPr>
            <w:r>
              <w:rPr>
                <w:rFonts w:hint="eastAsia"/>
                <w:b/>
                <w:bCs/>
                <w:color w:val="auto"/>
                <w:sz w:val="24"/>
                <w:szCs w:val="24"/>
              </w:rPr>
              <w:t>6、地下水、土壤环境</w:t>
            </w:r>
          </w:p>
          <w:p w14:paraId="3C23B188">
            <w:pPr>
              <w:autoSpaceDE w:val="0"/>
              <w:autoSpaceDN w:val="0"/>
              <w:adjustRightInd w:val="0"/>
              <w:ind w:firstLine="480" w:firstLineChars="200"/>
              <w:rPr>
                <w:color w:val="auto"/>
                <w:szCs w:val="24"/>
              </w:rPr>
            </w:pPr>
            <w:r>
              <w:rPr>
                <w:rFonts w:hint="eastAsia"/>
                <w:color w:val="auto"/>
                <w:szCs w:val="24"/>
              </w:rPr>
              <w:t>根据《建设项目环境影响报告表编制技术指南（污染影响类）（试行）》，建设项目存在土壤、地下水环境污染途径的，应结合污染源、保护目标分布情况开展现状调查以留作背景值。</w:t>
            </w:r>
          </w:p>
          <w:p w14:paraId="168E4181">
            <w:pPr>
              <w:autoSpaceDE w:val="0"/>
              <w:autoSpaceDN w:val="0"/>
              <w:adjustRightInd w:val="0"/>
              <w:ind w:firstLine="480" w:firstLineChars="200"/>
              <w:rPr>
                <w:rFonts w:hint="eastAsia"/>
                <w:color w:val="auto"/>
                <w:szCs w:val="24"/>
                <w:lang w:val="en-US" w:eastAsia="zh-CN"/>
              </w:rPr>
            </w:pPr>
            <w:r>
              <w:rPr>
                <w:rFonts w:hint="eastAsia"/>
                <w:color w:val="auto"/>
                <w:szCs w:val="24"/>
              </w:rPr>
              <w:t>本项目通过现有厂房实施，厂房内现状已进行地面硬化，正常情况下不会存在土壤、地下水环境污染途径，不再进行地下水和土壤环境现状调查。</w:t>
            </w:r>
            <w:r>
              <w:rPr>
                <w:rFonts w:hint="eastAsia"/>
                <w:color w:val="auto"/>
                <w:szCs w:val="24"/>
                <w:lang w:val="en-US" w:eastAsia="zh-CN"/>
              </w:rPr>
              <w:t>厂区照片如下：</w:t>
            </w:r>
          </w:p>
          <w:tbl>
            <w:tblPr>
              <w:tblStyle w:val="7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A2E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35" w:type="dxa"/>
                  <w:vAlign w:val="center"/>
                </w:tcPr>
                <w:p w14:paraId="749ADBC3">
                  <w:pPr>
                    <w:widowControl/>
                    <w:spacing w:line="240" w:lineRule="auto"/>
                    <w:jc w:val="center"/>
                    <w:textAlignment w:val="center"/>
                    <w:rPr>
                      <w:rFonts w:hint="eastAsia" w:eastAsia="宋体" w:cs="宋体"/>
                      <w:color w:val="auto"/>
                      <w:sz w:val="18"/>
                      <w:lang w:eastAsia="zh-CN"/>
                    </w:rPr>
                  </w:pPr>
                  <w:r>
                    <w:rPr>
                      <w:rFonts w:hint="eastAsia" w:eastAsia="宋体" w:cs="宋体"/>
                      <w:color w:val="auto"/>
                      <w:sz w:val="18"/>
                      <w:lang w:eastAsia="zh-CN"/>
                    </w:rPr>
                    <w:drawing>
                      <wp:inline distT="0" distB="0" distL="114300" distR="114300">
                        <wp:extent cx="2729865" cy="2046605"/>
                        <wp:effectExtent l="0" t="0" r="13335" b="10795"/>
                        <wp:docPr id="15" name="图片 15" descr="ff82dd5093af1c50ef63529048db8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ff82dd5093af1c50ef63529048db8d2"/>
                                <pic:cNvPicPr>
                                  <a:picLocks noChangeAspect="1"/>
                                </pic:cNvPicPr>
                              </pic:nvPicPr>
                              <pic:blipFill>
                                <a:blip r:embed="rId32"/>
                                <a:stretch>
                                  <a:fillRect/>
                                </a:stretch>
                              </pic:blipFill>
                              <pic:spPr>
                                <a:xfrm>
                                  <a:off x="0" y="0"/>
                                  <a:ext cx="2729865" cy="2046605"/>
                                </a:xfrm>
                                <a:prstGeom prst="rect">
                                  <a:avLst/>
                                </a:prstGeom>
                              </pic:spPr>
                            </pic:pic>
                          </a:graphicData>
                        </a:graphic>
                      </wp:inline>
                    </w:drawing>
                  </w:r>
                </w:p>
              </w:tc>
              <w:tc>
                <w:tcPr>
                  <w:tcW w:w="4535" w:type="dxa"/>
                  <w:vAlign w:val="center"/>
                </w:tcPr>
                <w:p w14:paraId="3A4CE3A7">
                  <w:pPr>
                    <w:widowControl/>
                    <w:spacing w:line="240" w:lineRule="auto"/>
                    <w:jc w:val="center"/>
                    <w:textAlignment w:val="center"/>
                    <w:rPr>
                      <w:rFonts w:hint="eastAsia" w:eastAsia="宋体" w:cs="宋体"/>
                      <w:color w:val="auto"/>
                      <w:sz w:val="18"/>
                      <w:lang w:eastAsia="zh-CN"/>
                    </w:rPr>
                  </w:pPr>
                  <w:r>
                    <w:rPr>
                      <w:rFonts w:hint="eastAsia" w:eastAsia="宋体" w:cs="宋体"/>
                      <w:color w:val="auto"/>
                      <w:sz w:val="18"/>
                      <w:lang w:eastAsia="zh-CN"/>
                    </w:rPr>
                    <w:drawing>
                      <wp:inline distT="0" distB="0" distL="114300" distR="114300">
                        <wp:extent cx="2729865" cy="2046605"/>
                        <wp:effectExtent l="0" t="0" r="13335" b="10795"/>
                        <wp:docPr id="18" name="图片 18" descr="29910dd807fdf88327de62a3b256c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9910dd807fdf88327de62a3b256c9a"/>
                                <pic:cNvPicPr>
                                  <a:picLocks noChangeAspect="1"/>
                                </pic:cNvPicPr>
                              </pic:nvPicPr>
                              <pic:blipFill>
                                <a:blip r:embed="rId33"/>
                                <a:stretch>
                                  <a:fillRect/>
                                </a:stretch>
                              </pic:blipFill>
                              <pic:spPr>
                                <a:xfrm>
                                  <a:off x="0" y="0"/>
                                  <a:ext cx="2729865" cy="2046605"/>
                                </a:xfrm>
                                <a:prstGeom prst="rect">
                                  <a:avLst/>
                                </a:prstGeom>
                              </pic:spPr>
                            </pic:pic>
                          </a:graphicData>
                        </a:graphic>
                      </wp:inline>
                    </w:drawing>
                  </w:r>
                </w:p>
              </w:tc>
            </w:tr>
            <w:tr w14:paraId="1BA7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5" w:type="dxa"/>
                  <w:vAlign w:val="center"/>
                </w:tcPr>
                <w:p w14:paraId="322FF255">
                  <w:pPr>
                    <w:widowControl/>
                    <w:spacing w:line="240" w:lineRule="auto"/>
                    <w:jc w:val="center"/>
                    <w:textAlignment w:val="center"/>
                    <w:rPr>
                      <w:rFonts w:hint="default" w:eastAsia="宋体" w:cs="宋体"/>
                      <w:color w:val="auto"/>
                      <w:sz w:val="18"/>
                      <w:lang w:val="en-US" w:eastAsia="zh-CN"/>
                    </w:rPr>
                  </w:pPr>
                  <w:r>
                    <w:rPr>
                      <w:rFonts w:hint="eastAsia" w:cs="宋体"/>
                      <w:color w:val="auto"/>
                      <w:sz w:val="18"/>
                      <w:lang w:val="en-US" w:eastAsia="zh-CN"/>
                    </w:rPr>
                    <w:t>厂房内部（本项目区域）</w:t>
                  </w:r>
                </w:p>
              </w:tc>
              <w:tc>
                <w:tcPr>
                  <w:tcW w:w="4535" w:type="dxa"/>
                  <w:vAlign w:val="center"/>
                </w:tcPr>
                <w:p w14:paraId="6110953F">
                  <w:pPr>
                    <w:widowControl/>
                    <w:spacing w:line="240" w:lineRule="auto"/>
                    <w:jc w:val="center"/>
                    <w:textAlignment w:val="center"/>
                    <w:rPr>
                      <w:rFonts w:hint="default" w:eastAsia="宋体" w:cs="宋体"/>
                      <w:color w:val="auto"/>
                      <w:sz w:val="18"/>
                      <w:lang w:val="en-US" w:eastAsia="zh-CN"/>
                    </w:rPr>
                  </w:pPr>
                  <w:r>
                    <w:rPr>
                      <w:rFonts w:hint="eastAsia" w:cs="宋体"/>
                      <w:color w:val="auto"/>
                      <w:sz w:val="18"/>
                      <w:lang w:val="en-US" w:eastAsia="zh-CN"/>
                    </w:rPr>
                    <w:t>厂房内部（本项目区域）</w:t>
                  </w:r>
                </w:p>
              </w:tc>
            </w:tr>
          </w:tbl>
          <w:p w14:paraId="79703772">
            <w:pPr>
              <w:pStyle w:val="85"/>
              <w:rPr>
                <w:rFonts w:hint="default"/>
                <w:color w:val="auto"/>
                <w:lang w:val="en-US" w:eastAsia="zh-CN"/>
              </w:rPr>
            </w:pPr>
          </w:p>
        </w:tc>
      </w:tr>
      <w:tr w14:paraId="416A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4" w:hRule="atLeast"/>
        </w:trPr>
        <w:tc>
          <w:tcPr>
            <w:tcW w:w="298" w:type="pct"/>
            <w:vAlign w:val="center"/>
          </w:tcPr>
          <w:p w14:paraId="05ED69FB">
            <w:pPr>
              <w:jc w:val="center"/>
              <w:rPr>
                <w:bCs/>
                <w:color w:val="auto"/>
                <w:szCs w:val="24"/>
              </w:rPr>
            </w:pPr>
            <w:r>
              <w:rPr>
                <w:rFonts w:hint="eastAsia"/>
                <w:color w:val="auto"/>
                <w:szCs w:val="24"/>
              </w:rPr>
              <w:t>环境保护目标</w:t>
            </w:r>
          </w:p>
        </w:tc>
        <w:tc>
          <w:tcPr>
            <w:tcW w:w="4702" w:type="pct"/>
          </w:tcPr>
          <w:p w14:paraId="1BFDCA96">
            <w:pPr>
              <w:ind w:firstLine="480" w:firstLineChars="200"/>
              <w:rPr>
                <w:color w:val="auto"/>
              </w:rPr>
            </w:pPr>
            <w:r>
              <w:rPr>
                <w:rFonts w:hint="eastAsia"/>
                <w:color w:val="auto"/>
              </w:rPr>
              <w:t>本项目位于</w:t>
            </w:r>
            <w:r>
              <w:rPr>
                <w:rFonts w:hint="eastAsia"/>
                <w:color w:val="auto"/>
                <w:szCs w:val="24"/>
                <w:lang w:val="en-US" w:eastAsia="zh-CN"/>
              </w:rPr>
              <w:t>池州市</w:t>
            </w:r>
            <w:r>
              <w:rPr>
                <w:rFonts w:hint="eastAsia"/>
                <w:color w:val="auto"/>
                <w:szCs w:val="24"/>
              </w:rPr>
              <w:t>皖江江南新兴产业集中区安安产业园</w:t>
            </w:r>
            <w:r>
              <w:rPr>
                <w:rFonts w:hint="eastAsia"/>
                <w:color w:val="auto"/>
              </w:rPr>
              <w:t>。建设项目附近无自然保护区、</w:t>
            </w:r>
            <w:r>
              <w:rPr>
                <w:rFonts w:hint="eastAsia"/>
                <w:color w:val="auto"/>
                <w:lang w:val="en-US" w:eastAsia="zh-CN"/>
              </w:rPr>
              <w:t>饮用水水源地、</w:t>
            </w:r>
            <w:r>
              <w:rPr>
                <w:rFonts w:hint="eastAsia"/>
                <w:color w:val="auto"/>
              </w:rPr>
              <w:t>风景旅游点和文物古迹等需要特殊保护的环境敏感对象。总体上不因本项目的实施而改变区域环境现有功能，根据现场踏勘及建设项目周边情况，确定建设</w:t>
            </w:r>
            <w:r>
              <w:rPr>
                <w:rFonts w:hint="eastAsia"/>
                <w:color w:val="auto"/>
                <w:lang w:eastAsia="zh-CN"/>
              </w:rPr>
              <w:t>项目环境保护目标，</w:t>
            </w:r>
            <w:r>
              <w:rPr>
                <w:rFonts w:hint="eastAsia"/>
                <w:color w:val="auto"/>
                <w:lang w:val="en-US" w:eastAsia="zh-CN"/>
              </w:rPr>
              <w:t>详细分布图见附图8，</w:t>
            </w:r>
            <w:r>
              <w:rPr>
                <w:rFonts w:hint="eastAsia"/>
                <w:color w:val="auto"/>
              </w:rPr>
              <w:t>具体环境保护目标如下</w:t>
            </w:r>
            <w:r>
              <w:rPr>
                <w:rFonts w:hint="eastAsia"/>
                <w:color w:val="auto"/>
                <w:lang w:val="en-US" w:eastAsia="zh-CN"/>
              </w:rPr>
              <w:t>表。</w:t>
            </w:r>
          </w:p>
          <w:p w14:paraId="3D9A2972">
            <w:pPr>
              <w:jc w:val="center"/>
              <w:rPr>
                <w:rFonts w:eastAsia="黑体"/>
                <w:color w:val="auto"/>
                <w:kern w:val="0"/>
                <w:szCs w:val="18"/>
              </w:rPr>
            </w:pPr>
            <w:r>
              <w:rPr>
                <w:rFonts w:hint="eastAsia" w:eastAsia="黑体"/>
                <w:color w:val="auto"/>
                <w:kern w:val="0"/>
                <w:szCs w:val="18"/>
              </w:rPr>
              <w:t>表3-</w:t>
            </w:r>
            <w:r>
              <w:rPr>
                <w:rFonts w:hint="eastAsia" w:eastAsia="黑体"/>
                <w:color w:val="auto"/>
                <w:kern w:val="0"/>
                <w:szCs w:val="18"/>
                <w:lang w:val="en-US" w:eastAsia="zh-CN"/>
              </w:rPr>
              <w:t>3</w:t>
            </w:r>
            <w:r>
              <w:rPr>
                <w:rFonts w:hint="eastAsia" w:eastAsia="黑体"/>
                <w:color w:val="auto"/>
                <w:kern w:val="0"/>
                <w:szCs w:val="18"/>
              </w:rPr>
              <w:t xml:space="preserve">  项目环境保护目标</w:t>
            </w:r>
          </w:p>
          <w:tbl>
            <w:tblPr>
              <w:tblStyle w:val="69"/>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403"/>
              <w:gridCol w:w="1476"/>
              <w:gridCol w:w="959"/>
              <w:gridCol w:w="945"/>
              <w:gridCol w:w="617"/>
              <w:gridCol w:w="1590"/>
              <w:gridCol w:w="1246"/>
              <w:gridCol w:w="809"/>
            </w:tblGrid>
            <w:tr w14:paraId="699C2C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776" w:type="pct"/>
                  <w:tcBorders>
                    <w:tl2br w:val="nil"/>
                    <w:tr2bl w:val="nil"/>
                  </w:tcBorders>
                  <w:vAlign w:val="center"/>
                </w:tcPr>
                <w:p w14:paraId="7C311FF6">
                  <w:pPr>
                    <w:pStyle w:val="906"/>
                    <w:spacing w:line="240" w:lineRule="auto"/>
                    <w:rPr>
                      <w:color w:val="auto"/>
                    </w:rPr>
                  </w:pPr>
                  <w:r>
                    <w:rPr>
                      <w:color w:val="auto"/>
                    </w:rPr>
                    <w:t>环境</w:t>
                  </w:r>
                </w:p>
              </w:tc>
              <w:tc>
                <w:tcPr>
                  <w:tcW w:w="816" w:type="pct"/>
                  <w:tcBorders>
                    <w:tl2br w:val="nil"/>
                    <w:tr2bl w:val="nil"/>
                  </w:tcBorders>
                  <w:vAlign w:val="center"/>
                </w:tcPr>
                <w:p w14:paraId="242D078F">
                  <w:pPr>
                    <w:pStyle w:val="906"/>
                    <w:spacing w:line="240" w:lineRule="auto"/>
                    <w:rPr>
                      <w:color w:val="auto"/>
                    </w:rPr>
                  </w:pPr>
                  <w:r>
                    <w:rPr>
                      <w:color w:val="auto"/>
                    </w:rPr>
                    <w:t>环境保护</w:t>
                  </w:r>
                  <w:r>
                    <w:rPr>
                      <w:rFonts w:hint="eastAsia"/>
                      <w:color w:val="auto"/>
                    </w:rPr>
                    <w:t>名称</w:t>
                  </w:r>
                </w:p>
              </w:tc>
              <w:tc>
                <w:tcPr>
                  <w:tcW w:w="530" w:type="pct"/>
                  <w:tcBorders>
                    <w:tl2br w:val="nil"/>
                    <w:tr2bl w:val="nil"/>
                  </w:tcBorders>
                  <w:vAlign w:val="center"/>
                </w:tcPr>
                <w:p w14:paraId="7C63220F">
                  <w:pPr>
                    <w:pStyle w:val="906"/>
                    <w:spacing w:line="240" w:lineRule="auto"/>
                    <w:rPr>
                      <w:color w:val="auto"/>
                    </w:rPr>
                  </w:pPr>
                  <w:r>
                    <w:rPr>
                      <w:rFonts w:hint="eastAsia"/>
                      <w:color w:val="auto"/>
                    </w:rPr>
                    <w:t>对象</w:t>
                  </w:r>
                </w:p>
              </w:tc>
              <w:tc>
                <w:tcPr>
                  <w:tcW w:w="522" w:type="pct"/>
                  <w:tcBorders>
                    <w:tl2br w:val="nil"/>
                    <w:tr2bl w:val="nil"/>
                  </w:tcBorders>
                  <w:vAlign w:val="center"/>
                </w:tcPr>
                <w:p w14:paraId="1887BFC4">
                  <w:pPr>
                    <w:pStyle w:val="906"/>
                    <w:spacing w:line="240" w:lineRule="auto"/>
                    <w:rPr>
                      <w:color w:val="auto"/>
                    </w:rPr>
                  </w:pPr>
                  <w:r>
                    <w:rPr>
                      <w:rFonts w:hint="eastAsia"/>
                      <w:color w:val="auto"/>
                    </w:rPr>
                    <w:t>人数</w:t>
                  </w:r>
                </w:p>
              </w:tc>
              <w:tc>
                <w:tcPr>
                  <w:tcW w:w="341" w:type="pct"/>
                  <w:tcBorders>
                    <w:tl2br w:val="nil"/>
                    <w:tr2bl w:val="nil"/>
                  </w:tcBorders>
                  <w:vAlign w:val="center"/>
                </w:tcPr>
                <w:p w14:paraId="420FEDAC">
                  <w:pPr>
                    <w:pStyle w:val="906"/>
                    <w:spacing w:line="240" w:lineRule="auto"/>
                    <w:rPr>
                      <w:color w:val="auto"/>
                    </w:rPr>
                  </w:pPr>
                  <w:r>
                    <w:rPr>
                      <w:color w:val="auto"/>
                    </w:rPr>
                    <w:t>方位</w:t>
                  </w:r>
                </w:p>
              </w:tc>
              <w:tc>
                <w:tcPr>
                  <w:tcW w:w="879" w:type="pct"/>
                  <w:tcBorders>
                    <w:tl2br w:val="nil"/>
                    <w:tr2bl w:val="nil"/>
                  </w:tcBorders>
                  <w:vAlign w:val="center"/>
                </w:tcPr>
                <w:p w14:paraId="29F1CCF0">
                  <w:pPr>
                    <w:pStyle w:val="906"/>
                    <w:spacing w:line="240" w:lineRule="auto"/>
                    <w:rPr>
                      <w:color w:val="auto"/>
                    </w:rPr>
                  </w:pPr>
                  <w:r>
                    <w:rPr>
                      <w:rFonts w:hint="eastAsia"/>
                      <w:color w:val="auto"/>
                    </w:rPr>
                    <w:t>经纬度</w:t>
                  </w:r>
                </w:p>
              </w:tc>
              <w:tc>
                <w:tcPr>
                  <w:tcW w:w="688" w:type="pct"/>
                  <w:tcBorders>
                    <w:tl2br w:val="nil"/>
                    <w:tr2bl w:val="nil"/>
                  </w:tcBorders>
                  <w:vAlign w:val="center"/>
                </w:tcPr>
                <w:p w14:paraId="0A8E2C1A">
                  <w:pPr>
                    <w:pStyle w:val="906"/>
                    <w:spacing w:line="240" w:lineRule="auto"/>
                    <w:rPr>
                      <w:color w:val="auto"/>
                    </w:rPr>
                  </w:pPr>
                  <w:r>
                    <w:rPr>
                      <w:color w:val="auto"/>
                    </w:rPr>
                    <w:t>环境功能区</w:t>
                  </w:r>
                </w:p>
              </w:tc>
              <w:tc>
                <w:tcPr>
                  <w:tcW w:w="444" w:type="pct"/>
                  <w:tcBorders>
                    <w:tl2br w:val="nil"/>
                    <w:tr2bl w:val="nil"/>
                  </w:tcBorders>
                  <w:vAlign w:val="center"/>
                </w:tcPr>
                <w:p w14:paraId="363EA9FC">
                  <w:pPr>
                    <w:pStyle w:val="906"/>
                    <w:spacing w:line="240" w:lineRule="auto"/>
                    <w:rPr>
                      <w:color w:val="auto"/>
                    </w:rPr>
                  </w:pPr>
                  <w:r>
                    <w:rPr>
                      <w:color w:val="auto"/>
                    </w:rPr>
                    <w:t>距离（m）</w:t>
                  </w:r>
                </w:p>
              </w:tc>
            </w:tr>
            <w:tr w14:paraId="7B5F2B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776" w:type="pct"/>
                  <w:tcBorders>
                    <w:tl2br w:val="nil"/>
                    <w:tr2bl w:val="nil"/>
                  </w:tcBorders>
                  <w:vAlign w:val="center"/>
                </w:tcPr>
                <w:p w14:paraId="07ADCAE8">
                  <w:pPr>
                    <w:pStyle w:val="906"/>
                    <w:spacing w:line="240" w:lineRule="auto"/>
                    <w:rPr>
                      <w:color w:val="auto"/>
                    </w:rPr>
                  </w:pPr>
                  <w:r>
                    <w:rPr>
                      <w:color w:val="auto"/>
                    </w:rPr>
                    <w:t>大气环境</w:t>
                  </w:r>
                </w:p>
              </w:tc>
              <w:tc>
                <w:tcPr>
                  <w:tcW w:w="816" w:type="pct"/>
                  <w:tcBorders>
                    <w:tl2br w:val="nil"/>
                    <w:tr2bl w:val="nil"/>
                  </w:tcBorders>
                  <w:vAlign w:val="center"/>
                </w:tcPr>
                <w:p w14:paraId="3E298134">
                  <w:pPr>
                    <w:pStyle w:val="906"/>
                    <w:spacing w:line="240" w:lineRule="auto"/>
                    <w:rPr>
                      <w:color w:val="auto"/>
                    </w:rPr>
                  </w:pPr>
                  <w:r>
                    <w:rPr>
                      <w:rFonts w:hint="eastAsia"/>
                      <w:color w:val="auto"/>
                    </w:rPr>
                    <w:t>园区宿舍（西料）</w:t>
                  </w:r>
                </w:p>
              </w:tc>
              <w:tc>
                <w:tcPr>
                  <w:tcW w:w="530" w:type="pct"/>
                  <w:tcBorders>
                    <w:tl2br w:val="nil"/>
                    <w:tr2bl w:val="nil"/>
                  </w:tcBorders>
                  <w:vAlign w:val="center"/>
                </w:tcPr>
                <w:p w14:paraId="45EC9343">
                  <w:pPr>
                    <w:pStyle w:val="906"/>
                    <w:spacing w:line="240" w:lineRule="auto"/>
                    <w:rPr>
                      <w:rFonts w:hint="eastAsia" w:eastAsia="宋体"/>
                      <w:color w:val="auto"/>
                      <w:lang w:val="en-US" w:eastAsia="zh-CN"/>
                    </w:rPr>
                  </w:pPr>
                  <w:r>
                    <w:rPr>
                      <w:rFonts w:hint="eastAsia"/>
                      <w:color w:val="auto"/>
                      <w:lang w:val="en-US" w:eastAsia="zh-CN"/>
                    </w:rPr>
                    <w:t>居民区</w:t>
                  </w:r>
                </w:p>
              </w:tc>
              <w:tc>
                <w:tcPr>
                  <w:tcW w:w="522" w:type="pct"/>
                  <w:tcBorders>
                    <w:tl2br w:val="nil"/>
                    <w:tr2bl w:val="nil"/>
                  </w:tcBorders>
                  <w:vAlign w:val="center"/>
                </w:tcPr>
                <w:p w14:paraId="53BC9E5E">
                  <w:pPr>
                    <w:pStyle w:val="906"/>
                    <w:spacing w:line="240" w:lineRule="auto"/>
                    <w:rPr>
                      <w:rFonts w:hint="default" w:eastAsia="宋体"/>
                      <w:color w:val="auto"/>
                      <w:lang w:val="en-US" w:eastAsia="zh-CN"/>
                    </w:rPr>
                  </w:pPr>
                  <w:r>
                    <w:rPr>
                      <w:rFonts w:hint="eastAsia"/>
                      <w:color w:val="auto"/>
                      <w:lang w:val="en-US" w:eastAsia="zh-CN"/>
                    </w:rPr>
                    <w:t>500人</w:t>
                  </w:r>
                </w:p>
              </w:tc>
              <w:tc>
                <w:tcPr>
                  <w:tcW w:w="341" w:type="pct"/>
                  <w:tcBorders>
                    <w:tl2br w:val="nil"/>
                    <w:tr2bl w:val="nil"/>
                  </w:tcBorders>
                  <w:vAlign w:val="center"/>
                </w:tcPr>
                <w:p w14:paraId="4A8E0AAA">
                  <w:pPr>
                    <w:pStyle w:val="906"/>
                    <w:spacing w:line="240" w:lineRule="auto"/>
                    <w:rPr>
                      <w:rFonts w:hint="eastAsia" w:eastAsia="宋体"/>
                      <w:color w:val="auto"/>
                      <w:lang w:val="en-US" w:eastAsia="zh-CN"/>
                    </w:rPr>
                  </w:pPr>
                  <w:r>
                    <w:rPr>
                      <w:rFonts w:hint="eastAsia"/>
                      <w:color w:val="auto"/>
                      <w:lang w:val="en-US" w:eastAsia="zh-CN"/>
                    </w:rPr>
                    <w:t>东北</w:t>
                  </w:r>
                </w:p>
              </w:tc>
              <w:tc>
                <w:tcPr>
                  <w:tcW w:w="879" w:type="pct"/>
                  <w:tcBorders>
                    <w:tl2br w:val="nil"/>
                    <w:tr2bl w:val="nil"/>
                  </w:tcBorders>
                  <w:vAlign w:val="center"/>
                </w:tcPr>
                <w:p w14:paraId="579E8487">
                  <w:pPr>
                    <w:pStyle w:val="906"/>
                    <w:spacing w:line="240" w:lineRule="auto"/>
                    <w:rPr>
                      <w:rFonts w:hint="eastAsia" w:eastAsia="宋体"/>
                      <w:color w:val="auto"/>
                      <w:lang w:val="en-US" w:eastAsia="zh-CN"/>
                    </w:rPr>
                  </w:pPr>
                  <w:r>
                    <w:rPr>
                      <w:rFonts w:hint="eastAsia"/>
                      <w:color w:val="auto"/>
                    </w:rPr>
                    <w:t>117.656038</w:t>
                  </w:r>
                  <w:r>
                    <w:rPr>
                      <w:rFonts w:hint="eastAsia"/>
                      <w:color w:val="auto"/>
                      <w:lang w:val="en-US" w:eastAsia="zh-CN"/>
                    </w:rPr>
                    <w:t>°，30.724068°</w:t>
                  </w:r>
                </w:p>
              </w:tc>
              <w:tc>
                <w:tcPr>
                  <w:tcW w:w="688" w:type="pct"/>
                  <w:tcBorders>
                    <w:tl2br w:val="nil"/>
                    <w:tr2bl w:val="nil"/>
                  </w:tcBorders>
                  <w:vAlign w:val="center"/>
                </w:tcPr>
                <w:p w14:paraId="7109FBD1">
                  <w:pPr>
                    <w:pStyle w:val="906"/>
                    <w:spacing w:line="240" w:lineRule="auto"/>
                    <w:rPr>
                      <w:color w:val="auto"/>
                    </w:rPr>
                  </w:pPr>
                  <w:r>
                    <w:rPr>
                      <w:rFonts w:hint="eastAsia"/>
                      <w:color w:val="auto"/>
                    </w:rPr>
                    <w:t>GB3095-2012二级</w:t>
                  </w:r>
                </w:p>
              </w:tc>
              <w:tc>
                <w:tcPr>
                  <w:tcW w:w="444" w:type="pct"/>
                  <w:tcBorders>
                    <w:tl2br w:val="nil"/>
                    <w:tr2bl w:val="nil"/>
                  </w:tcBorders>
                  <w:vAlign w:val="center"/>
                </w:tcPr>
                <w:p w14:paraId="5B329A2F">
                  <w:pPr>
                    <w:pStyle w:val="906"/>
                    <w:spacing w:line="240" w:lineRule="auto"/>
                    <w:rPr>
                      <w:rFonts w:hint="default" w:eastAsia="宋体"/>
                      <w:color w:val="auto"/>
                      <w:lang w:val="en-US" w:eastAsia="zh-CN"/>
                    </w:rPr>
                  </w:pPr>
                  <w:r>
                    <w:rPr>
                      <w:rFonts w:hint="eastAsia"/>
                      <w:color w:val="auto"/>
                      <w:lang w:val="en-US" w:eastAsia="zh-CN"/>
                    </w:rPr>
                    <w:t>410</w:t>
                  </w:r>
                </w:p>
              </w:tc>
            </w:tr>
            <w:tr w14:paraId="64BE99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70" w:hRule="atLeast"/>
                <w:jc w:val="center"/>
              </w:trPr>
              <w:tc>
                <w:tcPr>
                  <w:tcW w:w="776" w:type="pct"/>
                  <w:tcBorders>
                    <w:tl2br w:val="nil"/>
                    <w:tr2bl w:val="nil"/>
                  </w:tcBorders>
                  <w:vAlign w:val="center"/>
                </w:tcPr>
                <w:p w14:paraId="333AD510">
                  <w:pPr>
                    <w:pStyle w:val="906"/>
                    <w:spacing w:line="240" w:lineRule="auto"/>
                    <w:rPr>
                      <w:color w:val="auto"/>
                    </w:rPr>
                  </w:pPr>
                  <w:r>
                    <w:rPr>
                      <w:color w:val="auto"/>
                    </w:rPr>
                    <w:t>声环境</w:t>
                  </w:r>
                </w:p>
              </w:tc>
              <w:tc>
                <w:tcPr>
                  <w:tcW w:w="4223" w:type="pct"/>
                  <w:gridSpan w:val="7"/>
                  <w:tcBorders>
                    <w:tl2br w:val="nil"/>
                    <w:tr2bl w:val="nil"/>
                  </w:tcBorders>
                  <w:vAlign w:val="center"/>
                </w:tcPr>
                <w:p w14:paraId="4CB4F269">
                  <w:pPr>
                    <w:pStyle w:val="906"/>
                    <w:spacing w:line="240" w:lineRule="auto"/>
                    <w:rPr>
                      <w:color w:val="auto"/>
                    </w:rPr>
                  </w:pPr>
                  <w:r>
                    <w:rPr>
                      <w:color w:val="auto"/>
                    </w:rPr>
                    <w:t>本项目厂界外50米范围内</w:t>
                  </w:r>
                  <w:r>
                    <w:rPr>
                      <w:rFonts w:hint="eastAsia"/>
                      <w:color w:val="auto"/>
                    </w:rPr>
                    <w:t>无</w:t>
                  </w:r>
                  <w:r>
                    <w:rPr>
                      <w:color w:val="auto"/>
                    </w:rPr>
                    <w:t>声环境</w:t>
                  </w:r>
                  <w:r>
                    <w:rPr>
                      <w:rFonts w:hint="eastAsia"/>
                      <w:color w:val="auto"/>
                    </w:rPr>
                    <w:t>保护</w:t>
                  </w:r>
                  <w:r>
                    <w:rPr>
                      <w:color w:val="auto"/>
                    </w:rPr>
                    <w:t>目标</w:t>
                  </w:r>
                </w:p>
              </w:tc>
            </w:tr>
            <w:tr w14:paraId="65633E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6" w:hRule="atLeast"/>
                <w:jc w:val="center"/>
              </w:trPr>
              <w:tc>
                <w:tcPr>
                  <w:tcW w:w="776" w:type="pct"/>
                  <w:tcBorders>
                    <w:tl2br w:val="nil"/>
                    <w:tr2bl w:val="nil"/>
                  </w:tcBorders>
                  <w:vAlign w:val="center"/>
                </w:tcPr>
                <w:p w14:paraId="47624A1A">
                  <w:pPr>
                    <w:pStyle w:val="906"/>
                    <w:spacing w:line="240" w:lineRule="auto"/>
                    <w:rPr>
                      <w:color w:val="auto"/>
                    </w:rPr>
                  </w:pPr>
                  <w:r>
                    <w:rPr>
                      <w:color w:val="auto"/>
                    </w:rPr>
                    <w:t>地下水</w:t>
                  </w:r>
                </w:p>
              </w:tc>
              <w:tc>
                <w:tcPr>
                  <w:tcW w:w="4223" w:type="pct"/>
                  <w:gridSpan w:val="7"/>
                  <w:tcBorders>
                    <w:tl2br w:val="nil"/>
                    <w:tr2bl w:val="nil"/>
                  </w:tcBorders>
                  <w:vAlign w:val="center"/>
                </w:tcPr>
                <w:p w14:paraId="5981CA4B">
                  <w:pPr>
                    <w:pStyle w:val="906"/>
                    <w:spacing w:line="240" w:lineRule="auto"/>
                    <w:rPr>
                      <w:color w:val="auto"/>
                    </w:rPr>
                  </w:pPr>
                  <w:r>
                    <w:rPr>
                      <w:color w:val="auto"/>
                    </w:rPr>
                    <w:t>本项目厂界外500米范围内无地下水集中式饮用水水源和热水、矿泉水、温泉等特殊地下水资源等敏感目标</w:t>
                  </w:r>
                </w:p>
              </w:tc>
            </w:tr>
            <w:tr w14:paraId="1C1ADB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776" w:type="pct"/>
                  <w:tcBorders>
                    <w:tl2br w:val="nil"/>
                    <w:tr2bl w:val="nil"/>
                  </w:tcBorders>
                  <w:vAlign w:val="center"/>
                </w:tcPr>
                <w:p w14:paraId="5AC644CD">
                  <w:pPr>
                    <w:pStyle w:val="906"/>
                    <w:spacing w:line="240" w:lineRule="auto"/>
                    <w:rPr>
                      <w:color w:val="auto"/>
                    </w:rPr>
                  </w:pPr>
                  <w:r>
                    <w:rPr>
                      <w:color w:val="auto"/>
                    </w:rPr>
                    <w:t>生态环境</w:t>
                  </w:r>
                </w:p>
              </w:tc>
              <w:tc>
                <w:tcPr>
                  <w:tcW w:w="4223" w:type="pct"/>
                  <w:gridSpan w:val="7"/>
                  <w:tcBorders>
                    <w:tl2br w:val="nil"/>
                    <w:tr2bl w:val="nil"/>
                  </w:tcBorders>
                  <w:vAlign w:val="center"/>
                </w:tcPr>
                <w:p w14:paraId="491329BA">
                  <w:pPr>
                    <w:pStyle w:val="906"/>
                    <w:spacing w:line="240" w:lineRule="auto"/>
                    <w:rPr>
                      <w:color w:val="auto"/>
                    </w:rPr>
                  </w:pPr>
                  <w:r>
                    <w:rPr>
                      <w:color w:val="auto"/>
                    </w:rPr>
                    <w:t>本项目不涉及产业园区外新增用地，不涉及生态环境保护目标</w:t>
                  </w:r>
                </w:p>
              </w:tc>
            </w:tr>
          </w:tbl>
          <w:p w14:paraId="30416204">
            <w:pPr>
              <w:pStyle w:val="29"/>
              <w:rPr>
                <w:b/>
                <w:color w:val="auto"/>
                <w:szCs w:val="24"/>
              </w:rPr>
            </w:pPr>
          </w:p>
          <w:p w14:paraId="00A5A30B">
            <w:pPr>
              <w:rPr>
                <w:color w:val="auto"/>
              </w:rPr>
            </w:pPr>
          </w:p>
        </w:tc>
      </w:tr>
    </w:tbl>
    <w:p w14:paraId="3E3AB567">
      <w:pPr>
        <w:rPr>
          <w:color w:val="auto"/>
        </w:rPr>
        <w:sectPr>
          <w:pgSz w:w="11907" w:h="16840"/>
          <w:pgMar w:top="1247" w:right="1134" w:bottom="1134" w:left="1247" w:header="680" w:footer="680" w:gutter="0"/>
          <w:cols w:space="720" w:num="1"/>
          <w:docGrid w:linePitch="326" w:charSpace="0"/>
        </w:sectPr>
      </w:pP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9286"/>
      </w:tblGrid>
      <w:tr w14:paraId="3479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34" w:type="pct"/>
            <w:vAlign w:val="center"/>
          </w:tcPr>
          <w:p w14:paraId="6EA2E7BC">
            <w:pPr>
              <w:jc w:val="center"/>
              <w:rPr>
                <w:color w:val="auto"/>
              </w:rPr>
            </w:pPr>
            <w:r>
              <w:rPr>
                <w:rFonts w:hint="eastAsia"/>
                <w:color w:val="auto"/>
              </w:rPr>
              <w:t>污染物排放控制标准</w:t>
            </w:r>
          </w:p>
        </w:tc>
        <w:tc>
          <w:tcPr>
            <w:tcW w:w="4766" w:type="pct"/>
          </w:tcPr>
          <w:p w14:paraId="06AF59C0">
            <w:pPr>
              <w:adjustRightInd w:val="0"/>
              <w:snapToGrid w:val="0"/>
              <w:rPr>
                <w:b/>
                <w:snapToGrid w:val="0"/>
                <w:color w:val="auto"/>
                <w:kern w:val="28"/>
                <w:szCs w:val="24"/>
              </w:rPr>
            </w:pPr>
            <w:r>
              <w:rPr>
                <w:b/>
                <w:snapToGrid w:val="0"/>
                <w:color w:val="auto"/>
                <w:kern w:val="28"/>
                <w:szCs w:val="24"/>
              </w:rPr>
              <w:t>1</w:t>
            </w:r>
            <w:r>
              <w:rPr>
                <w:rFonts w:hint="eastAsia"/>
                <w:b/>
                <w:snapToGrid w:val="0"/>
                <w:color w:val="auto"/>
                <w:kern w:val="28"/>
                <w:szCs w:val="24"/>
              </w:rPr>
              <w:t>、废气</w:t>
            </w:r>
          </w:p>
          <w:p w14:paraId="4ADA1D49">
            <w:pPr>
              <w:adjustRightInd w:val="0"/>
              <w:snapToGrid w:val="0"/>
              <w:ind w:firstLine="480" w:firstLineChars="200"/>
              <w:rPr>
                <w:rFonts w:hint="eastAsia"/>
                <w:b w:val="0"/>
                <w:bCs/>
                <w:color w:val="auto"/>
                <w:szCs w:val="24"/>
                <w:lang w:val="en-US" w:eastAsia="zh-CN"/>
              </w:rPr>
            </w:pPr>
            <w:r>
              <w:rPr>
                <w:rFonts w:hint="eastAsia"/>
                <w:color w:val="auto"/>
                <w:lang w:val="en-US" w:eastAsia="zh-CN"/>
              </w:rPr>
              <w:t>（1）本项目为高端铝浇铸件制造，本项目集中熔铝炉为工业炉窑，</w:t>
            </w:r>
            <w:r>
              <w:rPr>
                <w:rFonts w:hint="eastAsia"/>
                <w:color w:val="auto"/>
              </w:rPr>
              <w:t>项目</w:t>
            </w:r>
            <w:r>
              <w:rPr>
                <w:rFonts w:hint="eastAsia"/>
                <w:color w:val="auto"/>
                <w:lang w:val="en-US" w:eastAsia="zh-CN"/>
              </w:rPr>
              <w:t>熔炼废气</w:t>
            </w:r>
            <w:r>
              <w:rPr>
                <w:rFonts w:hint="eastAsia"/>
                <w:color w:val="auto"/>
              </w:rPr>
              <w:t>产生的</w:t>
            </w:r>
            <w:r>
              <w:rPr>
                <w:rFonts w:hint="eastAsia"/>
                <w:b w:val="0"/>
                <w:bCs/>
                <w:color w:val="auto"/>
                <w:szCs w:val="24"/>
              </w:rPr>
              <w:t>颗粒物排放参照执行</w:t>
            </w:r>
            <w:bookmarkStart w:id="60" w:name="OLE_LINK36"/>
            <w:r>
              <w:rPr>
                <w:rFonts w:hint="eastAsia"/>
                <w:b w:val="0"/>
                <w:bCs/>
                <w:color w:val="auto"/>
                <w:szCs w:val="24"/>
              </w:rPr>
              <w:t>《铸造工业大气污染物排放标准》（GB39726-2020）中</w:t>
            </w:r>
            <w:r>
              <w:rPr>
                <w:rFonts w:hint="eastAsia"/>
                <w:b w:val="0"/>
                <w:bCs/>
                <w:color w:val="auto"/>
                <w:szCs w:val="24"/>
                <w:lang w:val="en-US" w:eastAsia="zh-CN"/>
              </w:rPr>
              <w:t>表1</w:t>
            </w:r>
            <w:r>
              <w:rPr>
                <w:rFonts w:hint="eastAsia"/>
                <w:b w:val="0"/>
                <w:bCs/>
                <w:color w:val="auto"/>
                <w:szCs w:val="24"/>
              </w:rPr>
              <w:t>标准限值</w:t>
            </w:r>
            <w:bookmarkEnd w:id="60"/>
            <w:r>
              <w:rPr>
                <w:rFonts w:hint="eastAsia"/>
                <w:b w:val="0"/>
                <w:bCs/>
                <w:color w:val="auto"/>
                <w:szCs w:val="24"/>
              </w:rPr>
              <w:t>要求</w:t>
            </w:r>
            <w:r>
              <w:rPr>
                <w:rFonts w:hint="eastAsia"/>
                <w:b w:val="0"/>
                <w:bCs/>
                <w:color w:val="auto"/>
                <w:szCs w:val="24"/>
                <w:lang w:val="en-US" w:eastAsia="zh-CN"/>
              </w:rPr>
              <w:t>；除渣除气工段的氟化物、氯化氢执行《大气污染物综合排放标准》（GB 16297-1996）表2中标准。</w:t>
            </w:r>
          </w:p>
          <w:p w14:paraId="7B9AF781">
            <w:pPr>
              <w:adjustRightInd w:val="0"/>
              <w:snapToGrid w:val="0"/>
              <w:jc w:val="center"/>
              <w:rPr>
                <w:rFonts w:hint="eastAsia" w:ascii="黑体" w:hAnsi="黑体" w:eastAsia="黑体"/>
                <w:color w:val="auto"/>
              </w:rPr>
            </w:pPr>
            <w:r>
              <w:rPr>
                <w:rFonts w:ascii="黑体" w:hAnsi="黑体" w:eastAsia="黑体"/>
                <w:color w:val="auto"/>
              </w:rPr>
              <w:t>表</w:t>
            </w:r>
            <w:r>
              <w:rPr>
                <w:rFonts w:eastAsia="黑体"/>
                <w:color w:val="auto"/>
              </w:rPr>
              <w:t>3-</w:t>
            </w:r>
            <w:r>
              <w:rPr>
                <w:rFonts w:hint="eastAsia" w:eastAsia="黑体"/>
                <w:color w:val="auto"/>
                <w:lang w:val="en-US" w:eastAsia="zh-CN"/>
              </w:rPr>
              <w:t>4</w:t>
            </w:r>
            <w:r>
              <w:rPr>
                <w:rFonts w:ascii="黑体" w:hAnsi="黑体" w:eastAsia="黑体"/>
                <w:color w:val="auto"/>
              </w:rPr>
              <w:t xml:space="preserve"> </w:t>
            </w:r>
            <w:r>
              <w:rPr>
                <w:rFonts w:hint="eastAsia" w:ascii="黑体" w:hAnsi="黑体" w:eastAsia="黑体"/>
                <w:color w:val="auto"/>
              </w:rPr>
              <w:t xml:space="preserve"> </w:t>
            </w:r>
            <w:r>
              <w:rPr>
                <w:rFonts w:hint="eastAsia" w:ascii="黑体" w:hAnsi="黑体" w:eastAsia="黑体"/>
                <w:color w:val="auto"/>
                <w:lang w:val="en-US" w:eastAsia="zh-CN"/>
              </w:rPr>
              <w:t>有组织</w:t>
            </w:r>
            <w:r>
              <w:rPr>
                <w:rFonts w:ascii="黑体" w:hAnsi="黑体" w:eastAsia="黑体"/>
                <w:color w:val="auto"/>
              </w:rPr>
              <w:t>废</w:t>
            </w:r>
            <w:r>
              <w:rPr>
                <w:rFonts w:hint="eastAsia" w:ascii="黑体" w:hAnsi="黑体" w:eastAsia="黑体"/>
                <w:color w:val="auto"/>
              </w:rPr>
              <w:t>气</w:t>
            </w:r>
            <w:r>
              <w:rPr>
                <w:rFonts w:ascii="黑体" w:hAnsi="黑体" w:eastAsia="黑体"/>
                <w:color w:val="auto"/>
              </w:rPr>
              <w:t>排放标准限值</w:t>
            </w:r>
          </w:p>
          <w:tbl>
            <w:tblPr>
              <w:tblStyle w:val="6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4"/>
              <w:gridCol w:w="667"/>
              <w:gridCol w:w="1386"/>
              <w:gridCol w:w="1542"/>
              <w:gridCol w:w="1535"/>
              <w:gridCol w:w="2631"/>
            </w:tblGrid>
            <w:tr w14:paraId="7A44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Merge w:val="restart"/>
                  <w:shd w:val="clear" w:color="auto" w:fill="auto"/>
                  <w:noWrap/>
                  <w:vAlign w:val="center"/>
                </w:tcPr>
                <w:p w14:paraId="4F780991">
                  <w:pPr>
                    <w:spacing w:line="240" w:lineRule="auto"/>
                    <w:jc w:val="center"/>
                    <w:rPr>
                      <w:color w:val="auto"/>
                      <w:sz w:val="18"/>
                      <w:szCs w:val="18"/>
                    </w:rPr>
                  </w:pPr>
                  <w:r>
                    <w:rPr>
                      <w:rFonts w:hint="eastAsia"/>
                      <w:color w:val="auto"/>
                      <w:sz w:val="18"/>
                      <w:szCs w:val="18"/>
                    </w:rPr>
                    <w:t>污染物</w:t>
                  </w:r>
                </w:p>
              </w:tc>
              <w:tc>
                <w:tcPr>
                  <w:tcW w:w="368" w:type="pct"/>
                  <w:vMerge w:val="restart"/>
                  <w:shd w:val="clear" w:color="auto" w:fill="auto"/>
                  <w:vAlign w:val="center"/>
                </w:tcPr>
                <w:p w14:paraId="445809EE">
                  <w:pPr>
                    <w:spacing w:line="240" w:lineRule="auto"/>
                    <w:jc w:val="center"/>
                    <w:rPr>
                      <w:color w:val="auto"/>
                      <w:sz w:val="18"/>
                      <w:szCs w:val="18"/>
                    </w:rPr>
                  </w:pPr>
                  <w:r>
                    <w:rPr>
                      <w:rFonts w:hint="eastAsia"/>
                      <w:color w:val="auto"/>
                      <w:sz w:val="18"/>
                      <w:szCs w:val="18"/>
                    </w:rPr>
                    <w:t>排气筒高度</w:t>
                  </w:r>
                </w:p>
              </w:tc>
              <w:tc>
                <w:tcPr>
                  <w:tcW w:w="1616" w:type="pct"/>
                  <w:gridSpan w:val="2"/>
                  <w:shd w:val="clear" w:color="auto" w:fill="auto"/>
                  <w:vAlign w:val="center"/>
                </w:tcPr>
                <w:p w14:paraId="609A508E">
                  <w:pPr>
                    <w:spacing w:line="240" w:lineRule="auto"/>
                    <w:jc w:val="center"/>
                    <w:rPr>
                      <w:color w:val="auto"/>
                      <w:sz w:val="18"/>
                      <w:szCs w:val="18"/>
                    </w:rPr>
                  </w:pPr>
                  <w:r>
                    <w:rPr>
                      <w:rFonts w:hint="eastAsia"/>
                      <w:color w:val="auto"/>
                      <w:sz w:val="18"/>
                      <w:szCs w:val="18"/>
                    </w:rPr>
                    <w:t>最高允许排放</w:t>
                  </w:r>
                </w:p>
              </w:tc>
              <w:tc>
                <w:tcPr>
                  <w:tcW w:w="847" w:type="pct"/>
                  <w:vMerge w:val="restart"/>
                  <w:shd w:val="clear" w:color="auto" w:fill="auto"/>
                  <w:vAlign w:val="center"/>
                </w:tcPr>
                <w:p w14:paraId="1F8B6F95">
                  <w:pPr>
                    <w:spacing w:line="240" w:lineRule="auto"/>
                    <w:jc w:val="center"/>
                    <w:rPr>
                      <w:color w:val="auto"/>
                      <w:sz w:val="18"/>
                      <w:szCs w:val="18"/>
                    </w:rPr>
                  </w:pPr>
                  <w:r>
                    <w:rPr>
                      <w:rFonts w:hint="eastAsia"/>
                      <w:color w:val="auto"/>
                      <w:sz w:val="18"/>
                      <w:szCs w:val="18"/>
                    </w:rPr>
                    <w:t>生产工艺或设施</w:t>
                  </w:r>
                </w:p>
              </w:tc>
              <w:tc>
                <w:tcPr>
                  <w:tcW w:w="1452" w:type="pct"/>
                  <w:vMerge w:val="restart"/>
                  <w:shd w:val="clear" w:color="auto" w:fill="auto"/>
                  <w:vAlign w:val="center"/>
                </w:tcPr>
                <w:p w14:paraId="02DB3CD2">
                  <w:pPr>
                    <w:spacing w:line="240" w:lineRule="auto"/>
                    <w:jc w:val="center"/>
                    <w:rPr>
                      <w:color w:val="auto"/>
                      <w:sz w:val="18"/>
                      <w:szCs w:val="18"/>
                    </w:rPr>
                  </w:pPr>
                  <w:r>
                    <w:rPr>
                      <w:rFonts w:hint="eastAsia"/>
                      <w:color w:val="auto"/>
                      <w:sz w:val="18"/>
                      <w:szCs w:val="18"/>
                    </w:rPr>
                    <w:t>执行标准</w:t>
                  </w:r>
                </w:p>
              </w:tc>
            </w:tr>
            <w:tr w14:paraId="082A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Merge w:val="continue"/>
                  <w:shd w:val="clear" w:color="auto" w:fill="auto"/>
                  <w:noWrap/>
                  <w:vAlign w:val="center"/>
                </w:tcPr>
                <w:p w14:paraId="4457D3D5">
                  <w:pPr>
                    <w:spacing w:line="240" w:lineRule="auto"/>
                    <w:jc w:val="center"/>
                    <w:rPr>
                      <w:color w:val="auto"/>
                      <w:sz w:val="18"/>
                      <w:szCs w:val="18"/>
                    </w:rPr>
                  </w:pPr>
                </w:p>
              </w:tc>
              <w:tc>
                <w:tcPr>
                  <w:tcW w:w="368" w:type="pct"/>
                  <w:vMerge w:val="continue"/>
                  <w:shd w:val="clear" w:color="auto" w:fill="auto"/>
                  <w:vAlign w:val="center"/>
                </w:tcPr>
                <w:p w14:paraId="079B721D">
                  <w:pPr>
                    <w:spacing w:line="240" w:lineRule="auto"/>
                    <w:jc w:val="center"/>
                    <w:rPr>
                      <w:color w:val="auto"/>
                      <w:sz w:val="18"/>
                      <w:szCs w:val="18"/>
                    </w:rPr>
                  </w:pPr>
                </w:p>
              </w:tc>
              <w:tc>
                <w:tcPr>
                  <w:tcW w:w="765" w:type="pct"/>
                  <w:shd w:val="clear" w:color="auto" w:fill="auto"/>
                  <w:vAlign w:val="center"/>
                </w:tcPr>
                <w:p w14:paraId="37B92721">
                  <w:pPr>
                    <w:spacing w:line="240" w:lineRule="auto"/>
                    <w:jc w:val="center"/>
                    <w:rPr>
                      <w:color w:val="auto"/>
                      <w:sz w:val="18"/>
                      <w:szCs w:val="18"/>
                    </w:rPr>
                  </w:pPr>
                  <w:r>
                    <w:rPr>
                      <w:rFonts w:hint="eastAsia"/>
                      <w:color w:val="auto"/>
                      <w:sz w:val="18"/>
                      <w:szCs w:val="18"/>
                    </w:rPr>
                    <w:t>浓度</w:t>
                  </w:r>
                  <w:r>
                    <w:rPr>
                      <w:color w:val="auto"/>
                      <w:sz w:val="18"/>
                      <w:szCs w:val="18"/>
                    </w:rPr>
                    <w:t>mg/m</w:t>
                  </w:r>
                  <w:r>
                    <w:rPr>
                      <w:color w:val="auto"/>
                      <w:sz w:val="18"/>
                      <w:szCs w:val="18"/>
                      <w:vertAlign w:val="superscript"/>
                    </w:rPr>
                    <w:t>3</w:t>
                  </w:r>
                </w:p>
              </w:tc>
              <w:tc>
                <w:tcPr>
                  <w:tcW w:w="851" w:type="pct"/>
                  <w:shd w:val="clear" w:color="auto" w:fill="auto"/>
                  <w:vAlign w:val="center"/>
                </w:tcPr>
                <w:p w14:paraId="71892EA1">
                  <w:pPr>
                    <w:spacing w:line="240" w:lineRule="auto"/>
                    <w:jc w:val="center"/>
                    <w:rPr>
                      <w:rFonts w:hint="eastAsia" w:eastAsia="宋体"/>
                      <w:color w:val="auto"/>
                      <w:sz w:val="18"/>
                      <w:szCs w:val="18"/>
                      <w:lang w:eastAsia="zh-CN"/>
                    </w:rPr>
                  </w:pPr>
                  <w:r>
                    <w:rPr>
                      <w:rFonts w:hint="eastAsia"/>
                      <w:color w:val="auto"/>
                      <w:sz w:val="18"/>
                      <w:szCs w:val="18"/>
                    </w:rPr>
                    <w:t>速率kg/h</w:t>
                  </w:r>
                </w:p>
              </w:tc>
              <w:tc>
                <w:tcPr>
                  <w:tcW w:w="847" w:type="pct"/>
                  <w:vMerge w:val="continue"/>
                  <w:shd w:val="clear" w:color="auto" w:fill="auto"/>
                  <w:vAlign w:val="center"/>
                </w:tcPr>
                <w:p w14:paraId="3D1001E9">
                  <w:pPr>
                    <w:spacing w:line="240" w:lineRule="auto"/>
                    <w:jc w:val="center"/>
                    <w:rPr>
                      <w:color w:val="auto"/>
                      <w:sz w:val="18"/>
                      <w:szCs w:val="18"/>
                    </w:rPr>
                  </w:pPr>
                </w:p>
              </w:tc>
              <w:tc>
                <w:tcPr>
                  <w:tcW w:w="1452" w:type="pct"/>
                  <w:vMerge w:val="continue"/>
                  <w:shd w:val="clear" w:color="auto" w:fill="auto"/>
                  <w:vAlign w:val="center"/>
                </w:tcPr>
                <w:p w14:paraId="3D8D6618">
                  <w:pPr>
                    <w:spacing w:line="240" w:lineRule="auto"/>
                    <w:jc w:val="center"/>
                    <w:rPr>
                      <w:color w:val="auto"/>
                      <w:sz w:val="18"/>
                      <w:szCs w:val="18"/>
                    </w:rPr>
                  </w:pPr>
                </w:p>
              </w:tc>
            </w:tr>
            <w:tr w14:paraId="202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14:paraId="0A5F1E4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颗粒物</w:t>
                  </w:r>
                </w:p>
              </w:tc>
              <w:tc>
                <w:tcPr>
                  <w:tcW w:w="368" w:type="pct"/>
                  <w:vMerge w:val="restart"/>
                  <w:shd w:val="clear" w:color="auto" w:fill="auto"/>
                  <w:noWrap/>
                  <w:vAlign w:val="center"/>
                </w:tcPr>
                <w:p w14:paraId="1D39442C">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15m</w:t>
                  </w:r>
                </w:p>
              </w:tc>
              <w:tc>
                <w:tcPr>
                  <w:tcW w:w="765" w:type="pct"/>
                  <w:shd w:val="clear" w:color="auto" w:fill="auto"/>
                  <w:noWrap/>
                  <w:vAlign w:val="center"/>
                </w:tcPr>
                <w:p w14:paraId="3CB35D46">
                  <w:pPr>
                    <w:spacing w:line="240" w:lineRule="auto"/>
                    <w:jc w:val="center"/>
                    <w:rPr>
                      <w:rFonts w:hint="default"/>
                      <w:color w:val="auto"/>
                      <w:sz w:val="18"/>
                      <w:szCs w:val="18"/>
                      <w:lang w:val="en-US" w:eastAsia="zh-CN"/>
                    </w:rPr>
                  </w:pPr>
                  <w:r>
                    <w:rPr>
                      <w:rFonts w:hint="eastAsia"/>
                      <w:color w:val="auto"/>
                      <w:sz w:val="18"/>
                      <w:szCs w:val="18"/>
                      <w:lang w:val="en-US" w:eastAsia="zh-CN"/>
                    </w:rPr>
                    <w:t>30</w:t>
                  </w:r>
                </w:p>
              </w:tc>
              <w:tc>
                <w:tcPr>
                  <w:tcW w:w="851" w:type="pct"/>
                  <w:shd w:val="clear" w:color="auto" w:fill="auto"/>
                  <w:noWrap/>
                  <w:vAlign w:val="center"/>
                </w:tcPr>
                <w:p w14:paraId="6DC3C4C5">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w:t>
                  </w:r>
                </w:p>
              </w:tc>
              <w:tc>
                <w:tcPr>
                  <w:tcW w:w="847" w:type="pct"/>
                  <w:shd w:val="clear" w:color="auto" w:fill="auto"/>
                  <w:vAlign w:val="center"/>
                </w:tcPr>
                <w:p w14:paraId="7B3411E1">
                  <w:pPr>
                    <w:spacing w:line="240" w:lineRule="auto"/>
                    <w:jc w:val="center"/>
                    <w:rPr>
                      <w:rFonts w:hint="default"/>
                      <w:color w:val="auto"/>
                      <w:sz w:val="18"/>
                      <w:szCs w:val="18"/>
                      <w:lang w:val="en-US" w:eastAsia="zh-CN"/>
                    </w:rPr>
                  </w:pPr>
                  <w:r>
                    <w:rPr>
                      <w:rFonts w:hint="default"/>
                      <w:color w:val="auto"/>
                      <w:sz w:val="18"/>
                      <w:szCs w:val="18"/>
                      <w:lang w:val="en-US" w:eastAsia="zh-CN"/>
                    </w:rPr>
                    <w:t>熔炼</w:t>
                  </w:r>
                  <w:r>
                    <w:rPr>
                      <w:rFonts w:hint="eastAsia"/>
                      <w:color w:val="auto"/>
                      <w:sz w:val="18"/>
                      <w:szCs w:val="18"/>
                      <w:lang w:val="en-US" w:eastAsia="zh-CN"/>
                    </w:rPr>
                    <w:t>、浇铸</w:t>
                  </w:r>
                </w:p>
              </w:tc>
              <w:tc>
                <w:tcPr>
                  <w:tcW w:w="1452" w:type="pct"/>
                  <w:shd w:val="clear" w:color="auto" w:fill="auto"/>
                  <w:vAlign w:val="center"/>
                </w:tcPr>
                <w:p w14:paraId="1A0BC2A5">
                  <w:pPr>
                    <w:spacing w:line="240" w:lineRule="auto"/>
                    <w:jc w:val="center"/>
                    <w:rPr>
                      <w:rFonts w:hint="eastAsia" w:eastAsia="宋体"/>
                      <w:color w:val="auto"/>
                      <w:sz w:val="18"/>
                      <w:szCs w:val="18"/>
                      <w:lang w:eastAsia="zh-CN"/>
                    </w:rPr>
                  </w:pPr>
                  <w:r>
                    <w:rPr>
                      <w:rFonts w:hint="eastAsia" w:eastAsia="宋体"/>
                      <w:color w:val="auto"/>
                      <w:sz w:val="18"/>
                      <w:szCs w:val="18"/>
                      <w:lang w:eastAsia="zh-CN"/>
                    </w:rPr>
                    <w:t>《铸造工业大气污染物排放标准》（GB39726-2020）表1</w:t>
                  </w:r>
                </w:p>
              </w:tc>
            </w:tr>
            <w:tr w14:paraId="5EEE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14" w:type="pct"/>
                  <w:shd w:val="clear" w:color="auto" w:fill="auto"/>
                  <w:vAlign w:val="center"/>
                </w:tcPr>
                <w:p w14:paraId="57B80FC0">
                  <w:pPr>
                    <w:spacing w:line="240" w:lineRule="auto"/>
                    <w:jc w:val="center"/>
                    <w:rPr>
                      <w:rFonts w:hint="default" w:cs="Times New Roman"/>
                      <w:color w:val="auto"/>
                      <w:sz w:val="18"/>
                      <w:szCs w:val="18"/>
                      <w:lang w:val="en-US" w:eastAsia="zh-CN"/>
                    </w:rPr>
                  </w:pPr>
                  <w:bookmarkStart w:id="61" w:name="OLE_LINK37" w:colFirst="0" w:colLast="0"/>
                  <w:r>
                    <w:rPr>
                      <w:rFonts w:hint="eastAsia" w:cs="Times New Roman"/>
                      <w:color w:val="auto"/>
                      <w:sz w:val="18"/>
                      <w:szCs w:val="18"/>
                      <w:lang w:val="en-US" w:eastAsia="zh-CN"/>
                    </w:rPr>
                    <w:t>氯化氢</w:t>
                  </w:r>
                </w:p>
              </w:tc>
              <w:tc>
                <w:tcPr>
                  <w:tcW w:w="368" w:type="pct"/>
                  <w:vMerge w:val="continue"/>
                  <w:shd w:val="clear" w:color="auto" w:fill="auto"/>
                  <w:noWrap/>
                  <w:vAlign w:val="center"/>
                </w:tcPr>
                <w:p w14:paraId="5F86A494">
                  <w:pPr>
                    <w:spacing w:line="240" w:lineRule="auto"/>
                    <w:jc w:val="center"/>
                    <w:rPr>
                      <w:rFonts w:hint="eastAsia"/>
                      <w:color w:val="auto"/>
                      <w:sz w:val="18"/>
                      <w:szCs w:val="18"/>
                      <w:lang w:val="en-US" w:eastAsia="zh-CN"/>
                    </w:rPr>
                  </w:pPr>
                </w:p>
              </w:tc>
              <w:tc>
                <w:tcPr>
                  <w:tcW w:w="765" w:type="pct"/>
                  <w:shd w:val="clear" w:color="auto" w:fill="auto"/>
                  <w:noWrap/>
                  <w:vAlign w:val="center"/>
                </w:tcPr>
                <w:p w14:paraId="101855AE">
                  <w:pPr>
                    <w:spacing w:line="240" w:lineRule="auto"/>
                    <w:jc w:val="center"/>
                    <w:rPr>
                      <w:rFonts w:hint="default"/>
                      <w:color w:val="auto"/>
                      <w:sz w:val="18"/>
                      <w:szCs w:val="18"/>
                      <w:lang w:val="en-US" w:eastAsia="zh-CN"/>
                    </w:rPr>
                  </w:pPr>
                  <w:r>
                    <w:rPr>
                      <w:rFonts w:hint="eastAsia"/>
                      <w:color w:val="auto"/>
                      <w:sz w:val="18"/>
                      <w:szCs w:val="18"/>
                      <w:lang w:val="en-US" w:eastAsia="zh-CN"/>
                    </w:rPr>
                    <w:t>100</w:t>
                  </w:r>
                </w:p>
              </w:tc>
              <w:tc>
                <w:tcPr>
                  <w:tcW w:w="851" w:type="pct"/>
                  <w:shd w:val="clear" w:color="auto" w:fill="auto"/>
                  <w:noWrap/>
                  <w:vAlign w:val="center"/>
                </w:tcPr>
                <w:p w14:paraId="4B5EAD2A">
                  <w:pPr>
                    <w:spacing w:line="240" w:lineRule="auto"/>
                    <w:jc w:val="center"/>
                    <w:rPr>
                      <w:rFonts w:hint="default"/>
                      <w:color w:val="auto"/>
                      <w:sz w:val="18"/>
                      <w:szCs w:val="18"/>
                      <w:lang w:val="en-US" w:eastAsia="zh-CN"/>
                    </w:rPr>
                  </w:pPr>
                  <w:r>
                    <w:rPr>
                      <w:rFonts w:hint="eastAsia"/>
                      <w:color w:val="auto"/>
                      <w:sz w:val="18"/>
                      <w:szCs w:val="18"/>
                      <w:lang w:val="en-US" w:eastAsia="zh-CN"/>
                    </w:rPr>
                    <w:t>0.39</w:t>
                  </w:r>
                </w:p>
              </w:tc>
              <w:tc>
                <w:tcPr>
                  <w:tcW w:w="847" w:type="pct"/>
                  <w:vMerge w:val="restart"/>
                  <w:shd w:val="clear" w:color="auto" w:fill="auto"/>
                  <w:vAlign w:val="center"/>
                </w:tcPr>
                <w:p w14:paraId="19198189">
                  <w:pPr>
                    <w:spacing w:line="240" w:lineRule="auto"/>
                    <w:jc w:val="center"/>
                    <w:rPr>
                      <w:rFonts w:hint="default"/>
                      <w:color w:val="auto"/>
                      <w:sz w:val="18"/>
                      <w:szCs w:val="18"/>
                      <w:lang w:val="en-US" w:eastAsia="zh-CN"/>
                    </w:rPr>
                  </w:pPr>
                  <w:r>
                    <w:rPr>
                      <w:rFonts w:hint="eastAsia"/>
                      <w:color w:val="auto"/>
                      <w:sz w:val="18"/>
                      <w:szCs w:val="18"/>
                      <w:lang w:val="en-US" w:eastAsia="zh-CN"/>
                    </w:rPr>
                    <w:t>除渣除气</w:t>
                  </w:r>
                </w:p>
              </w:tc>
              <w:tc>
                <w:tcPr>
                  <w:tcW w:w="1452" w:type="pct"/>
                  <w:vMerge w:val="restart"/>
                  <w:shd w:val="clear" w:color="auto" w:fill="auto"/>
                  <w:vAlign w:val="center"/>
                </w:tcPr>
                <w:p w14:paraId="615844E5">
                  <w:pPr>
                    <w:spacing w:line="240" w:lineRule="auto"/>
                    <w:jc w:val="center"/>
                    <w:rPr>
                      <w:rFonts w:hint="eastAsia"/>
                      <w:color w:val="auto"/>
                      <w:sz w:val="18"/>
                      <w:szCs w:val="18"/>
                    </w:rPr>
                  </w:pPr>
                  <w:r>
                    <w:rPr>
                      <w:rFonts w:hint="eastAsia"/>
                      <w:color w:val="auto"/>
                      <w:sz w:val="18"/>
                      <w:szCs w:val="18"/>
                    </w:rPr>
                    <w:t>《</w:t>
                  </w:r>
                  <w:r>
                    <w:rPr>
                      <w:rFonts w:hint="eastAsia"/>
                      <w:color w:val="auto"/>
                      <w:sz w:val="18"/>
                      <w:szCs w:val="18"/>
                      <w:lang w:val="en-US" w:eastAsia="zh-CN"/>
                    </w:rPr>
                    <w:t>大气</w:t>
                  </w:r>
                  <w:r>
                    <w:rPr>
                      <w:rFonts w:hint="eastAsia"/>
                      <w:color w:val="auto"/>
                      <w:sz w:val="18"/>
                      <w:szCs w:val="18"/>
                    </w:rPr>
                    <w:t>污染物</w:t>
                  </w:r>
                  <w:r>
                    <w:rPr>
                      <w:rFonts w:hint="eastAsia"/>
                      <w:color w:val="auto"/>
                      <w:sz w:val="18"/>
                      <w:szCs w:val="18"/>
                      <w:lang w:val="en-US" w:eastAsia="zh-CN"/>
                    </w:rPr>
                    <w:t>综合</w:t>
                  </w:r>
                  <w:r>
                    <w:rPr>
                      <w:rFonts w:hint="eastAsia"/>
                      <w:color w:val="auto"/>
                      <w:sz w:val="18"/>
                      <w:szCs w:val="18"/>
                    </w:rPr>
                    <w:t>排放标准》（GB 16297-1996）表2</w:t>
                  </w:r>
                </w:p>
              </w:tc>
            </w:tr>
            <w:tr w14:paraId="0081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14" w:type="pct"/>
                  <w:shd w:val="clear" w:color="auto" w:fill="auto"/>
                  <w:vAlign w:val="center"/>
                </w:tcPr>
                <w:p w14:paraId="7DB096B9">
                  <w:pPr>
                    <w:spacing w:line="240" w:lineRule="auto"/>
                    <w:jc w:val="center"/>
                    <w:rPr>
                      <w:rFonts w:hint="default" w:cs="Times New Roman"/>
                      <w:color w:val="auto"/>
                      <w:sz w:val="18"/>
                      <w:szCs w:val="18"/>
                      <w:lang w:val="en-US" w:eastAsia="zh-CN"/>
                    </w:rPr>
                  </w:pPr>
                  <w:r>
                    <w:rPr>
                      <w:rFonts w:hint="eastAsia" w:cs="Times New Roman"/>
                      <w:color w:val="auto"/>
                      <w:sz w:val="18"/>
                      <w:szCs w:val="18"/>
                      <w:lang w:val="en-US" w:eastAsia="zh-CN"/>
                    </w:rPr>
                    <w:t>氟化物</w:t>
                  </w:r>
                </w:p>
              </w:tc>
              <w:tc>
                <w:tcPr>
                  <w:tcW w:w="368" w:type="pct"/>
                  <w:vMerge w:val="continue"/>
                  <w:shd w:val="clear" w:color="auto" w:fill="auto"/>
                  <w:noWrap/>
                  <w:vAlign w:val="center"/>
                </w:tcPr>
                <w:p w14:paraId="1B8EA9F5">
                  <w:pPr>
                    <w:spacing w:line="240" w:lineRule="auto"/>
                    <w:jc w:val="center"/>
                    <w:rPr>
                      <w:rFonts w:hint="eastAsia"/>
                      <w:color w:val="auto"/>
                      <w:sz w:val="18"/>
                      <w:szCs w:val="18"/>
                      <w:lang w:val="en-US" w:eastAsia="zh-CN"/>
                    </w:rPr>
                  </w:pPr>
                </w:p>
              </w:tc>
              <w:tc>
                <w:tcPr>
                  <w:tcW w:w="765" w:type="pct"/>
                  <w:shd w:val="clear" w:color="auto" w:fill="auto"/>
                  <w:noWrap/>
                  <w:vAlign w:val="center"/>
                </w:tcPr>
                <w:p w14:paraId="15C02FA6">
                  <w:pPr>
                    <w:spacing w:line="240" w:lineRule="auto"/>
                    <w:jc w:val="center"/>
                    <w:rPr>
                      <w:color w:val="auto"/>
                    </w:rPr>
                  </w:pPr>
                  <w:r>
                    <w:rPr>
                      <w:rFonts w:hint="eastAsia"/>
                      <w:color w:val="auto"/>
                      <w:sz w:val="18"/>
                      <w:szCs w:val="18"/>
                      <w:lang w:val="en-US" w:eastAsia="zh-CN"/>
                    </w:rPr>
                    <w:t>9</w:t>
                  </w:r>
                </w:p>
              </w:tc>
              <w:tc>
                <w:tcPr>
                  <w:tcW w:w="851" w:type="pct"/>
                  <w:shd w:val="clear" w:color="auto" w:fill="auto"/>
                  <w:noWrap/>
                  <w:vAlign w:val="center"/>
                </w:tcPr>
                <w:p w14:paraId="0C6A6004">
                  <w:pPr>
                    <w:spacing w:line="240" w:lineRule="auto"/>
                    <w:jc w:val="center"/>
                    <w:rPr>
                      <w:rFonts w:hint="default"/>
                      <w:color w:val="auto"/>
                      <w:sz w:val="18"/>
                      <w:szCs w:val="18"/>
                      <w:lang w:val="en-US" w:eastAsia="zh-CN"/>
                    </w:rPr>
                  </w:pPr>
                  <w:r>
                    <w:rPr>
                      <w:rFonts w:hint="eastAsia"/>
                      <w:color w:val="auto"/>
                      <w:sz w:val="18"/>
                      <w:szCs w:val="18"/>
                      <w:lang w:val="en-US" w:eastAsia="zh-CN"/>
                    </w:rPr>
                    <w:t>0.15</w:t>
                  </w:r>
                </w:p>
              </w:tc>
              <w:tc>
                <w:tcPr>
                  <w:tcW w:w="847" w:type="pct"/>
                  <w:vMerge w:val="continue"/>
                  <w:shd w:val="clear" w:color="auto" w:fill="auto"/>
                  <w:vAlign w:val="center"/>
                </w:tcPr>
                <w:p w14:paraId="18C0CA7E">
                  <w:pPr>
                    <w:spacing w:line="240" w:lineRule="auto"/>
                    <w:jc w:val="center"/>
                    <w:rPr>
                      <w:rFonts w:hint="eastAsia"/>
                      <w:color w:val="auto"/>
                      <w:sz w:val="18"/>
                      <w:szCs w:val="18"/>
                      <w:lang w:val="en-US" w:eastAsia="zh-CN"/>
                    </w:rPr>
                  </w:pPr>
                </w:p>
              </w:tc>
              <w:tc>
                <w:tcPr>
                  <w:tcW w:w="1452" w:type="pct"/>
                  <w:vMerge w:val="continue"/>
                  <w:shd w:val="clear" w:color="auto" w:fill="auto"/>
                  <w:vAlign w:val="center"/>
                </w:tcPr>
                <w:p w14:paraId="2060F258">
                  <w:pPr>
                    <w:spacing w:line="240" w:lineRule="auto"/>
                    <w:jc w:val="center"/>
                    <w:rPr>
                      <w:rFonts w:hint="eastAsia"/>
                      <w:color w:val="auto"/>
                      <w:sz w:val="18"/>
                      <w:szCs w:val="18"/>
                    </w:rPr>
                  </w:pPr>
                </w:p>
              </w:tc>
            </w:tr>
            <w:bookmarkEnd w:id="61"/>
          </w:tbl>
          <w:p w14:paraId="694B9907">
            <w:pPr>
              <w:bidi w:val="0"/>
              <w:ind w:firstLine="480" w:firstLineChars="200"/>
              <w:rPr>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rPr>
              <w:t>项目</w:t>
            </w:r>
            <w:r>
              <w:rPr>
                <w:rFonts w:hint="eastAsia"/>
                <w:color w:val="auto"/>
                <w:lang w:val="en-US" w:eastAsia="zh-CN"/>
              </w:rPr>
              <w:t>厂界</w:t>
            </w:r>
            <w:r>
              <w:rPr>
                <w:rFonts w:hint="eastAsia"/>
                <w:color w:val="auto"/>
              </w:rPr>
              <w:t>无组织</w:t>
            </w:r>
            <w:r>
              <w:rPr>
                <w:rFonts w:hint="eastAsia"/>
                <w:color w:val="auto"/>
                <w:lang w:val="en-US" w:eastAsia="zh-CN"/>
              </w:rPr>
              <w:t>颗粒物</w:t>
            </w:r>
            <w:r>
              <w:rPr>
                <w:rFonts w:hint="eastAsia"/>
                <w:b w:val="0"/>
                <w:bCs/>
                <w:color w:val="auto"/>
                <w:szCs w:val="24"/>
              </w:rPr>
              <w:t>、二氧化硫、氮氧化物</w:t>
            </w:r>
            <w:r>
              <w:rPr>
                <w:rFonts w:hint="eastAsia"/>
                <w:color w:val="auto"/>
              </w:rPr>
              <w:t>执行《大气污染物综合排放标准》（GB16297-1996）表2中无组织排放监控浓度限值</w:t>
            </w:r>
            <w:r>
              <w:rPr>
                <w:rFonts w:hint="eastAsia"/>
                <w:color w:val="auto"/>
                <w:lang w:val="en-US" w:eastAsia="zh-CN"/>
              </w:rPr>
              <w:t>；厂区内</w:t>
            </w:r>
            <w:r>
              <w:rPr>
                <w:rFonts w:hint="eastAsia"/>
                <w:color w:val="auto"/>
              </w:rPr>
              <w:t>无组织</w:t>
            </w:r>
            <w:r>
              <w:rPr>
                <w:rFonts w:hint="eastAsia"/>
                <w:color w:val="auto"/>
                <w:lang w:val="en-US" w:eastAsia="zh-CN"/>
              </w:rPr>
              <w:t>颗粒物执行《铸造工业大气污染物排放标准》（GB39726-2020）附录A.1中标准</w:t>
            </w:r>
            <w:r>
              <w:rPr>
                <w:color w:val="auto"/>
              </w:rPr>
              <w:t>。</w:t>
            </w:r>
          </w:p>
          <w:p w14:paraId="7AC49F3D">
            <w:pPr>
              <w:numPr>
                <w:ilvl w:val="0"/>
                <w:numId w:val="0"/>
              </w:numPr>
              <w:bidi w:val="0"/>
              <w:jc w:val="center"/>
              <w:rPr>
                <w:rFonts w:ascii="黑体" w:hAnsi="黑体" w:eastAsia="黑体"/>
                <w:color w:val="auto"/>
              </w:rPr>
            </w:pPr>
            <w:r>
              <w:rPr>
                <w:rFonts w:ascii="黑体" w:hAnsi="黑体" w:eastAsia="黑体"/>
                <w:color w:val="auto"/>
              </w:rPr>
              <w:t>表</w:t>
            </w:r>
            <w:r>
              <w:rPr>
                <w:rFonts w:eastAsia="黑体"/>
                <w:color w:val="auto"/>
              </w:rPr>
              <w:t>3-</w:t>
            </w:r>
            <w:r>
              <w:rPr>
                <w:rFonts w:hint="eastAsia" w:eastAsia="黑体"/>
                <w:color w:val="auto"/>
                <w:lang w:val="en-US" w:eastAsia="zh-CN"/>
              </w:rPr>
              <w:t>5</w:t>
            </w:r>
            <w:r>
              <w:rPr>
                <w:rFonts w:ascii="黑体" w:hAnsi="黑体" w:eastAsia="黑体"/>
                <w:color w:val="auto"/>
              </w:rPr>
              <w:t xml:space="preserve"> </w:t>
            </w:r>
            <w:r>
              <w:rPr>
                <w:rFonts w:hint="eastAsia" w:ascii="黑体" w:hAnsi="黑体" w:eastAsia="黑体"/>
                <w:color w:val="auto"/>
              </w:rPr>
              <w:t xml:space="preserve"> </w:t>
            </w:r>
            <w:r>
              <w:rPr>
                <w:rFonts w:hint="eastAsia" w:ascii="黑体" w:hAnsi="黑体" w:eastAsia="黑体"/>
                <w:color w:val="auto"/>
                <w:lang w:val="en-US" w:eastAsia="zh-CN"/>
              </w:rPr>
              <w:t>无组织</w:t>
            </w:r>
            <w:r>
              <w:rPr>
                <w:rFonts w:ascii="黑体" w:hAnsi="黑体" w:eastAsia="黑体"/>
                <w:color w:val="auto"/>
              </w:rPr>
              <w:t>排放标准限值</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5"/>
              <w:gridCol w:w="1892"/>
              <w:gridCol w:w="1489"/>
              <w:gridCol w:w="3784"/>
            </w:tblGrid>
            <w:tr w14:paraId="5C556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895" w:type="dxa"/>
                  <w:vAlign w:val="center"/>
                </w:tcPr>
                <w:p w14:paraId="3C49B0AF">
                  <w:pPr>
                    <w:spacing w:line="240" w:lineRule="auto"/>
                    <w:jc w:val="center"/>
                    <w:rPr>
                      <w:rFonts w:hint="eastAsia"/>
                      <w:color w:val="auto"/>
                      <w:sz w:val="18"/>
                      <w:szCs w:val="18"/>
                      <w:lang w:val="en-US" w:eastAsia="zh-CN"/>
                    </w:rPr>
                  </w:pPr>
                  <w:r>
                    <w:rPr>
                      <w:rFonts w:hint="eastAsia"/>
                      <w:color w:val="auto"/>
                      <w:sz w:val="18"/>
                      <w:szCs w:val="18"/>
                    </w:rPr>
                    <w:t>污染物</w:t>
                  </w:r>
                </w:p>
              </w:tc>
              <w:tc>
                <w:tcPr>
                  <w:tcW w:w="1892" w:type="dxa"/>
                  <w:vAlign w:val="center"/>
                </w:tcPr>
                <w:p w14:paraId="660039CF">
                  <w:pPr>
                    <w:spacing w:line="240" w:lineRule="auto"/>
                    <w:jc w:val="center"/>
                    <w:rPr>
                      <w:rFonts w:hint="eastAsia" w:eastAsia="宋体"/>
                      <w:color w:val="auto"/>
                      <w:sz w:val="18"/>
                      <w:szCs w:val="18"/>
                      <w:vertAlign w:val="baseline"/>
                      <w:lang w:val="en-US" w:eastAsia="zh-CN"/>
                    </w:rPr>
                  </w:pPr>
                  <w:r>
                    <w:rPr>
                      <w:rFonts w:hint="eastAsia"/>
                      <w:color w:val="auto"/>
                      <w:sz w:val="18"/>
                      <w:szCs w:val="18"/>
                      <w:lang w:val="en-US" w:eastAsia="zh-CN"/>
                    </w:rPr>
                    <w:t>限值（</w:t>
                  </w:r>
                  <w:r>
                    <w:rPr>
                      <w:color w:val="auto"/>
                      <w:sz w:val="18"/>
                      <w:szCs w:val="18"/>
                    </w:rPr>
                    <w:t>mg/m</w:t>
                  </w:r>
                  <w:r>
                    <w:rPr>
                      <w:color w:val="auto"/>
                      <w:sz w:val="18"/>
                      <w:szCs w:val="18"/>
                      <w:vertAlign w:val="superscript"/>
                    </w:rPr>
                    <w:t>3</w:t>
                  </w:r>
                  <w:r>
                    <w:rPr>
                      <w:rFonts w:hint="eastAsia"/>
                      <w:color w:val="auto"/>
                      <w:sz w:val="18"/>
                      <w:szCs w:val="18"/>
                      <w:vertAlign w:val="baseline"/>
                      <w:lang w:eastAsia="zh-CN"/>
                    </w:rPr>
                    <w:t>）</w:t>
                  </w:r>
                </w:p>
              </w:tc>
              <w:tc>
                <w:tcPr>
                  <w:tcW w:w="1489" w:type="dxa"/>
                  <w:vAlign w:val="center"/>
                </w:tcPr>
                <w:p w14:paraId="225322FB">
                  <w:pPr>
                    <w:spacing w:line="240" w:lineRule="auto"/>
                    <w:jc w:val="center"/>
                    <w:rPr>
                      <w:rFonts w:hint="default"/>
                      <w:color w:val="auto"/>
                      <w:sz w:val="18"/>
                      <w:szCs w:val="18"/>
                      <w:lang w:val="en-US" w:eastAsia="zh-CN"/>
                    </w:rPr>
                  </w:pPr>
                  <w:r>
                    <w:rPr>
                      <w:rFonts w:hint="eastAsia"/>
                      <w:color w:val="auto"/>
                      <w:sz w:val="18"/>
                      <w:szCs w:val="18"/>
                      <w:lang w:val="en-US" w:eastAsia="zh-CN"/>
                    </w:rPr>
                    <w:t>监控点位</w:t>
                  </w:r>
                </w:p>
              </w:tc>
              <w:tc>
                <w:tcPr>
                  <w:tcW w:w="3784" w:type="dxa"/>
                  <w:vAlign w:val="center"/>
                </w:tcPr>
                <w:p w14:paraId="2EB4E38F">
                  <w:pPr>
                    <w:spacing w:line="240" w:lineRule="auto"/>
                    <w:jc w:val="center"/>
                    <w:rPr>
                      <w:rFonts w:hint="eastAsia"/>
                      <w:color w:val="auto"/>
                      <w:sz w:val="18"/>
                      <w:szCs w:val="18"/>
                      <w:lang w:val="en-US" w:eastAsia="zh-CN"/>
                    </w:rPr>
                  </w:pPr>
                  <w:r>
                    <w:rPr>
                      <w:rFonts w:hint="eastAsia"/>
                      <w:color w:val="auto"/>
                      <w:sz w:val="18"/>
                      <w:szCs w:val="18"/>
                    </w:rPr>
                    <w:t>执行标准</w:t>
                  </w:r>
                </w:p>
              </w:tc>
            </w:tr>
            <w:tr w14:paraId="29878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895" w:type="dxa"/>
                  <w:vAlign w:val="center"/>
                </w:tcPr>
                <w:p w14:paraId="32A72866">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颗粒物</w:t>
                  </w:r>
                </w:p>
              </w:tc>
              <w:tc>
                <w:tcPr>
                  <w:tcW w:w="1892" w:type="dxa"/>
                  <w:vAlign w:val="center"/>
                </w:tcPr>
                <w:p w14:paraId="65A4EFCA">
                  <w:pPr>
                    <w:spacing w:line="240" w:lineRule="auto"/>
                    <w:jc w:val="center"/>
                    <w:rPr>
                      <w:rFonts w:hint="default"/>
                      <w:color w:val="auto"/>
                      <w:sz w:val="18"/>
                      <w:szCs w:val="18"/>
                      <w:lang w:val="en-US" w:eastAsia="zh-CN"/>
                    </w:rPr>
                  </w:pPr>
                  <w:r>
                    <w:rPr>
                      <w:rFonts w:hint="eastAsia"/>
                      <w:color w:val="auto"/>
                      <w:sz w:val="18"/>
                      <w:szCs w:val="18"/>
                      <w:lang w:val="en-US" w:eastAsia="zh-CN"/>
                    </w:rPr>
                    <w:t>1.0</w:t>
                  </w:r>
                </w:p>
              </w:tc>
              <w:tc>
                <w:tcPr>
                  <w:tcW w:w="1489" w:type="dxa"/>
                  <w:vMerge w:val="restart"/>
                  <w:vAlign w:val="center"/>
                </w:tcPr>
                <w:p w14:paraId="152C6A49">
                  <w:pPr>
                    <w:spacing w:line="240" w:lineRule="auto"/>
                    <w:jc w:val="center"/>
                    <w:rPr>
                      <w:rFonts w:hint="default"/>
                      <w:color w:val="auto"/>
                      <w:sz w:val="18"/>
                      <w:szCs w:val="18"/>
                      <w:lang w:val="en-US" w:eastAsia="zh-CN"/>
                    </w:rPr>
                  </w:pPr>
                  <w:r>
                    <w:rPr>
                      <w:rFonts w:hint="eastAsia"/>
                      <w:color w:val="auto"/>
                      <w:sz w:val="18"/>
                      <w:szCs w:val="18"/>
                      <w:lang w:val="en-US" w:eastAsia="zh-CN"/>
                    </w:rPr>
                    <w:t>厂界</w:t>
                  </w:r>
                </w:p>
              </w:tc>
              <w:tc>
                <w:tcPr>
                  <w:tcW w:w="3784" w:type="dxa"/>
                  <w:vMerge w:val="restart"/>
                  <w:vAlign w:val="center"/>
                </w:tcPr>
                <w:p w14:paraId="59674459">
                  <w:pPr>
                    <w:spacing w:line="240" w:lineRule="auto"/>
                    <w:jc w:val="center"/>
                    <w:rPr>
                      <w:rFonts w:hint="eastAsia"/>
                      <w:color w:val="auto"/>
                      <w:sz w:val="18"/>
                      <w:szCs w:val="18"/>
                    </w:rPr>
                  </w:pPr>
                  <w:r>
                    <w:rPr>
                      <w:rFonts w:hint="eastAsia"/>
                      <w:color w:val="auto"/>
                      <w:sz w:val="18"/>
                      <w:szCs w:val="18"/>
                    </w:rPr>
                    <w:t>《</w:t>
                  </w:r>
                  <w:r>
                    <w:rPr>
                      <w:rFonts w:hint="eastAsia"/>
                      <w:color w:val="auto"/>
                      <w:sz w:val="18"/>
                      <w:szCs w:val="18"/>
                      <w:lang w:val="en-US" w:eastAsia="zh-CN"/>
                    </w:rPr>
                    <w:t>大气</w:t>
                  </w:r>
                  <w:r>
                    <w:rPr>
                      <w:rFonts w:hint="eastAsia"/>
                      <w:color w:val="auto"/>
                      <w:sz w:val="18"/>
                      <w:szCs w:val="18"/>
                    </w:rPr>
                    <w:t>污染物</w:t>
                  </w:r>
                  <w:r>
                    <w:rPr>
                      <w:rFonts w:hint="eastAsia"/>
                      <w:color w:val="auto"/>
                      <w:sz w:val="18"/>
                      <w:szCs w:val="18"/>
                      <w:lang w:val="en-US" w:eastAsia="zh-CN"/>
                    </w:rPr>
                    <w:t>综合</w:t>
                  </w:r>
                  <w:r>
                    <w:rPr>
                      <w:rFonts w:hint="eastAsia"/>
                      <w:color w:val="auto"/>
                      <w:sz w:val="18"/>
                      <w:szCs w:val="18"/>
                    </w:rPr>
                    <w:t>排放标准》（GB 16297-1996）表2中无组织排放监控浓度限值</w:t>
                  </w:r>
                </w:p>
              </w:tc>
            </w:tr>
            <w:tr w14:paraId="42DD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895" w:type="dxa"/>
                  <w:shd w:val="clear" w:color="auto" w:fill="auto"/>
                  <w:vAlign w:val="center"/>
                </w:tcPr>
                <w:p w14:paraId="4A208BC2">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二氧化硫</w:t>
                  </w:r>
                </w:p>
              </w:tc>
              <w:tc>
                <w:tcPr>
                  <w:tcW w:w="1892" w:type="dxa"/>
                  <w:vAlign w:val="center"/>
                </w:tcPr>
                <w:p w14:paraId="23642AC8">
                  <w:pPr>
                    <w:spacing w:line="240" w:lineRule="auto"/>
                    <w:jc w:val="center"/>
                    <w:rPr>
                      <w:rFonts w:hint="default"/>
                      <w:color w:val="auto"/>
                      <w:sz w:val="18"/>
                      <w:szCs w:val="18"/>
                      <w:lang w:val="en-US" w:eastAsia="zh-CN"/>
                    </w:rPr>
                  </w:pPr>
                  <w:r>
                    <w:rPr>
                      <w:rFonts w:hint="eastAsia"/>
                      <w:color w:val="auto"/>
                      <w:sz w:val="18"/>
                      <w:szCs w:val="18"/>
                      <w:lang w:val="en-US" w:eastAsia="zh-CN"/>
                    </w:rPr>
                    <w:t>0.4</w:t>
                  </w:r>
                </w:p>
              </w:tc>
              <w:tc>
                <w:tcPr>
                  <w:tcW w:w="1489" w:type="dxa"/>
                  <w:vMerge w:val="continue"/>
                  <w:vAlign w:val="center"/>
                </w:tcPr>
                <w:p w14:paraId="1A4C654B">
                  <w:pPr>
                    <w:spacing w:line="240" w:lineRule="auto"/>
                    <w:jc w:val="center"/>
                    <w:rPr>
                      <w:rFonts w:hint="eastAsia"/>
                      <w:color w:val="auto"/>
                      <w:sz w:val="18"/>
                      <w:szCs w:val="18"/>
                      <w:lang w:val="en-US" w:eastAsia="zh-CN"/>
                    </w:rPr>
                  </w:pPr>
                </w:p>
              </w:tc>
              <w:tc>
                <w:tcPr>
                  <w:tcW w:w="3784" w:type="dxa"/>
                  <w:vMerge w:val="continue"/>
                  <w:vAlign w:val="center"/>
                </w:tcPr>
                <w:p w14:paraId="2A2CDEAD">
                  <w:pPr>
                    <w:spacing w:line="240" w:lineRule="auto"/>
                    <w:jc w:val="center"/>
                    <w:rPr>
                      <w:rFonts w:hint="eastAsia"/>
                      <w:color w:val="auto"/>
                      <w:sz w:val="18"/>
                      <w:szCs w:val="18"/>
                    </w:rPr>
                  </w:pPr>
                </w:p>
              </w:tc>
            </w:tr>
            <w:tr w14:paraId="32CA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895" w:type="dxa"/>
                  <w:shd w:val="clear" w:color="auto" w:fill="auto"/>
                  <w:vAlign w:val="center"/>
                </w:tcPr>
                <w:p w14:paraId="59FDECEF">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氮氧化物</w:t>
                  </w:r>
                </w:p>
              </w:tc>
              <w:tc>
                <w:tcPr>
                  <w:tcW w:w="1892" w:type="dxa"/>
                  <w:vAlign w:val="center"/>
                </w:tcPr>
                <w:p w14:paraId="063EF612">
                  <w:pPr>
                    <w:spacing w:line="240" w:lineRule="auto"/>
                    <w:jc w:val="center"/>
                    <w:rPr>
                      <w:rFonts w:hint="default"/>
                      <w:color w:val="auto"/>
                      <w:sz w:val="18"/>
                      <w:szCs w:val="18"/>
                      <w:lang w:val="en-US" w:eastAsia="zh-CN"/>
                    </w:rPr>
                  </w:pPr>
                  <w:r>
                    <w:rPr>
                      <w:rFonts w:hint="eastAsia"/>
                      <w:color w:val="auto"/>
                      <w:sz w:val="18"/>
                      <w:szCs w:val="18"/>
                      <w:lang w:val="en-US" w:eastAsia="zh-CN"/>
                    </w:rPr>
                    <w:t>0.12</w:t>
                  </w:r>
                </w:p>
              </w:tc>
              <w:tc>
                <w:tcPr>
                  <w:tcW w:w="1489" w:type="dxa"/>
                  <w:vMerge w:val="continue"/>
                  <w:vAlign w:val="center"/>
                </w:tcPr>
                <w:p w14:paraId="08470108">
                  <w:pPr>
                    <w:spacing w:line="240" w:lineRule="auto"/>
                    <w:jc w:val="center"/>
                    <w:rPr>
                      <w:rFonts w:hint="eastAsia"/>
                      <w:color w:val="auto"/>
                      <w:sz w:val="18"/>
                      <w:szCs w:val="18"/>
                      <w:lang w:val="en-US" w:eastAsia="zh-CN"/>
                    </w:rPr>
                  </w:pPr>
                </w:p>
              </w:tc>
              <w:tc>
                <w:tcPr>
                  <w:tcW w:w="3784" w:type="dxa"/>
                  <w:vMerge w:val="continue"/>
                  <w:vAlign w:val="center"/>
                </w:tcPr>
                <w:p w14:paraId="3A605CD8">
                  <w:pPr>
                    <w:spacing w:line="240" w:lineRule="auto"/>
                    <w:jc w:val="center"/>
                    <w:rPr>
                      <w:rFonts w:hint="eastAsia"/>
                      <w:color w:val="auto"/>
                      <w:sz w:val="18"/>
                      <w:szCs w:val="18"/>
                    </w:rPr>
                  </w:pPr>
                </w:p>
              </w:tc>
            </w:tr>
            <w:tr w14:paraId="66D4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895" w:type="dxa"/>
                  <w:vAlign w:val="center"/>
                </w:tcPr>
                <w:p w14:paraId="31F03AAB">
                  <w:pPr>
                    <w:spacing w:line="240" w:lineRule="auto"/>
                    <w:jc w:val="center"/>
                    <w:rPr>
                      <w:rFonts w:hint="eastAsia" w:cs="Times New Roman"/>
                      <w:color w:val="auto"/>
                      <w:sz w:val="18"/>
                      <w:szCs w:val="18"/>
                      <w:lang w:val="en-US" w:eastAsia="zh-CN"/>
                    </w:rPr>
                  </w:pPr>
                  <w:r>
                    <w:rPr>
                      <w:rFonts w:hint="eastAsia"/>
                      <w:color w:val="auto"/>
                      <w:sz w:val="18"/>
                      <w:szCs w:val="18"/>
                      <w:lang w:val="en-US" w:eastAsia="zh-CN"/>
                    </w:rPr>
                    <w:t>颗粒物</w:t>
                  </w:r>
                </w:p>
              </w:tc>
              <w:tc>
                <w:tcPr>
                  <w:tcW w:w="1892" w:type="dxa"/>
                  <w:vAlign w:val="center"/>
                </w:tcPr>
                <w:p w14:paraId="5AA2FF1B">
                  <w:pPr>
                    <w:spacing w:line="240" w:lineRule="auto"/>
                    <w:jc w:val="center"/>
                    <w:rPr>
                      <w:rFonts w:hint="default"/>
                      <w:color w:val="auto"/>
                      <w:sz w:val="18"/>
                      <w:szCs w:val="18"/>
                      <w:lang w:val="en-US" w:eastAsia="zh-CN"/>
                    </w:rPr>
                  </w:pPr>
                  <w:r>
                    <w:rPr>
                      <w:rFonts w:hint="eastAsia"/>
                      <w:color w:val="auto"/>
                      <w:sz w:val="18"/>
                      <w:szCs w:val="18"/>
                      <w:lang w:val="en-US" w:eastAsia="zh-CN"/>
                    </w:rPr>
                    <w:t>5.0</w:t>
                  </w:r>
                </w:p>
              </w:tc>
              <w:tc>
                <w:tcPr>
                  <w:tcW w:w="1489" w:type="dxa"/>
                  <w:vAlign w:val="center"/>
                </w:tcPr>
                <w:p w14:paraId="6EB138D8">
                  <w:pPr>
                    <w:spacing w:line="240" w:lineRule="auto"/>
                    <w:jc w:val="center"/>
                    <w:rPr>
                      <w:rFonts w:hint="default"/>
                      <w:color w:val="auto"/>
                      <w:sz w:val="18"/>
                      <w:szCs w:val="18"/>
                      <w:lang w:val="en-US" w:eastAsia="zh-CN"/>
                    </w:rPr>
                  </w:pPr>
                  <w:r>
                    <w:rPr>
                      <w:rFonts w:hint="eastAsia"/>
                      <w:color w:val="auto"/>
                      <w:sz w:val="18"/>
                      <w:szCs w:val="18"/>
                      <w:lang w:val="en-US" w:eastAsia="zh-CN"/>
                    </w:rPr>
                    <w:t>厂区内</w:t>
                  </w:r>
                </w:p>
              </w:tc>
              <w:tc>
                <w:tcPr>
                  <w:tcW w:w="3784" w:type="dxa"/>
                  <w:vAlign w:val="center"/>
                </w:tcPr>
                <w:p w14:paraId="556E0019">
                  <w:pPr>
                    <w:spacing w:line="240" w:lineRule="auto"/>
                    <w:jc w:val="center"/>
                    <w:rPr>
                      <w:rFonts w:hint="eastAsia"/>
                      <w:color w:val="auto"/>
                      <w:sz w:val="18"/>
                      <w:szCs w:val="18"/>
                      <w:lang w:val="en-US" w:eastAsia="zh-CN"/>
                    </w:rPr>
                  </w:pPr>
                  <w:r>
                    <w:rPr>
                      <w:rFonts w:hint="eastAsia" w:eastAsia="宋体"/>
                      <w:color w:val="auto"/>
                      <w:sz w:val="18"/>
                      <w:szCs w:val="18"/>
                      <w:lang w:eastAsia="zh-CN"/>
                    </w:rPr>
                    <w:t>《铸造工业大气污染物排放标准》（GB39726-2020）</w:t>
                  </w:r>
                  <w:r>
                    <w:rPr>
                      <w:rFonts w:hint="eastAsia"/>
                      <w:color w:val="auto"/>
                      <w:sz w:val="18"/>
                      <w:szCs w:val="18"/>
                      <w:lang w:val="en-US" w:eastAsia="zh-CN"/>
                    </w:rPr>
                    <w:t>附录A.</w:t>
                  </w:r>
                  <w:r>
                    <w:rPr>
                      <w:rFonts w:hint="eastAsia" w:eastAsia="宋体"/>
                      <w:color w:val="auto"/>
                      <w:sz w:val="18"/>
                      <w:szCs w:val="18"/>
                      <w:lang w:eastAsia="zh-CN"/>
                    </w:rPr>
                    <w:t>1</w:t>
                  </w:r>
                </w:p>
              </w:tc>
            </w:tr>
          </w:tbl>
          <w:p w14:paraId="602C89D5">
            <w:pPr>
              <w:adjustRightInd w:val="0"/>
              <w:snapToGrid w:val="0"/>
              <w:rPr>
                <w:b/>
                <w:snapToGrid w:val="0"/>
                <w:color w:val="auto"/>
                <w:kern w:val="28"/>
                <w:szCs w:val="24"/>
              </w:rPr>
            </w:pPr>
            <w:r>
              <w:rPr>
                <w:b/>
                <w:snapToGrid w:val="0"/>
                <w:color w:val="auto"/>
                <w:kern w:val="28"/>
                <w:szCs w:val="24"/>
              </w:rPr>
              <w:t>2</w:t>
            </w:r>
            <w:r>
              <w:rPr>
                <w:rFonts w:hint="eastAsia"/>
                <w:b/>
                <w:snapToGrid w:val="0"/>
                <w:color w:val="auto"/>
                <w:kern w:val="28"/>
                <w:szCs w:val="24"/>
              </w:rPr>
              <w:t>、废水</w:t>
            </w:r>
          </w:p>
          <w:p w14:paraId="70DD8AB3">
            <w:pPr>
              <w:ind w:firstLine="480" w:firstLineChars="200"/>
              <w:rPr>
                <w:color w:val="auto"/>
              </w:rPr>
            </w:pPr>
            <w:r>
              <w:rPr>
                <w:rFonts w:hint="eastAsia"/>
                <w:color w:val="auto"/>
              </w:rPr>
              <w:t>本项目生活废水经隔油池、化粪池预处理后执行《污水综合排放标准》（GB8978-1996）中表4中三级标准和江南产业集中区第一污水处理厂接管限值，再由江南产业集中区第一污水处理厂进行深度处理，安徽省江南产业集中区污水处理厂尾水排放执行《城镇污水处理厂污水排放标准》（GB18918-2002）及其修改单中一级A标准</w:t>
            </w:r>
            <w:r>
              <w:rPr>
                <w:color w:val="auto"/>
              </w:rPr>
              <w:t>。</w:t>
            </w:r>
            <w:r>
              <w:rPr>
                <w:rFonts w:hint="eastAsia"/>
                <w:color w:val="auto"/>
              </w:rPr>
              <w:t>项目废水污染物具体执行标准如下：</w:t>
            </w:r>
          </w:p>
          <w:p w14:paraId="52F41222">
            <w:pPr>
              <w:pStyle w:val="902"/>
              <w:rPr>
                <w:color w:val="auto"/>
              </w:rPr>
            </w:pPr>
            <w:r>
              <w:rPr>
                <w:color w:val="auto"/>
              </w:rPr>
              <w:t>表</w:t>
            </w:r>
            <w:r>
              <w:rPr>
                <w:rFonts w:hint="eastAsia"/>
                <w:color w:val="auto"/>
              </w:rPr>
              <w:t>3-</w:t>
            </w:r>
            <w:r>
              <w:rPr>
                <w:rFonts w:hint="eastAsia"/>
                <w:color w:val="auto"/>
                <w:lang w:val="en-US" w:eastAsia="zh-CN"/>
              </w:rPr>
              <w:t>6</w:t>
            </w:r>
            <w:r>
              <w:rPr>
                <w:rFonts w:hint="eastAsia"/>
                <w:color w:val="auto"/>
              </w:rPr>
              <w:t xml:space="preserve">  </w:t>
            </w:r>
            <w:r>
              <w:rPr>
                <w:color w:val="auto"/>
              </w:rPr>
              <w:t>废水污染物排放标准一览表单位：mg/L（pH除外）</w:t>
            </w:r>
          </w:p>
          <w:tbl>
            <w:tblPr>
              <w:tblStyle w:val="70"/>
              <w:tblW w:w="4996"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852"/>
              <w:gridCol w:w="831"/>
              <w:gridCol w:w="831"/>
              <w:gridCol w:w="938"/>
              <w:gridCol w:w="831"/>
              <w:gridCol w:w="890"/>
              <w:gridCol w:w="1061"/>
              <w:gridCol w:w="829"/>
            </w:tblGrid>
            <w:tr w14:paraId="5FD266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573" w:type="pct"/>
                  <w:tcBorders>
                    <w:left w:val="single" w:color="auto" w:sz="0" w:space="0"/>
                    <w:tl2br w:val="nil"/>
                    <w:tr2bl w:val="nil"/>
                  </w:tcBorders>
                  <w:noWrap w:val="0"/>
                  <w:vAlign w:val="center"/>
                </w:tcPr>
                <w:p w14:paraId="67B95ACF">
                  <w:pPr>
                    <w:spacing w:line="240" w:lineRule="auto"/>
                    <w:jc w:val="center"/>
                    <w:rPr>
                      <w:color w:val="auto"/>
                      <w:sz w:val="18"/>
                      <w:szCs w:val="18"/>
                    </w:rPr>
                  </w:pPr>
                  <w:r>
                    <w:rPr>
                      <w:color w:val="auto"/>
                      <w:sz w:val="18"/>
                      <w:szCs w:val="18"/>
                    </w:rPr>
                    <w:t>类目</w:t>
                  </w:r>
                </w:p>
              </w:tc>
              <w:tc>
                <w:tcPr>
                  <w:tcW w:w="458" w:type="pct"/>
                  <w:tcBorders>
                    <w:tl2br w:val="nil"/>
                    <w:tr2bl w:val="nil"/>
                  </w:tcBorders>
                  <w:noWrap w:val="0"/>
                  <w:vAlign w:val="center"/>
                </w:tcPr>
                <w:p w14:paraId="3DE2C49B">
                  <w:pPr>
                    <w:pStyle w:val="906"/>
                    <w:jc w:val="center"/>
                    <w:rPr>
                      <w:rFonts w:ascii="Times New Roman" w:hAnsi="Times New Roman" w:eastAsia="宋体" w:cs="Times New Roman"/>
                      <w:color w:val="auto"/>
                    </w:rPr>
                  </w:pPr>
                  <w:r>
                    <w:rPr>
                      <w:rFonts w:ascii="Times New Roman" w:hAnsi="Times New Roman" w:eastAsia="宋体" w:cs="Times New Roman"/>
                      <w:color w:val="auto"/>
                    </w:rPr>
                    <w:t>pH</w:t>
                  </w:r>
                </w:p>
              </w:tc>
              <w:tc>
                <w:tcPr>
                  <w:tcW w:w="458" w:type="pct"/>
                  <w:tcBorders>
                    <w:tl2br w:val="nil"/>
                    <w:tr2bl w:val="nil"/>
                  </w:tcBorders>
                  <w:noWrap w:val="0"/>
                  <w:vAlign w:val="center"/>
                </w:tcPr>
                <w:p w14:paraId="48257787">
                  <w:pPr>
                    <w:pStyle w:val="906"/>
                    <w:jc w:val="center"/>
                    <w:rPr>
                      <w:rFonts w:ascii="Times New Roman" w:hAnsi="Times New Roman" w:eastAsia="宋体" w:cs="Times New Roman"/>
                      <w:color w:val="auto"/>
                    </w:rPr>
                  </w:pPr>
                  <w:r>
                    <w:rPr>
                      <w:rFonts w:ascii="Times New Roman" w:hAnsi="Times New Roman" w:eastAsia="宋体" w:cs="Times New Roman"/>
                      <w:color w:val="auto"/>
                    </w:rPr>
                    <w:t>COD</w:t>
                  </w:r>
                </w:p>
              </w:tc>
              <w:tc>
                <w:tcPr>
                  <w:tcW w:w="517" w:type="pct"/>
                  <w:tcBorders>
                    <w:tl2br w:val="nil"/>
                    <w:tr2bl w:val="nil"/>
                  </w:tcBorders>
                  <w:noWrap w:val="0"/>
                  <w:vAlign w:val="center"/>
                </w:tcPr>
                <w:p w14:paraId="57602472">
                  <w:pPr>
                    <w:pStyle w:val="906"/>
                    <w:jc w:val="center"/>
                    <w:rPr>
                      <w:rFonts w:ascii="Times New Roman" w:hAnsi="Times New Roman" w:eastAsia="宋体" w:cs="Times New Roman"/>
                      <w:color w:val="auto"/>
                    </w:rPr>
                  </w:pPr>
                  <w:r>
                    <w:rPr>
                      <w:rFonts w:ascii="Times New Roman" w:hAnsi="Times New Roman" w:eastAsia="宋体" w:cs="Times New Roman"/>
                      <w:color w:val="auto"/>
                    </w:rPr>
                    <w:t>BOD</w:t>
                  </w:r>
                  <w:r>
                    <w:rPr>
                      <w:rFonts w:ascii="Times New Roman" w:hAnsi="Times New Roman" w:eastAsia="宋体" w:cs="Times New Roman"/>
                      <w:color w:val="auto"/>
                      <w:vertAlign w:val="subscript"/>
                    </w:rPr>
                    <w:t>5</w:t>
                  </w:r>
                </w:p>
              </w:tc>
              <w:tc>
                <w:tcPr>
                  <w:tcW w:w="458" w:type="pct"/>
                  <w:tcBorders>
                    <w:tl2br w:val="nil"/>
                    <w:tr2bl w:val="nil"/>
                  </w:tcBorders>
                  <w:noWrap w:val="0"/>
                  <w:vAlign w:val="center"/>
                </w:tcPr>
                <w:p w14:paraId="0E240C5E">
                  <w:pPr>
                    <w:pStyle w:val="906"/>
                    <w:jc w:val="center"/>
                    <w:rPr>
                      <w:rFonts w:ascii="Times New Roman" w:hAnsi="Times New Roman" w:eastAsia="宋体" w:cs="Times New Roman"/>
                      <w:color w:val="auto"/>
                    </w:rPr>
                  </w:pPr>
                  <w:r>
                    <w:rPr>
                      <w:rFonts w:ascii="Times New Roman" w:hAnsi="Times New Roman" w:eastAsia="宋体" w:cs="Times New Roman"/>
                      <w:color w:val="auto"/>
                    </w:rPr>
                    <w:t>SS</w:t>
                  </w:r>
                </w:p>
              </w:tc>
              <w:tc>
                <w:tcPr>
                  <w:tcW w:w="491" w:type="pct"/>
                  <w:tcBorders>
                    <w:tl2br w:val="nil"/>
                    <w:tr2bl w:val="nil"/>
                  </w:tcBorders>
                  <w:noWrap w:val="0"/>
                  <w:vAlign w:val="center"/>
                </w:tcPr>
                <w:p w14:paraId="52233130">
                  <w:pPr>
                    <w:pStyle w:val="906"/>
                    <w:jc w:val="center"/>
                    <w:rPr>
                      <w:rFonts w:ascii="Times New Roman" w:hAnsi="Times New Roman" w:eastAsia="宋体" w:cs="Times New Roman"/>
                      <w:color w:val="auto"/>
                    </w:rPr>
                  </w:pPr>
                  <w:r>
                    <w:rPr>
                      <w:rFonts w:ascii="Times New Roman" w:hAnsi="Times New Roman" w:eastAsia="宋体" w:cs="Times New Roman"/>
                      <w:color w:val="auto"/>
                    </w:rPr>
                    <w:t>NH</w:t>
                  </w:r>
                  <w:r>
                    <w:rPr>
                      <w:rFonts w:ascii="Times New Roman" w:hAnsi="Times New Roman" w:eastAsia="宋体" w:cs="Times New Roman"/>
                      <w:color w:val="auto"/>
                      <w:vertAlign w:val="subscript"/>
                    </w:rPr>
                    <w:t>3</w:t>
                  </w:r>
                  <w:r>
                    <w:rPr>
                      <w:rFonts w:ascii="Times New Roman" w:hAnsi="Times New Roman" w:eastAsia="宋体" w:cs="Times New Roman"/>
                      <w:color w:val="auto"/>
                    </w:rPr>
                    <w:t>-N</w:t>
                  </w:r>
                </w:p>
              </w:tc>
              <w:tc>
                <w:tcPr>
                  <w:tcW w:w="585" w:type="pct"/>
                  <w:tcBorders>
                    <w:tl2br w:val="nil"/>
                    <w:tr2bl w:val="nil"/>
                  </w:tcBorders>
                  <w:noWrap w:val="0"/>
                  <w:vAlign w:val="center"/>
                </w:tcPr>
                <w:p w14:paraId="725F8C3C">
                  <w:pPr>
                    <w:pStyle w:val="906"/>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eastAsia="zh-CN"/>
                    </w:rPr>
                    <w:t>动植物油</w:t>
                  </w:r>
                </w:p>
              </w:tc>
              <w:tc>
                <w:tcPr>
                  <w:tcW w:w="457" w:type="pct"/>
                  <w:tcBorders>
                    <w:right w:val="single" w:color="auto" w:sz="4" w:space="0"/>
                    <w:tl2br w:val="nil"/>
                    <w:tr2bl w:val="nil"/>
                  </w:tcBorders>
                  <w:noWrap w:val="0"/>
                  <w:vAlign w:val="center"/>
                </w:tcPr>
                <w:p w14:paraId="4C5D9A9C">
                  <w:pPr>
                    <w:pStyle w:val="906"/>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eastAsia="zh-CN"/>
                    </w:rPr>
                    <w:t>总磷</w:t>
                  </w:r>
                </w:p>
              </w:tc>
            </w:tr>
            <w:tr w14:paraId="596E9C6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73" w:type="pct"/>
                  <w:tcBorders>
                    <w:left w:val="single" w:color="auto" w:sz="4" w:space="0"/>
                    <w:tl2br w:val="nil"/>
                    <w:tr2bl w:val="nil"/>
                  </w:tcBorders>
                  <w:noWrap w:val="0"/>
                  <w:vAlign w:val="center"/>
                </w:tcPr>
                <w:p w14:paraId="120500ED">
                  <w:pPr>
                    <w:spacing w:line="240" w:lineRule="auto"/>
                    <w:jc w:val="center"/>
                    <w:rPr>
                      <w:color w:val="auto"/>
                      <w:sz w:val="18"/>
                      <w:szCs w:val="18"/>
                    </w:rPr>
                  </w:pPr>
                  <w:r>
                    <w:rPr>
                      <w:rFonts w:hint="default"/>
                      <w:color w:val="auto"/>
                      <w:sz w:val="18"/>
                      <w:szCs w:val="18"/>
                    </w:rPr>
                    <w:t>江南产业集中区第一污水处理厂接管</w:t>
                  </w:r>
                  <w:r>
                    <w:rPr>
                      <w:rFonts w:hint="eastAsia"/>
                      <w:color w:val="auto"/>
                      <w:sz w:val="18"/>
                      <w:szCs w:val="18"/>
                      <w:lang w:eastAsia="zh-CN"/>
                    </w:rPr>
                    <w:t>限值</w:t>
                  </w:r>
                  <w:r>
                    <w:rPr>
                      <w:color w:val="auto"/>
                      <w:sz w:val="18"/>
                      <w:szCs w:val="18"/>
                    </w:rPr>
                    <w:t>（mg/L，pH除外）</w:t>
                  </w:r>
                </w:p>
              </w:tc>
              <w:tc>
                <w:tcPr>
                  <w:tcW w:w="458" w:type="pct"/>
                  <w:tcBorders>
                    <w:tl2br w:val="nil"/>
                    <w:tr2bl w:val="nil"/>
                  </w:tcBorders>
                  <w:noWrap w:val="0"/>
                  <w:vAlign w:val="center"/>
                </w:tcPr>
                <w:p w14:paraId="274D20C8">
                  <w:pPr>
                    <w:pStyle w:val="906"/>
                    <w:jc w:val="center"/>
                    <w:rPr>
                      <w:rFonts w:ascii="Times New Roman" w:hAnsi="Times New Roman" w:eastAsia="宋体" w:cs="Times New Roman"/>
                      <w:color w:val="auto"/>
                    </w:rPr>
                  </w:pPr>
                  <w:r>
                    <w:rPr>
                      <w:rFonts w:ascii="Times New Roman" w:hAnsi="Times New Roman" w:eastAsia="宋体" w:cs="Times New Roman"/>
                      <w:color w:val="auto"/>
                    </w:rPr>
                    <w:t>6~9</w:t>
                  </w:r>
                </w:p>
              </w:tc>
              <w:tc>
                <w:tcPr>
                  <w:tcW w:w="458" w:type="pct"/>
                  <w:tcBorders>
                    <w:tl2br w:val="nil"/>
                    <w:tr2bl w:val="nil"/>
                  </w:tcBorders>
                  <w:noWrap w:val="0"/>
                  <w:vAlign w:val="center"/>
                </w:tcPr>
                <w:p w14:paraId="4A5B31D2">
                  <w:pPr>
                    <w:pStyle w:val="906"/>
                    <w:jc w:val="center"/>
                    <w:rPr>
                      <w:rFonts w:ascii="Times New Roman" w:hAnsi="Times New Roman" w:eastAsia="宋体" w:cs="Times New Roman"/>
                      <w:color w:val="auto"/>
                    </w:rPr>
                  </w:pPr>
                  <w:r>
                    <w:rPr>
                      <w:rFonts w:ascii="Times New Roman" w:hAnsi="Times New Roman" w:eastAsia="宋体" w:cs="Times New Roman"/>
                      <w:color w:val="auto"/>
                    </w:rPr>
                    <w:t>500</w:t>
                  </w:r>
                </w:p>
              </w:tc>
              <w:tc>
                <w:tcPr>
                  <w:tcW w:w="517" w:type="pct"/>
                  <w:tcBorders>
                    <w:tl2br w:val="nil"/>
                    <w:tr2bl w:val="nil"/>
                  </w:tcBorders>
                  <w:noWrap w:val="0"/>
                  <w:vAlign w:val="center"/>
                </w:tcPr>
                <w:p w14:paraId="686BEA38">
                  <w:pPr>
                    <w:pStyle w:val="906"/>
                    <w:jc w:val="center"/>
                    <w:rPr>
                      <w:rFonts w:ascii="Times New Roman" w:hAnsi="Times New Roman" w:eastAsia="宋体" w:cs="Times New Roman"/>
                      <w:color w:val="auto"/>
                    </w:rPr>
                  </w:pPr>
                  <w:r>
                    <w:rPr>
                      <w:rFonts w:hint="eastAsia" w:ascii="Times New Roman" w:hAnsi="Times New Roman" w:eastAsia="宋体" w:cs="Times New Roman"/>
                      <w:color w:val="auto"/>
                      <w:lang w:val="en-US" w:eastAsia="zh-CN"/>
                    </w:rPr>
                    <w:t>30</w:t>
                  </w:r>
                  <w:r>
                    <w:rPr>
                      <w:rFonts w:ascii="Times New Roman" w:hAnsi="Times New Roman" w:eastAsia="宋体" w:cs="Times New Roman"/>
                      <w:color w:val="auto"/>
                    </w:rPr>
                    <w:t>0</w:t>
                  </w:r>
                </w:p>
              </w:tc>
              <w:tc>
                <w:tcPr>
                  <w:tcW w:w="458" w:type="pct"/>
                  <w:tcBorders>
                    <w:tl2br w:val="nil"/>
                    <w:tr2bl w:val="nil"/>
                  </w:tcBorders>
                  <w:noWrap w:val="0"/>
                  <w:vAlign w:val="center"/>
                </w:tcPr>
                <w:p w14:paraId="57BFC7BC">
                  <w:pPr>
                    <w:pStyle w:val="906"/>
                    <w:jc w:val="center"/>
                    <w:rPr>
                      <w:rFonts w:hint="default" w:ascii="Times New Roman" w:hAnsi="Times New Roman" w:eastAsia="宋体" w:cs="Times New Roman"/>
                      <w:color w:val="auto"/>
                      <w:lang w:val="en-US" w:eastAsia="zh-CN"/>
                    </w:rPr>
                  </w:pPr>
                  <w:bookmarkStart w:id="80" w:name="_GoBack"/>
                  <w:bookmarkEnd w:id="80"/>
                  <w:r>
                    <w:rPr>
                      <w:rFonts w:hint="eastAsia" w:ascii="Times New Roman" w:hAnsi="Times New Roman" w:eastAsia="宋体" w:cs="Times New Roman"/>
                      <w:color w:val="auto"/>
                      <w:lang w:val="en-US" w:eastAsia="zh-CN"/>
                    </w:rPr>
                    <w:t>400</w:t>
                  </w:r>
                </w:p>
              </w:tc>
              <w:tc>
                <w:tcPr>
                  <w:tcW w:w="491" w:type="pct"/>
                  <w:tcBorders>
                    <w:tl2br w:val="nil"/>
                    <w:tr2bl w:val="nil"/>
                  </w:tcBorders>
                  <w:noWrap w:val="0"/>
                  <w:vAlign w:val="center"/>
                </w:tcPr>
                <w:p w14:paraId="74DFBB14">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35</w:t>
                  </w:r>
                </w:p>
              </w:tc>
              <w:tc>
                <w:tcPr>
                  <w:tcW w:w="585" w:type="pct"/>
                  <w:tcBorders>
                    <w:tl2br w:val="nil"/>
                    <w:tr2bl w:val="nil"/>
                  </w:tcBorders>
                  <w:noWrap w:val="0"/>
                  <w:vAlign w:val="center"/>
                </w:tcPr>
                <w:p w14:paraId="6BEC7AB3">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100</w:t>
                  </w:r>
                </w:p>
              </w:tc>
              <w:tc>
                <w:tcPr>
                  <w:tcW w:w="457" w:type="pct"/>
                  <w:tcBorders>
                    <w:right w:val="single" w:color="auto" w:sz="4" w:space="0"/>
                    <w:tl2br w:val="nil"/>
                    <w:tr2bl w:val="nil"/>
                  </w:tcBorders>
                  <w:noWrap w:val="0"/>
                  <w:vAlign w:val="center"/>
                </w:tcPr>
                <w:p w14:paraId="023CDDE2">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w:t>
                  </w:r>
                </w:p>
              </w:tc>
            </w:tr>
            <w:tr w14:paraId="19E439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73" w:type="pct"/>
                  <w:tcBorders>
                    <w:left w:val="single" w:color="auto" w:sz="4" w:space="0"/>
                    <w:tl2br w:val="nil"/>
                    <w:tr2bl w:val="nil"/>
                  </w:tcBorders>
                  <w:noWrap w:val="0"/>
                  <w:vAlign w:val="center"/>
                </w:tcPr>
                <w:p w14:paraId="1F619D0E">
                  <w:pPr>
                    <w:spacing w:line="240" w:lineRule="auto"/>
                    <w:jc w:val="center"/>
                    <w:rPr>
                      <w:color w:val="auto"/>
                      <w:sz w:val="18"/>
                      <w:szCs w:val="18"/>
                    </w:rPr>
                  </w:pPr>
                  <w:r>
                    <w:rPr>
                      <w:rFonts w:hint="eastAsia"/>
                      <w:color w:val="auto"/>
                      <w:sz w:val="18"/>
                      <w:szCs w:val="18"/>
                      <w:lang w:eastAsia="zh-CN"/>
                    </w:rPr>
                    <w:t>《</w:t>
                  </w:r>
                  <w:r>
                    <w:rPr>
                      <w:rFonts w:hint="default"/>
                      <w:color w:val="auto"/>
                      <w:sz w:val="18"/>
                      <w:szCs w:val="18"/>
                    </w:rPr>
                    <w:t>污水综合排放标准（GB8978-1996</w:t>
                  </w:r>
                  <w:r>
                    <w:rPr>
                      <w:rFonts w:hint="eastAsia"/>
                      <w:color w:val="auto"/>
                      <w:sz w:val="18"/>
                      <w:szCs w:val="18"/>
                      <w:lang w:eastAsia="zh-CN"/>
                    </w:rPr>
                    <w:t>）》三级</w:t>
                  </w:r>
                  <w:r>
                    <w:rPr>
                      <w:rFonts w:hint="default"/>
                      <w:color w:val="auto"/>
                      <w:sz w:val="18"/>
                      <w:szCs w:val="18"/>
                    </w:rPr>
                    <w:t>标准</w:t>
                  </w:r>
                </w:p>
              </w:tc>
              <w:tc>
                <w:tcPr>
                  <w:tcW w:w="458" w:type="pct"/>
                  <w:tcBorders>
                    <w:tl2br w:val="nil"/>
                    <w:tr2bl w:val="nil"/>
                  </w:tcBorders>
                  <w:noWrap w:val="0"/>
                  <w:vAlign w:val="center"/>
                </w:tcPr>
                <w:p w14:paraId="7CF5A89B">
                  <w:pPr>
                    <w:pStyle w:val="906"/>
                    <w:jc w:val="center"/>
                    <w:rPr>
                      <w:rFonts w:ascii="Times New Roman" w:hAnsi="Times New Roman" w:eastAsia="宋体" w:cs="Times New Roman"/>
                      <w:color w:val="auto"/>
                    </w:rPr>
                  </w:pPr>
                  <w:r>
                    <w:rPr>
                      <w:rFonts w:ascii="Times New Roman" w:hAnsi="Times New Roman" w:eastAsia="宋体" w:cs="Times New Roman"/>
                      <w:color w:val="auto"/>
                    </w:rPr>
                    <w:t>6~9</w:t>
                  </w:r>
                </w:p>
              </w:tc>
              <w:tc>
                <w:tcPr>
                  <w:tcW w:w="458" w:type="pct"/>
                  <w:tcBorders>
                    <w:tl2br w:val="nil"/>
                    <w:tr2bl w:val="nil"/>
                  </w:tcBorders>
                  <w:noWrap w:val="0"/>
                  <w:vAlign w:val="center"/>
                </w:tcPr>
                <w:p w14:paraId="13BDD2C0">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500</w:t>
                  </w:r>
                </w:p>
              </w:tc>
              <w:tc>
                <w:tcPr>
                  <w:tcW w:w="517" w:type="pct"/>
                  <w:tcBorders>
                    <w:tl2br w:val="nil"/>
                    <w:tr2bl w:val="nil"/>
                  </w:tcBorders>
                  <w:noWrap w:val="0"/>
                  <w:vAlign w:val="center"/>
                </w:tcPr>
                <w:p w14:paraId="0E3BCB32">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300</w:t>
                  </w:r>
                </w:p>
              </w:tc>
              <w:tc>
                <w:tcPr>
                  <w:tcW w:w="458" w:type="pct"/>
                  <w:tcBorders>
                    <w:tl2br w:val="nil"/>
                    <w:tr2bl w:val="nil"/>
                  </w:tcBorders>
                  <w:noWrap w:val="0"/>
                  <w:vAlign w:val="center"/>
                </w:tcPr>
                <w:p w14:paraId="2AA3C1FC">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400</w:t>
                  </w:r>
                </w:p>
              </w:tc>
              <w:tc>
                <w:tcPr>
                  <w:tcW w:w="491" w:type="pct"/>
                  <w:tcBorders>
                    <w:tl2br w:val="nil"/>
                    <w:tr2bl w:val="nil"/>
                  </w:tcBorders>
                  <w:noWrap w:val="0"/>
                  <w:vAlign w:val="center"/>
                </w:tcPr>
                <w:p w14:paraId="4BC7B68B">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c>
                <w:tcPr>
                  <w:tcW w:w="585" w:type="pct"/>
                  <w:tcBorders>
                    <w:tl2br w:val="nil"/>
                    <w:tr2bl w:val="nil"/>
                  </w:tcBorders>
                  <w:noWrap w:val="0"/>
                  <w:vAlign w:val="center"/>
                </w:tcPr>
                <w:p w14:paraId="6E97947B">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100</w:t>
                  </w:r>
                </w:p>
              </w:tc>
              <w:tc>
                <w:tcPr>
                  <w:tcW w:w="457" w:type="pct"/>
                  <w:tcBorders>
                    <w:right w:val="single" w:color="auto" w:sz="4" w:space="0"/>
                    <w:tl2br w:val="nil"/>
                    <w:tr2bl w:val="nil"/>
                  </w:tcBorders>
                  <w:noWrap w:val="0"/>
                  <w:vAlign w:val="center"/>
                </w:tcPr>
                <w:p w14:paraId="68CA1542">
                  <w:pPr>
                    <w:pStyle w:val="906"/>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w:t>
                  </w:r>
                </w:p>
              </w:tc>
            </w:tr>
            <w:tr w14:paraId="669169A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573" w:type="pct"/>
                  <w:tcBorders>
                    <w:left w:val="single" w:color="auto" w:sz="4" w:space="0"/>
                    <w:tl2br w:val="nil"/>
                    <w:tr2bl w:val="nil"/>
                  </w:tcBorders>
                  <w:noWrap w:val="0"/>
                  <w:vAlign w:val="center"/>
                </w:tcPr>
                <w:p w14:paraId="5EE3758E">
                  <w:pPr>
                    <w:spacing w:line="240" w:lineRule="auto"/>
                    <w:jc w:val="center"/>
                    <w:rPr>
                      <w:rFonts w:hint="eastAsia"/>
                      <w:color w:val="auto"/>
                      <w:sz w:val="18"/>
                      <w:szCs w:val="18"/>
                      <w:lang w:eastAsia="zh-CN"/>
                    </w:rPr>
                  </w:pPr>
                  <w:r>
                    <w:rPr>
                      <w:rFonts w:hint="eastAsia"/>
                      <w:color w:val="auto"/>
                      <w:sz w:val="18"/>
                      <w:szCs w:val="18"/>
                      <w:lang w:eastAsia="zh-CN"/>
                    </w:rPr>
                    <w:t>本项目执行标准</w:t>
                  </w:r>
                </w:p>
              </w:tc>
              <w:tc>
                <w:tcPr>
                  <w:tcW w:w="458" w:type="pct"/>
                  <w:tcBorders>
                    <w:tl2br w:val="nil"/>
                    <w:tr2bl w:val="nil"/>
                  </w:tcBorders>
                  <w:noWrap w:val="0"/>
                  <w:vAlign w:val="center"/>
                </w:tcPr>
                <w:p w14:paraId="18573DDE">
                  <w:pPr>
                    <w:pStyle w:val="906"/>
                    <w:jc w:val="center"/>
                    <w:rPr>
                      <w:rFonts w:ascii="Times New Roman" w:hAnsi="Times New Roman" w:eastAsia="宋体" w:cs="Times New Roman"/>
                      <w:b/>
                      <w:bCs/>
                      <w:color w:val="auto"/>
                      <w:lang w:val="en-US" w:eastAsia="zh-CN"/>
                    </w:rPr>
                  </w:pPr>
                  <w:r>
                    <w:rPr>
                      <w:rFonts w:ascii="Times New Roman" w:hAnsi="Times New Roman" w:eastAsia="宋体" w:cs="Times New Roman"/>
                      <w:b/>
                      <w:bCs/>
                      <w:color w:val="auto"/>
                    </w:rPr>
                    <w:t>6~9</w:t>
                  </w:r>
                </w:p>
              </w:tc>
              <w:tc>
                <w:tcPr>
                  <w:tcW w:w="458" w:type="pct"/>
                  <w:tcBorders>
                    <w:tl2br w:val="nil"/>
                    <w:tr2bl w:val="nil"/>
                  </w:tcBorders>
                  <w:noWrap w:val="0"/>
                  <w:vAlign w:val="center"/>
                </w:tcPr>
                <w:p w14:paraId="4B4FE5EC">
                  <w:pPr>
                    <w:pStyle w:val="906"/>
                    <w:jc w:val="center"/>
                    <w:rPr>
                      <w:rFonts w:hint="eastAsia" w:ascii="Times New Roman" w:hAnsi="Times New Roman" w:eastAsia="宋体" w:cs="Times New Roman"/>
                      <w:b/>
                      <w:bCs/>
                      <w:color w:val="auto"/>
                      <w:lang w:val="en-US" w:eastAsia="zh-CN"/>
                    </w:rPr>
                  </w:pPr>
                  <w:r>
                    <w:rPr>
                      <w:rFonts w:ascii="Times New Roman" w:hAnsi="Times New Roman" w:eastAsia="宋体" w:cs="Times New Roman"/>
                      <w:b/>
                      <w:bCs/>
                      <w:color w:val="auto"/>
                    </w:rPr>
                    <w:t>500</w:t>
                  </w:r>
                </w:p>
              </w:tc>
              <w:tc>
                <w:tcPr>
                  <w:tcW w:w="517" w:type="pct"/>
                  <w:tcBorders>
                    <w:tl2br w:val="nil"/>
                    <w:tr2bl w:val="nil"/>
                  </w:tcBorders>
                  <w:noWrap w:val="0"/>
                  <w:vAlign w:val="center"/>
                </w:tcPr>
                <w:p w14:paraId="5694ECA1">
                  <w:pPr>
                    <w:pStyle w:val="906"/>
                    <w:jc w:val="cente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30</w:t>
                  </w:r>
                  <w:r>
                    <w:rPr>
                      <w:rFonts w:ascii="Times New Roman" w:hAnsi="Times New Roman" w:eastAsia="宋体" w:cs="Times New Roman"/>
                      <w:b/>
                      <w:bCs/>
                      <w:color w:val="auto"/>
                    </w:rPr>
                    <w:t>0</w:t>
                  </w:r>
                </w:p>
              </w:tc>
              <w:tc>
                <w:tcPr>
                  <w:tcW w:w="458" w:type="pct"/>
                  <w:tcBorders>
                    <w:tl2br w:val="nil"/>
                    <w:tr2bl w:val="nil"/>
                  </w:tcBorders>
                  <w:noWrap w:val="0"/>
                  <w:vAlign w:val="center"/>
                </w:tcPr>
                <w:p w14:paraId="41698EED">
                  <w:pPr>
                    <w:pStyle w:val="906"/>
                    <w:jc w:val="cente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40</w:t>
                  </w:r>
                  <w:r>
                    <w:rPr>
                      <w:rFonts w:ascii="Times New Roman" w:hAnsi="Times New Roman" w:eastAsia="宋体" w:cs="Times New Roman"/>
                      <w:b/>
                      <w:bCs/>
                      <w:color w:val="auto"/>
                    </w:rPr>
                    <w:t>0</w:t>
                  </w:r>
                </w:p>
              </w:tc>
              <w:tc>
                <w:tcPr>
                  <w:tcW w:w="491" w:type="pct"/>
                  <w:tcBorders>
                    <w:tl2br w:val="nil"/>
                    <w:tr2bl w:val="nil"/>
                  </w:tcBorders>
                  <w:noWrap w:val="0"/>
                  <w:vAlign w:val="center"/>
                </w:tcPr>
                <w:p w14:paraId="49E70BC0">
                  <w:pPr>
                    <w:pStyle w:val="906"/>
                    <w:jc w:val="cente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3</w:t>
                  </w:r>
                  <w:r>
                    <w:rPr>
                      <w:rFonts w:hint="eastAsia" w:ascii="Times New Roman" w:hAnsi="Times New Roman" w:eastAsia="宋体" w:cs="Times New Roman"/>
                      <w:b/>
                      <w:bCs/>
                      <w:color w:val="auto"/>
                    </w:rPr>
                    <w:t>5</w:t>
                  </w:r>
                </w:p>
              </w:tc>
              <w:tc>
                <w:tcPr>
                  <w:tcW w:w="585" w:type="pct"/>
                  <w:tcBorders>
                    <w:tl2br w:val="nil"/>
                    <w:tr2bl w:val="nil"/>
                  </w:tcBorders>
                  <w:noWrap w:val="0"/>
                  <w:vAlign w:val="center"/>
                </w:tcPr>
                <w:p w14:paraId="6D178529">
                  <w:pPr>
                    <w:pStyle w:val="906"/>
                    <w:jc w:val="center"/>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100</w:t>
                  </w:r>
                </w:p>
              </w:tc>
              <w:tc>
                <w:tcPr>
                  <w:tcW w:w="457" w:type="pct"/>
                  <w:tcBorders>
                    <w:right w:val="single" w:color="auto" w:sz="4" w:space="0"/>
                    <w:tl2br w:val="nil"/>
                    <w:tr2bl w:val="nil"/>
                  </w:tcBorders>
                  <w:noWrap w:val="0"/>
                  <w:vAlign w:val="center"/>
                </w:tcPr>
                <w:p w14:paraId="52E38E3B">
                  <w:pPr>
                    <w:pStyle w:val="906"/>
                    <w:jc w:val="center"/>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t>5</w:t>
                  </w:r>
                </w:p>
              </w:tc>
            </w:tr>
          </w:tbl>
          <w:p w14:paraId="1EB2B1DF">
            <w:pPr>
              <w:adjustRightInd w:val="0"/>
              <w:snapToGrid w:val="0"/>
              <w:rPr>
                <w:b/>
                <w:color w:val="auto"/>
                <w:szCs w:val="24"/>
              </w:rPr>
            </w:pPr>
            <w:r>
              <w:rPr>
                <w:rFonts w:hint="eastAsia"/>
                <w:b/>
                <w:color w:val="auto"/>
                <w:szCs w:val="24"/>
              </w:rPr>
              <w:t>3、</w:t>
            </w:r>
            <w:r>
              <w:rPr>
                <w:b/>
                <w:color w:val="auto"/>
                <w:szCs w:val="24"/>
              </w:rPr>
              <w:t>噪声</w:t>
            </w:r>
          </w:p>
          <w:p w14:paraId="06781F03">
            <w:pPr>
              <w:ind w:firstLine="480" w:firstLineChars="200"/>
              <w:rPr>
                <w:color w:val="auto"/>
              </w:rPr>
            </w:pPr>
            <w:r>
              <w:rPr>
                <w:rFonts w:hint="eastAsia"/>
                <w:color w:val="auto"/>
              </w:rPr>
              <w:t>项目施工期场界噪声执行《建筑施工场界环境噪声排放标准》(GB12523-2011)中相关要求，厂界噪声排放执行《工业企业厂界环境噪声排放标准》(GB12348-2008)中3类标准。具体标准值如下表所示。</w:t>
            </w:r>
          </w:p>
          <w:p w14:paraId="6FB22064">
            <w:pPr>
              <w:jc w:val="center"/>
              <w:rPr>
                <w:rFonts w:eastAsia="黑体"/>
                <w:color w:val="auto"/>
              </w:rPr>
            </w:pPr>
            <w:r>
              <w:rPr>
                <w:rFonts w:eastAsia="黑体"/>
                <w:color w:val="auto"/>
              </w:rPr>
              <w:t>表</w:t>
            </w:r>
            <w:r>
              <w:rPr>
                <w:rFonts w:hint="eastAsia" w:eastAsia="黑体"/>
                <w:color w:val="auto"/>
              </w:rPr>
              <w:t>3</w:t>
            </w:r>
            <w:r>
              <w:rPr>
                <w:rFonts w:eastAsia="黑体"/>
                <w:color w:val="auto"/>
              </w:rPr>
              <w:t>-</w:t>
            </w:r>
            <w:r>
              <w:rPr>
                <w:rFonts w:hint="eastAsia" w:eastAsia="黑体"/>
                <w:color w:val="auto"/>
                <w:lang w:val="en-US" w:eastAsia="zh-CN"/>
              </w:rPr>
              <w:t>7</w:t>
            </w:r>
            <w:r>
              <w:rPr>
                <w:rFonts w:hint="eastAsia" w:eastAsia="黑体"/>
                <w:color w:val="auto"/>
              </w:rPr>
              <w:t xml:space="preserve"> </w:t>
            </w:r>
            <w:r>
              <w:rPr>
                <w:rFonts w:eastAsia="黑体"/>
                <w:color w:val="auto"/>
              </w:rPr>
              <w:t xml:space="preserve"> 工业企业厂界环境噪声排放标准</w:t>
            </w:r>
            <w:r>
              <w:rPr>
                <w:rFonts w:hint="eastAsia" w:eastAsia="黑体"/>
                <w:color w:val="auto"/>
              </w:rPr>
              <w:t xml:space="preserve">  </w:t>
            </w:r>
            <w:r>
              <w:rPr>
                <w:rFonts w:eastAsia="黑体"/>
                <w:color w:val="auto"/>
              </w:rPr>
              <w:t>单位：dB(A)</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2356"/>
              <w:gridCol w:w="2486"/>
              <w:gridCol w:w="2615"/>
            </w:tblGrid>
            <w:tr w14:paraId="61A3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85" w:type="pct"/>
                  <w:vAlign w:val="center"/>
                </w:tcPr>
                <w:p w14:paraId="5ADCD328">
                  <w:pPr>
                    <w:spacing w:line="240" w:lineRule="auto"/>
                    <w:jc w:val="center"/>
                    <w:rPr>
                      <w:color w:val="auto"/>
                      <w:sz w:val="18"/>
                      <w:szCs w:val="18"/>
                    </w:rPr>
                  </w:pPr>
                  <w:r>
                    <w:rPr>
                      <w:color w:val="auto"/>
                      <w:sz w:val="18"/>
                      <w:szCs w:val="18"/>
                    </w:rPr>
                    <w:t>阶段</w:t>
                  </w:r>
                </w:p>
              </w:tc>
              <w:tc>
                <w:tcPr>
                  <w:tcW w:w="1300" w:type="pct"/>
                  <w:vAlign w:val="center"/>
                </w:tcPr>
                <w:p w14:paraId="4EEA2461">
                  <w:pPr>
                    <w:spacing w:line="240" w:lineRule="auto"/>
                    <w:jc w:val="center"/>
                    <w:rPr>
                      <w:color w:val="auto"/>
                      <w:sz w:val="18"/>
                      <w:szCs w:val="18"/>
                    </w:rPr>
                  </w:pPr>
                  <w:r>
                    <w:rPr>
                      <w:color w:val="auto"/>
                      <w:sz w:val="18"/>
                      <w:szCs w:val="18"/>
                    </w:rPr>
                    <w:t>昼间[dB(A)]</w:t>
                  </w:r>
                </w:p>
              </w:tc>
              <w:tc>
                <w:tcPr>
                  <w:tcW w:w="1372" w:type="pct"/>
                  <w:vAlign w:val="center"/>
                </w:tcPr>
                <w:p w14:paraId="28E39C54">
                  <w:pPr>
                    <w:spacing w:line="240" w:lineRule="auto"/>
                    <w:jc w:val="center"/>
                    <w:rPr>
                      <w:color w:val="auto"/>
                      <w:sz w:val="18"/>
                      <w:szCs w:val="18"/>
                    </w:rPr>
                  </w:pPr>
                  <w:r>
                    <w:rPr>
                      <w:color w:val="auto"/>
                      <w:sz w:val="18"/>
                      <w:szCs w:val="18"/>
                    </w:rPr>
                    <w:t>夜间[dB(A)]</w:t>
                  </w:r>
                </w:p>
              </w:tc>
              <w:tc>
                <w:tcPr>
                  <w:tcW w:w="1444" w:type="pct"/>
                  <w:vAlign w:val="center"/>
                </w:tcPr>
                <w:p w14:paraId="4A185B40">
                  <w:pPr>
                    <w:spacing w:line="240" w:lineRule="auto"/>
                    <w:jc w:val="center"/>
                    <w:rPr>
                      <w:color w:val="auto"/>
                      <w:sz w:val="18"/>
                      <w:szCs w:val="18"/>
                    </w:rPr>
                  </w:pPr>
                  <w:r>
                    <w:rPr>
                      <w:color w:val="auto"/>
                      <w:sz w:val="18"/>
                      <w:szCs w:val="18"/>
                    </w:rPr>
                    <w:t>标准来源</w:t>
                  </w:r>
                </w:p>
              </w:tc>
            </w:tr>
            <w:tr w14:paraId="009B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85" w:type="pct"/>
                  <w:vAlign w:val="center"/>
                </w:tcPr>
                <w:p w14:paraId="010CB4A1">
                  <w:pPr>
                    <w:spacing w:line="240" w:lineRule="auto"/>
                    <w:jc w:val="center"/>
                    <w:rPr>
                      <w:color w:val="auto"/>
                      <w:sz w:val="18"/>
                      <w:szCs w:val="18"/>
                    </w:rPr>
                  </w:pPr>
                  <w:r>
                    <w:rPr>
                      <w:color w:val="auto"/>
                      <w:sz w:val="18"/>
                      <w:szCs w:val="18"/>
                    </w:rPr>
                    <w:t>施工期</w:t>
                  </w:r>
                </w:p>
              </w:tc>
              <w:tc>
                <w:tcPr>
                  <w:tcW w:w="1300" w:type="pct"/>
                  <w:vAlign w:val="center"/>
                </w:tcPr>
                <w:p w14:paraId="245F2EE2">
                  <w:pPr>
                    <w:spacing w:line="240" w:lineRule="auto"/>
                    <w:jc w:val="center"/>
                    <w:rPr>
                      <w:color w:val="auto"/>
                      <w:sz w:val="18"/>
                      <w:szCs w:val="18"/>
                    </w:rPr>
                  </w:pPr>
                  <w:r>
                    <w:rPr>
                      <w:color w:val="auto"/>
                      <w:sz w:val="18"/>
                      <w:szCs w:val="18"/>
                    </w:rPr>
                    <w:t>70</w:t>
                  </w:r>
                </w:p>
              </w:tc>
              <w:tc>
                <w:tcPr>
                  <w:tcW w:w="1372" w:type="pct"/>
                  <w:vAlign w:val="center"/>
                </w:tcPr>
                <w:p w14:paraId="207EE9E4">
                  <w:pPr>
                    <w:spacing w:line="240" w:lineRule="auto"/>
                    <w:jc w:val="center"/>
                    <w:rPr>
                      <w:color w:val="auto"/>
                      <w:sz w:val="18"/>
                      <w:szCs w:val="18"/>
                    </w:rPr>
                  </w:pPr>
                  <w:r>
                    <w:rPr>
                      <w:color w:val="auto"/>
                      <w:sz w:val="18"/>
                      <w:szCs w:val="18"/>
                    </w:rPr>
                    <w:t>55</w:t>
                  </w:r>
                </w:p>
              </w:tc>
              <w:tc>
                <w:tcPr>
                  <w:tcW w:w="1444" w:type="pct"/>
                  <w:vAlign w:val="center"/>
                </w:tcPr>
                <w:p w14:paraId="4BF80F9A">
                  <w:pPr>
                    <w:spacing w:line="240" w:lineRule="auto"/>
                    <w:jc w:val="center"/>
                    <w:rPr>
                      <w:color w:val="auto"/>
                      <w:sz w:val="18"/>
                      <w:szCs w:val="18"/>
                    </w:rPr>
                  </w:pPr>
                  <w:r>
                    <w:rPr>
                      <w:color w:val="auto"/>
                      <w:sz w:val="18"/>
                      <w:szCs w:val="18"/>
                    </w:rPr>
                    <w:t>GB 12523-2011</w:t>
                  </w:r>
                </w:p>
              </w:tc>
            </w:tr>
            <w:tr w14:paraId="4863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85" w:type="pct"/>
                  <w:vAlign w:val="center"/>
                </w:tcPr>
                <w:p w14:paraId="6DDCD1ED">
                  <w:pPr>
                    <w:spacing w:line="240" w:lineRule="auto"/>
                    <w:jc w:val="center"/>
                    <w:rPr>
                      <w:color w:val="auto"/>
                      <w:sz w:val="18"/>
                      <w:szCs w:val="18"/>
                    </w:rPr>
                  </w:pPr>
                  <w:r>
                    <w:rPr>
                      <w:color w:val="auto"/>
                      <w:sz w:val="18"/>
                      <w:szCs w:val="18"/>
                    </w:rPr>
                    <w:t>运营期</w:t>
                  </w:r>
                </w:p>
              </w:tc>
              <w:tc>
                <w:tcPr>
                  <w:tcW w:w="1300" w:type="pct"/>
                  <w:vAlign w:val="center"/>
                </w:tcPr>
                <w:p w14:paraId="1AA4DB0A">
                  <w:pPr>
                    <w:spacing w:line="240" w:lineRule="auto"/>
                    <w:jc w:val="center"/>
                    <w:rPr>
                      <w:color w:val="auto"/>
                      <w:sz w:val="18"/>
                      <w:szCs w:val="18"/>
                    </w:rPr>
                  </w:pPr>
                  <w:r>
                    <w:rPr>
                      <w:rFonts w:hint="eastAsia"/>
                      <w:color w:val="auto"/>
                      <w:sz w:val="18"/>
                      <w:szCs w:val="18"/>
                    </w:rPr>
                    <w:t>65</w:t>
                  </w:r>
                </w:p>
              </w:tc>
              <w:tc>
                <w:tcPr>
                  <w:tcW w:w="1372" w:type="pct"/>
                  <w:vAlign w:val="center"/>
                </w:tcPr>
                <w:p w14:paraId="0A3893F2">
                  <w:pPr>
                    <w:spacing w:line="240" w:lineRule="auto"/>
                    <w:jc w:val="center"/>
                    <w:rPr>
                      <w:color w:val="auto"/>
                      <w:sz w:val="18"/>
                      <w:szCs w:val="18"/>
                    </w:rPr>
                  </w:pPr>
                  <w:r>
                    <w:rPr>
                      <w:rFonts w:hint="eastAsia"/>
                      <w:color w:val="auto"/>
                      <w:sz w:val="18"/>
                      <w:szCs w:val="18"/>
                    </w:rPr>
                    <w:t>55</w:t>
                  </w:r>
                </w:p>
              </w:tc>
              <w:tc>
                <w:tcPr>
                  <w:tcW w:w="1444" w:type="pct"/>
                  <w:vAlign w:val="center"/>
                </w:tcPr>
                <w:p w14:paraId="6741BAA4">
                  <w:pPr>
                    <w:spacing w:line="240" w:lineRule="auto"/>
                    <w:jc w:val="center"/>
                    <w:rPr>
                      <w:color w:val="auto"/>
                      <w:sz w:val="18"/>
                      <w:szCs w:val="18"/>
                    </w:rPr>
                  </w:pPr>
                  <w:r>
                    <w:rPr>
                      <w:color w:val="auto"/>
                      <w:sz w:val="18"/>
                      <w:szCs w:val="18"/>
                    </w:rPr>
                    <w:t>GB12348-2008中</w:t>
                  </w:r>
                  <w:r>
                    <w:rPr>
                      <w:rFonts w:hint="eastAsia"/>
                      <w:color w:val="auto"/>
                      <w:sz w:val="18"/>
                      <w:szCs w:val="18"/>
                    </w:rPr>
                    <w:t>3</w:t>
                  </w:r>
                  <w:r>
                    <w:rPr>
                      <w:color w:val="auto"/>
                      <w:sz w:val="18"/>
                      <w:szCs w:val="18"/>
                    </w:rPr>
                    <w:t>类标准</w:t>
                  </w:r>
                </w:p>
              </w:tc>
            </w:tr>
          </w:tbl>
          <w:p w14:paraId="7E813B2B">
            <w:pPr>
              <w:snapToGrid w:val="0"/>
              <w:rPr>
                <w:b/>
                <w:color w:val="auto"/>
                <w:szCs w:val="24"/>
              </w:rPr>
            </w:pPr>
            <w:r>
              <w:rPr>
                <w:b/>
                <w:color w:val="auto"/>
                <w:szCs w:val="24"/>
              </w:rPr>
              <w:t>4</w:t>
            </w:r>
            <w:r>
              <w:rPr>
                <w:rFonts w:hint="eastAsia"/>
                <w:b/>
                <w:color w:val="auto"/>
                <w:szCs w:val="24"/>
              </w:rPr>
              <w:t>、</w:t>
            </w:r>
            <w:r>
              <w:rPr>
                <w:b/>
                <w:color w:val="auto"/>
                <w:szCs w:val="24"/>
              </w:rPr>
              <w:t>固废</w:t>
            </w:r>
          </w:p>
          <w:p w14:paraId="3922DB2A">
            <w:pPr>
              <w:snapToGrid w:val="0"/>
              <w:ind w:firstLine="480" w:firstLineChars="200"/>
              <w:rPr>
                <w:rFonts w:hint="eastAsia"/>
                <w:bCs/>
                <w:color w:val="auto"/>
              </w:rPr>
            </w:pPr>
            <w:r>
              <w:rPr>
                <w:rFonts w:hint="eastAsia"/>
                <w:bCs/>
                <w:color w:val="auto"/>
              </w:rPr>
              <w:t>危险废物贮存要求按《危险废物贮存污染控制标准》（G</w:t>
            </w:r>
            <w:r>
              <w:rPr>
                <w:bCs/>
                <w:color w:val="auto"/>
              </w:rPr>
              <w:t>B18597-2023</w:t>
            </w:r>
            <w:r>
              <w:rPr>
                <w:rFonts w:hint="eastAsia"/>
                <w:bCs/>
                <w:color w:val="auto"/>
              </w:rPr>
              <w:t>）标准贮存；危险废物的转移须严格按照《危险废物转移联单管理办法》执行。一般工业固体废物参照GB18599-2020《一般工业固体废物贮存、处置场污染控制标准》中的贮存过程要求，应满足相应防渗漏、防雨淋、防扬尘等环境保护要求进行贮存。</w:t>
            </w:r>
          </w:p>
          <w:p w14:paraId="400128A0">
            <w:pPr>
              <w:pStyle w:val="85"/>
              <w:rPr>
                <w:rFonts w:hint="eastAsia"/>
                <w:bCs/>
                <w:color w:val="auto"/>
              </w:rPr>
            </w:pPr>
          </w:p>
          <w:p w14:paraId="24296624">
            <w:pPr>
              <w:pStyle w:val="85"/>
              <w:rPr>
                <w:rFonts w:hint="eastAsia"/>
                <w:bCs/>
                <w:color w:val="auto"/>
              </w:rPr>
            </w:pPr>
          </w:p>
          <w:p w14:paraId="6E4643EC">
            <w:pPr>
              <w:pStyle w:val="86"/>
              <w:jc w:val="both"/>
              <w:rPr>
                <w:rFonts w:hint="eastAsia"/>
                <w:bCs/>
                <w:color w:val="auto"/>
              </w:rPr>
            </w:pPr>
          </w:p>
          <w:p w14:paraId="0936C5A8">
            <w:pPr>
              <w:pStyle w:val="87"/>
              <w:ind w:left="0" w:leftChars="0" w:firstLine="0" w:firstLineChars="0"/>
              <w:rPr>
                <w:rFonts w:hint="eastAsia"/>
                <w:bCs/>
                <w:color w:val="auto"/>
              </w:rPr>
            </w:pPr>
          </w:p>
          <w:p w14:paraId="531040DF">
            <w:pPr>
              <w:rPr>
                <w:rFonts w:hint="eastAsia"/>
                <w:bCs/>
                <w:color w:val="auto"/>
              </w:rPr>
            </w:pPr>
          </w:p>
          <w:p w14:paraId="0A0308A6">
            <w:pPr>
              <w:pStyle w:val="85"/>
              <w:rPr>
                <w:color w:val="auto"/>
              </w:rPr>
            </w:pPr>
          </w:p>
          <w:p w14:paraId="587FED59">
            <w:pPr>
              <w:pStyle w:val="86"/>
              <w:rPr>
                <w:color w:val="auto"/>
              </w:rPr>
            </w:pPr>
          </w:p>
          <w:p w14:paraId="5F4018CE">
            <w:pPr>
              <w:pStyle w:val="87"/>
              <w:rPr>
                <w:color w:val="auto"/>
              </w:rPr>
            </w:pPr>
          </w:p>
          <w:p w14:paraId="29B09B62">
            <w:pPr>
              <w:rPr>
                <w:color w:val="auto"/>
              </w:rPr>
            </w:pPr>
          </w:p>
          <w:p w14:paraId="1018DB44">
            <w:pPr>
              <w:pStyle w:val="85"/>
              <w:rPr>
                <w:color w:val="auto"/>
              </w:rPr>
            </w:pPr>
          </w:p>
          <w:p w14:paraId="1B3227CC">
            <w:pPr>
              <w:pStyle w:val="86"/>
              <w:rPr>
                <w:color w:val="auto"/>
              </w:rPr>
            </w:pPr>
          </w:p>
          <w:p w14:paraId="1F53208C">
            <w:pPr>
              <w:pStyle w:val="87"/>
              <w:rPr>
                <w:color w:val="auto"/>
              </w:rPr>
            </w:pPr>
          </w:p>
          <w:p w14:paraId="1DB4326A">
            <w:pPr>
              <w:rPr>
                <w:color w:val="auto"/>
              </w:rPr>
            </w:pPr>
          </w:p>
          <w:p w14:paraId="44576CB7">
            <w:pPr>
              <w:pStyle w:val="85"/>
              <w:rPr>
                <w:color w:val="auto"/>
              </w:rPr>
            </w:pPr>
          </w:p>
          <w:p w14:paraId="6B0CAC63">
            <w:pPr>
              <w:pStyle w:val="86"/>
              <w:rPr>
                <w:color w:val="auto"/>
              </w:rPr>
            </w:pPr>
          </w:p>
          <w:p w14:paraId="5051B6D9">
            <w:pPr>
              <w:pStyle w:val="87"/>
              <w:rPr>
                <w:color w:val="auto"/>
              </w:rPr>
            </w:pPr>
          </w:p>
        </w:tc>
      </w:tr>
      <w:tr w14:paraId="396C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0" w:hRule="atLeast"/>
        </w:trPr>
        <w:tc>
          <w:tcPr>
            <w:tcW w:w="234" w:type="pct"/>
            <w:vAlign w:val="center"/>
          </w:tcPr>
          <w:p w14:paraId="6F96474C">
            <w:pPr>
              <w:jc w:val="center"/>
              <w:rPr>
                <w:color w:val="auto"/>
              </w:rPr>
            </w:pPr>
            <w:r>
              <w:rPr>
                <w:rFonts w:hint="eastAsia"/>
                <w:color w:val="auto"/>
              </w:rPr>
              <w:t>总量控制指标</w:t>
            </w:r>
          </w:p>
        </w:tc>
        <w:tc>
          <w:tcPr>
            <w:tcW w:w="4766" w:type="pct"/>
          </w:tcPr>
          <w:p w14:paraId="5DD1311A">
            <w:pPr>
              <w:ind w:firstLine="480" w:firstLineChars="200"/>
              <w:rPr>
                <w:rFonts w:hint="eastAsia"/>
                <w:color w:val="auto"/>
                <w:lang w:eastAsia="zh-CN"/>
              </w:rPr>
            </w:pPr>
            <w:r>
              <w:rPr>
                <w:rFonts w:hint="eastAsia"/>
                <w:color w:val="auto"/>
              </w:rPr>
              <w:t>根据《安徽省环保厅关于进一步加强建设项目新增大气主要污染物总量指标管理工作的通知》（皖环发〔2017〕19号）以及本项目工程分析可知，废气排放的污染因子中，纳入总量控制要求的主要污染物是二氧化硫（SO</w:t>
            </w:r>
            <w:r>
              <w:rPr>
                <w:rFonts w:hint="eastAsia"/>
                <w:color w:val="auto"/>
                <w:vertAlign w:val="subscript"/>
              </w:rPr>
              <w:t>2</w:t>
            </w:r>
            <w:r>
              <w:rPr>
                <w:rFonts w:hint="eastAsia"/>
                <w:color w:val="auto"/>
              </w:rPr>
              <w:t>）、氮氧化物（NO</w:t>
            </w:r>
            <w:r>
              <w:rPr>
                <w:rFonts w:hint="eastAsia"/>
                <w:color w:val="auto"/>
                <w:vertAlign w:val="subscript"/>
              </w:rPr>
              <w:t>x</w:t>
            </w:r>
            <w:r>
              <w:rPr>
                <w:rFonts w:hint="eastAsia"/>
                <w:color w:val="auto"/>
              </w:rPr>
              <w:t>）、烟（粉）尘</w:t>
            </w:r>
            <w:r>
              <w:rPr>
                <w:rFonts w:hint="eastAsia"/>
                <w:color w:val="auto"/>
                <w:lang w:eastAsia="zh-CN"/>
              </w:rPr>
              <w:t>。</w:t>
            </w:r>
          </w:p>
          <w:p w14:paraId="3C66E5EB">
            <w:pPr>
              <w:ind w:firstLine="480" w:firstLineChars="200"/>
              <w:rPr>
                <w:color w:val="auto"/>
              </w:rPr>
            </w:pPr>
            <w:r>
              <w:rPr>
                <w:rFonts w:hint="eastAsia"/>
                <w:color w:val="auto"/>
                <w:lang w:val="en-US" w:eastAsia="zh-CN"/>
              </w:rPr>
              <w:t>根据</w:t>
            </w:r>
            <w:r>
              <w:rPr>
                <w:rFonts w:hint="eastAsia"/>
                <w:color w:val="auto"/>
                <w:lang w:eastAsia="zh-CN"/>
              </w:rPr>
              <w:t>《安徽省排污权有偿使用和交易管理办法（试行）》，自2024年1月1日起施行，其中明确：现阶段实施排污权交易的污染物种类为</w:t>
            </w:r>
            <w:r>
              <w:rPr>
                <w:rFonts w:hint="eastAsia"/>
                <w:color w:val="auto"/>
              </w:rPr>
              <w:t>二氧化硫（SO</w:t>
            </w:r>
            <w:r>
              <w:rPr>
                <w:rFonts w:hint="eastAsia"/>
                <w:color w:val="auto"/>
                <w:vertAlign w:val="subscript"/>
              </w:rPr>
              <w:t>2</w:t>
            </w:r>
            <w:r>
              <w:rPr>
                <w:rFonts w:hint="eastAsia"/>
                <w:color w:val="auto"/>
              </w:rPr>
              <w:t>）、氮氧化物（NO</w:t>
            </w:r>
            <w:r>
              <w:rPr>
                <w:rFonts w:hint="eastAsia"/>
                <w:color w:val="auto"/>
                <w:vertAlign w:val="subscript"/>
              </w:rPr>
              <w:t>x</w:t>
            </w:r>
            <w:r>
              <w:rPr>
                <w:rFonts w:hint="eastAsia"/>
                <w:color w:val="auto"/>
              </w:rPr>
              <w:t>）</w:t>
            </w:r>
            <w:r>
              <w:rPr>
                <w:rFonts w:hint="eastAsia"/>
                <w:color w:val="auto"/>
                <w:lang w:val="en-US" w:eastAsia="zh-CN"/>
              </w:rPr>
              <w:t>化学需氧量</w:t>
            </w:r>
            <w:r>
              <w:rPr>
                <w:rFonts w:hint="eastAsia"/>
                <w:color w:val="auto"/>
                <w:lang w:eastAsia="zh-CN"/>
              </w:rPr>
              <w:t>（</w:t>
            </w:r>
            <w:r>
              <w:rPr>
                <w:rFonts w:hint="eastAsia"/>
                <w:color w:val="auto"/>
              </w:rPr>
              <w:t>C</w:t>
            </w:r>
            <w:r>
              <w:rPr>
                <w:color w:val="auto"/>
              </w:rPr>
              <w:t>OD</w:t>
            </w:r>
            <w:r>
              <w:rPr>
                <w:rFonts w:hint="eastAsia"/>
                <w:color w:val="auto"/>
                <w:vertAlign w:val="subscript"/>
                <w:lang w:val="en-US" w:eastAsia="zh-CN"/>
              </w:rPr>
              <w:t>cr</w:t>
            </w:r>
            <w:r>
              <w:rPr>
                <w:rFonts w:hint="eastAsia"/>
                <w:color w:val="auto"/>
                <w:lang w:eastAsia="zh-CN"/>
              </w:rPr>
              <w:t>）</w:t>
            </w:r>
            <w:r>
              <w:rPr>
                <w:rFonts w:hint="eastAsia"/>
                <w:color w:val="auto"/>
                <w:lang w:val="en-US" w:eastAsia="zh-CN"/>
              </w:rPr>
              <w:t>和</w:t>
            </w:r>
            <w:r>
              <w:rPr>
                <w:rFonts w:hint="eastAsia"/>
                <w:color w:val="auto"/>
              </w:rPr>
              <w:t>氨氮</w:t>
            </w:r>
            <w:r>
              <w:rPr>
                <w:rFonts w:hint="eastAsia"/>
                <w:color w:val="auto"/>
                <w:lang w:eastAsia="zh-CN"/>
              </w:rPr>
              <w:t>（</w:t>
            </w:r>
            <w:r>
              <w:rPr>
                <w:rFonts w:hint="eastAsia"/>
                <w:color w:val="auto"/>
                <w:lang w:val="en-US" w:eastAsia="zh-CN"/>
              </w:rPr>
              <w:t>NH</w:t>
            </w:r>
            <w:r>
              <w:rPr>
                <w:rFonts w:hint="eastAsia"/>
                <w:color w:val="auto"/>
                <w:vertAlign w:val="subscript"/>
                <w:lang w:val="en-US" w:eastAsia="zh-CN"/>
              </w:rPr>
              <w:t>3</w:t>
            </w:r>
            <w:r>
              <w:rPr>
                <w:rFonts w:hint="eastAsia"/>
                <w:color w:val="auto"/>
                <w:vertAlign w:val="baseline"/>
                <w:lang w:val="en-US" w:eastAsia="zh-CN"/>
              </w:rPr>
              <w:t>-N</w:t>
            </w:r>
            <w:r>
              <w:rPr>
                <w:rFonts w:hint="eastAsia"/>
                <w:color w:val="auto"/>
                <w:lang w:eastAsia="zh-CN"/>
              </w:rPr>
              <w:t>），</w:t>
            </w:r>
            <w:r>
              <w:rPr>
                <w:rFonts w:hint="eastAsia"/>
                <w:color w:val="auto"/>
                <w:lang w:val="en-US" w:eastAsia="zh-CN"/>
              </w:rPr>
              <w:t>实施排污权交易的排污单位为全省列入排污许可证重点和简化管理范围内有污染物许可排放量要求的排污单位</w:t>
            </w:r>
            <w:r>
              <w:rPr>
                <w:rFonts w:hint="eastAsia"/>
                <w:color w:val="auto"/>
              </w:rPr>
              <w:t>。</w:t>
            </w:r>
          </w:p>
          <w:p w14:paraId="25E1F1D5">
            <w:pPr>
              <w:ind w:firstLine="480" w:firstLineChars="200"/>
              <w:rPr>
                <w:rFonts w:hint="eastAsia" w:eastAsia="宋体"/>
                <w:color w:val="auto"/>
                <w:lang w:val="en-US" w:eastAsia="zh-CN"/>
              </w:rPr>
            </w:pPr>
            <w:r>
              <w:rPr>
                <w:rFonts w:hint="eastAsia"/>
                <w:color w:val="auto"/>
              </w:rPr>
              <w:t>本项目</w:t>
            </w:r>
            <w:r>
              <w:rPr>
                <w:rFonts w:hint="eastAsia"/>
                <w:color w:val="auto"/>
                <w:lang w:val="en-US" w:eastAsia="zh-CN"/>
              </w:rPr>
              <w:t>及现有废气排放口均为一般排放口，无需许可排放量，</w:t>
            </w:r>
            <w:r>
              <w:rPr>
                <w:rFonts w:hint="eastAsia"/>
                <w:color w:val="auto"/>
              </w:rPr>
              <w:t>总量</w:t>
            </w:r>
            <w:r>
              <w:rPr>
                <w:rFonts w:hint="eastAsia"/>
                <w:color w:val="auto"/>
                <w:lang w:val="en-US" w:eastAsia="zh-CN"/>
              </w:rPr>
              <w:t>控制指标为</w:t>
            </w:r>
            <w:r>
              <w:rPr>
                <w:rFonts w:hint="eastAsia"/>
                <w:color w:val="auto"/>
                <w:lang w:eastAsia="zh-CN"/>
              </w:rPr>
              <w:t>：</w:t>
            </w:r>
            <w:r>
              <w:rPr>
                <w:rFonts w:hint="eastAsia"/>
                <w:color w:val="auto"/>
                <w:lang w:val="en-US" w:eastAsia="zh-CN"/>
              </w:rPr>
              <w:t>颗粒物：0.130</w:t>
            </w:r>
            <w:r>
              <w:rPr>
                <w:rFonts w:hint="eastAsia"/>
                <w:color w:val="auto"/>
              </w:rPr>
              <w:t>t/a</w:t>
            </w:r>
            <w:r>
              <w:rPr>
                <w:rFonts w:hint="eastAsia"/>
                <w:color w:val="auto"/>
                <w:lang w:eastAsia="zh-CN"/>
              </w:rPr>
              <w:t>，</w:t>
            </w:r>
            <w:r>
              <w:rPr>
                <w:rFonts w:hint="eastAsia"/>
                <w:color w:val="auto"/>
                <w:lang w:val="en-US" w:eastAsia="zh-CN"/>
              </w:rPr>
              <w:t>氯化氢：0.002</w:t>
            </w:r>
            <w:r>
              <w:rPr>
                <w:rFonts w:hint="eastAsia"/>
                <w:color w:val="auto"/>
              </w:rPr>
              <w:t>t/a</w:t>
            </w:r>
            <w:r>
              <w:rPr>
                <w:rFonts w:hint="eastAsia"/>
                <w:color w:val="auto"/>
                <w:lang w:val="en-US" w:eastAsia="zh-CN"/>
              </w:rPr>
              <w:t>，氟化物：0.003</w:t>
            </w:r>
            <w:r>
              <w:rPr>
                <w:rFonts w:hint="eastAsia"/>
                <w:color w:val="auto"/>
              </w:rPr>
              <w:t>t/a</w:t>
            </w:r>
            <w:r>
              <w:rPr>
                <w:rFonts w:hint="eastAsia"/>
                <w:color w:val="auto"/>
                <w:lang w:eastAsia="zh-CN"/>
              </w:rPr>
              <w:t>，</w:t>
            </w:r>
            <w:r>
              <w:rPr>
                <w:rFonts w:hint="eastAsia"/>
                <w:color w:val="auto"/>
                <w:lang w:val="en-US" w:eastAsia="zh-CN"/>
              </w:rPr>
              <w:t>需申请总量；</w:t>
            </w:r>
            <w:r>
              <w:rPr>
                <w:rFonts w:hint="eastAsia"/>
                <w:color w:val="auto"/>
              </w:rPr>
              <w:t>二氧化硫</w:t>
            </w:r>
            <w:r>
              <w:rPr>
                <w:rFonts w:hint="eastAsia"/>
                <w:color w:val="auto"/>
                <w:lang w:val="en-US" w:eastAsia="zh-CN"/>
              </w:rPr>
              <w:t>及</w:t>
            </w:r>
            <w:r>
              <w:rPr>
                <w:rFonts w:hint="eastAsia"/>
                <w:color w:val="auto"/>
              </w:rPr>
              <w:t>氮氧化物</w:t>
            </w:r>
            <w:r>
              <w:rPr>
                <w:rFonts w:hint="eastAsia"/>
                <w:color w:val="auto"/>
                <w:lang w:val="en-US" w:eastAsia="zh-CN"/>
              </w:rPr>
              <w:t>无组织排放，无需申请总量。</w:t>
            </w:r>
          </w:p>
          <w:p w14:paraId="16783EF4">
            <w:pPr>
              <w:ind w:firstLine="480" w:firstLineChars="200"/>
              <w:rPr>
                <w:rFonts w:eastAsia="黑体"/>
                <w:color w:val="auto"/>
              </w:rPr>
            </w:pPr>
            <w:r>
              <w:rPr>
                <w:rFonts w:hint="eastAsia"/>
                <w:color w:val="auto"/>
              </w:rPr>
              <w:t>本项目生活污水</w:t>
            </w:r>
            <w:r>
              <w:rPr>
                <w:rFonts w:hint="eastAsia"/>
                <w:color w:val="auto"/>
                <w:lang w:eastAsia="zh-CN"/>
              </w:rPr>
              <w:t>、</w:t>
            </w:r>
            <w:r>
              <w:rPr>
                <w:rFonts w:hint="eastAsia"/>
                <w:color w:val="auto"/>
                <w:lang w:val="en-US" w:eastAsia="zh-CN"/>
              </w:rPr>
              <w:t>食堂废水</w:t>
            </w:r>
            <w:r>
              <w:rPr>
                <w:rFonts w:hint="eastAsia"/>
                <w:color w:val="auto"/>
              </w:rPr>
              <w:t>通过化粪池</w:t>
            </w:r>
            <w:r>
              <w:rPr>
                <w:rFonts w:hint="eastAsia"/>
                <w:color w:val="auto"/>
                <w:lang w:val="en-US" w:eastAsia="zh-CN"/>
              </w:rPr>
              <w:t>及经隔油池处理后，与冷却水排水一同</w:t>
            </w:r>
            <w:r>
              <w:rPr>
                <w:rFonts w:hint="eastAsia"/>
                <w:color w:val="auto"/>
              </w:rPr>
              <w:t>接入市政管网进入</w:t>
            </w:r>
            <w:r>
              <w:rPr>
                <w:rFonts w:hint="eastAsia"/>
                <w:color w:val="auto"/>
                <w:lang w:eastAsia="zh-CN"/>
              </w:rPr>
              <w:t>江南产业集中区第一污水处理厂</w:t>
            </w:r>
            <w:r>
              <w:rPr>
                <w:rFonts w:hint="eastAsia"/>
                <w:color w:val="auto"/>
              </w:rPr>
              <w:t>，根据根据《排污许可证申请与核发技术规范 总则》</w:t>
            </w:r>
            <w:r>
              <w:rPr>
                <w:rFonts w:hint="eastAsia"/>
                <w:color w:val="auto"/>
                <w:lang w:eastAsia="zh-CN"/>
              </w:rPr>
              <w:t>（</w:t>
            </w:r>
            <w:r>
              <w:rPr>
                <w:rFonts w:hint="eastAsia"/>
                <w:color w:val="auto"/>
              </w:rPr>
              <w:t>H</w:t>
            </w:r>
            <w:r>
              <w:rPr>
                <w:rFonts w:hint="eastAsia"/>
                <w:color w:val="auto"/>
                <w:lang w:val="en-US" w:eastAsia="zh-CN"/>
              </w:rPr>
              <w:t>J</w:t>
            </w:r>
            <w:r>
              <w:rPr>
                <w:rFonts w:hint="eastAsia"/>
                <w:color w:val="auto"/>
              </w:rPr>
              <w:t>942-2018</w:t>
            </w:r>
            <w:r>
              <w:rPr>
                <w:rFonts w:hint="eastAsia"/>
                <w:color w:val="auto"/>
                <w:lang w:eastAsia="zh-CN"/>
              </w:rPr>
              <w:t>）</w:t>
            </w:r>
            <w:r>
              <w:rPr>
                <w:rFonts w:hint="eastAsia"/>
                <w:color w:val="auto"/>
                <w:lang w:val="en-US" w:eastAsia="zh-CN"/>
              </w:rPr>
              <w:t>及现有排污许可证</w:t>
            </w:r>
            <w:r>
              <w:rPr>
                <w:rFonts w:hint="eastAsia"/>
                <w:color w:val="auto"/>
              </w:rPr>
              <w:t>，本项目</w:t>
            </w:r>
            <w:r>
              <w:rPr>
                <w:rFonts w:hint="eastAsia"/>
                <w:color w:val="auto"/>
                <w:lang w:val="en-US" w:eastAsia="zh-CN"/>
              </w:rPr>
              <w:t>废水</w:t>
            </w:r>
            <w:r>
              <w:rPr>
                <w:rFonts w:hint="eastAsia"/>
                <w:color w:val="auto"/>
              </w:rPr>
              <w:t>排放口为</w:t>
            </w:r>
            <w:r>
              <w:rPr>
                <w:rFonts w:hint="eastAsia"/>
                <w:color w:val="auto"/>
                <w:lang w:val="en-US" w:eastAsia="zh-CN"/>
              </w:rPr>
              <w:t>主要</w:t>
            </w:r>
            <w:r>
              <w:rPr>
                <w:rFonts w:hint="eastAsia"/>
                <w:color w:val="auto"/>
              </w:rPr>
              <w:t>排放口，需许可排放量，</w:t>
            </w:r>
            <w:r>
              <w:rPr>
                <w:rFonts w:hint="eastAsia"/>
                <w:color w:val="auto"/>
                <w:highlight w:val="yellow"/>
                <w:lang w:val="en-US" w:eastAsia="zh-CN"/>
              </w:rPr>
              <w:t>本项目</w:t>
            </w:r>
            <w:r>
              <w:rPr>
                <w:rFonts w:hint="eastAsia"/>
                <w:color w:val="auto"/>
                <w:highlight w:val="yellow"/>
              </w:rPr>
              <w:t>C</w:t>
            </w:r>
            <w:r>
              <w:rPr>
                <w:color w:val="auto"/>
                <w:highlight w:val="yellow"/>
              </w:rPr>
              <w:t>OD</w:t>
            </w:r>
            <w:r>
              <w:rPr>
                <w:rFonts w:hint="eastAsia"/>
                <w:color w:val="auto"/>
                <w:highlight w:val="yellow"/>
                <w:vertAlign w:val="subscript"/>
                <w:lang w:val="en-US" w:eastAsia="zh-CN"/>
              </w:rPr>
              <w:t>cr</w:t>
            </w:r>
            <w:r>
              <w:rPr>
                <w:rFonts w:hint="eastAsia"/>
                <w:color w:val="auto"/>
                <w:highlight w:val="yellow"/>
                <w:vertAlign w:val="baseline"/>
                <w:lang w:val="en-US" w:eastAsia="zh-CN"/>
              </w:rPr>
              <w:t>外环境</w:t>
            </w:r>
            <w:r>
              <w:rPr>
                <w:rFonts w:hint="eastAsia"/>
                <w:color w:val="auto"/>
                <w:highlight w:val="yellow"/>
                <w:lang w:val="en-US" w:eastAsia="zh-CN"/>
              </w:rPr>
              <w:t>排放</w:t>
            </w:r>
            <w:r>
              <w:rPr>
                <w:rFonts w:hint="eastAsia"/>
                <w:color w:val="auto"/>
                <w:highlight w:val="yellow"/>
              </w:rPr>
              <w:t>量为</w:t>
            </w:r>
            <w:r>
              <w:rPr>
                <w:rFonts w:hint="eastAsia"/>
                <w:color w:val="auto"/>
                <w:highlight w:val="yellow"/>
                <w:lang w:val="en-US" w:eastAsia="zh-CN"/>
              </w:rPr>
              <w:t>0.038</w:t>
            </w:r>
            <w:r>
              <w:rPr>
                <w:color w:val="auto"/>
                <w:highlight w:val="yellow"/>
              </w:rPr>
              <w:t>t/a</w:t>
            </w:r>
            <w:r>
              <w:rPr>
                <w:rFonts w:hint="eastAsia"/>
                <w:color w:val="auto"/>
                <w:highlight w:val="yellow"/>
              </w:rPr>
              <w:t>，氨氮</w:t>
            </w:r>
            <w:r>
              <w:rPr>
                <w:rFonts w:hint="eastAsia"/>
                <w:color w:val="auto"/>
                <w:highlight w:val="yellow"/>
                <w:lang w:eastAsia="zh-CN"/>
              </w:rPr>
              <w:t>（</w:t>
            </w:r>
            <w:r>
              <w:rPr>
                <w:rFonts w:hint="eastAsia"/>
                <w:color w:val="auto"/>
                <w:highlight w:val="yellow"/>
                <w:lang w:val="en-US" w:eastAsia="zh-CN"/>
              </w:rPr>
              <w:t>NH</w:t>
            </w:r>
            <w:r>
              <w:rPr>
                <w:rFonts w:hint="eastAsia"/>
                <w:color w:val="auto"/>
                <w:highlight w:val="yellow"/>
                <w:vertAlign w:val="subscript"/>
                <w:lang w:val="en-US" w:eastAsia="zh-CN"/>
              </w:rPr>
              <w:t>3</w:t>
            </w:r>
            <w:r>
              <w:rPr>
                <w:rFonts w:hint="eastAsia"/>
                <w:color w:val="auto"/>
                <w:highlight w:val="yellow"/>
                <w:vertAlign w:val="baseline"/>
                <w:lang w:val="en-US" w:eastAsia="zh-CN"/>
              </w:rPr>
              <w:t>-N</w:t>
            </w:r>
            <w:r>
              <w:rPr>
                <w:rFonts w:hint="eastAsia"/>
                <w:color w:val="auto"/>
                <w:highlight w:val="yellow"/>
                <w:lang w:eastAsia="zh-CN"/>
              </w:rPr>
              <w:t>）</w:t>
            </w:r>
            <w:r>
              <w:rPr>
                <w:rFonts w:hint="eastAsia"/>
                <w:color w:val="auto"/>
                <w:highlight w:val="yellow"/>
                <w:vertAlign w:val="baseline"/>
                <w:lang w:val="en-US" w:eastAsia="zh-CN"/>
              </w:rPr>
              <w:t>外环境</w:t>
            </w:r>
            <w:r>
              <w:rPr>
                <w:rFonts w:hint="eastAsia"/>
                <w:color w:val="auto"/>
                <w:highlight w:val="yellow"/>
                <w:lang w:val="en-US" w:eastAsia="zh-CN"/>
              </w:rPr>
              <w:t>排放</w:t>
            </w:r>
            <w:r>
              <w:rPr>
                <w:rFonts w:hint="eastAsia"/>
                <w:color w:val="auto"/>
                <w:highlight w:val="yellow"/>
              </w:rPr>
              <w:t>量为</w:t>
            </w:r>
            <w:r>
              <w:rPr>
                <w:rFonts w:hint="eastAsia"/>
                <w:color w:val="auto"/>
                <w:highlight w:val="yellow"/>
                <w:lang w:val="en-US" w:eastAsia="zh-CN"/>
              </w:rPr>
              <w:t>0.004</w:t>
            </w:r>
            <w:r>
              <w:rPr>
                <w:color w:val="auto"/>
                <w:highlight w:val="yellow"/>
              </w:rPr>
              <w:t>t/a</w:t>
            </w:r>
            <w:r>
              <w:rPr>
                <w:rFonts w:hint="eastAsia"/>
                <w:color w:val="auto"/>
                <w:highlight w:val="yellow"/>
              </w:rPr>
              <w:t>，</w:t>
            </w:r>
            <w:r>
              <w:rPr>
                <w:rFonts w:hint="eastAsia"/>
                <w:color w:val="auto"/>
                <w:highlight w:val="yellow"/>
                <w:lang w:val="en-US" w:eastAsia="zh-CN"/>
              </w:rPr>
              <w:t>排放量进行排污权交易获得</w:t>
            </w:r>
            <w:r>
              <w:rPr>
                <w:rFonts w:hint="eastAsia"/>
                <w:color w:val="auto"/>
                <w:highlight w:val="yellow"/>
              </w:rPr>
              <w:t>。</w:t>
            </w:r>
          </w:p>
          <w:p w14:paraId="5F6920DD">
            <w:pPr>
              <w:jc w:val="center"/>
              <w:rPr>
                <w:rFonts w:eastAsia="黑体"/>
                <w:color w:val="auto"/>
              </w:rPr>
            </w:pPr>
            <w:r>
              <w:rPr>
                <w:rFonts w:eastAsia="黑体"/>
                <w:color w:val="auto"/>
              </w:rPr>
              <w:t>表3-</w:t>
            </w:r>
            <w:r>
              <w:rPr>
                <w:rFonts w:hint="eastAsia" w:eastAsia="黑体"/>
                <w:color w:val="auto"/>
                <w:lang w:val="en-US" w:eastAsia="zh-CN"/>
              </w:rPr>
              <w:t>8</w:t>
            </w:r>
            <w:r>
              <w:rPr>
                <w:rFonts w:eastAsia="黑体"/>
                <w:color w:val="auto"/>
              </w:rPr>
              <w:t xml:space="preserve">  </w:t>
            </w:r>
            <w:r>
              <w:rPr>
                <w:rFonts w:hint="eastAsia" w:eastAsia="黑体"/>
                <w:color w:val="auto"/>
              </w:rPr>
              <w:t>本</w:t>
            </w:r>
            <w:r>
              <w:rPr>
                <w:rFonts w:eastAsia="黑体"/>
                <w:color w:val="auto"/>
              </w:rPr>
              <w:t>项目废气污染物</w:t>
            </w:r>
            <w:r>
              <w:rPr>
                <w:rFonts w:hint="eastAsia" w:eastAsia="黑体"/>
                <w:color w:val="auto"/>
                <w:lang w:val="en-US" w:eastAsia="zh-CN"/>
              </w:rPr>
              <w:t>总量申请</w:t>
            </w:r>
            <w:r>
              <w:rPr>
                <w:rFonts w:eastAsia="黑体"/>
                <w:color w:val="auto"/>
              </w:rPr>
              <w:t>表</w:t>
            </w:r>
          </w:p>
          <w:tbl>
            <w:tblPr>
              <w:tblStyle w:val="6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3"/>
              <w:gridCol w:w="883"/>
              <w:gridCol w:w="1572"/>
              <w:gridCol w:w="1495"/>
              <w:gridCol w:w="2332"/>
            </w:tblGrid>
            <w:tr w14:paraId="5476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9" w:type="pct"/>
                  <w:shd w:val="clear" w:color="auto" w:fill="auto"/>
                  <w:vAlign w:val="center"/>
                </w:tcPr>
                <w:p w14:paraId="210083DB">
                  <w:pPr>
                    <w:spacing w:line="240" w:lineRule="auto"/>
                    <w:jc w:val="center"/>
                    <w:rPr>
                      <w:color w:val="auto"/>
                      <w:sz w:val="18"/>
                      <w:szCs w:val="18"/>
                    </w:rPr>
                  </w:pPr>
                  <w:r>
                    <w:rPr>
                      <w:color w:val="auto"/>
                      <w:sz w:val="18"/>
                      <w:szCs w:val="18"/>
                    </w:rPr>
                    <w:t>污染物名称</w:t>
                  </w:r>
                </w:p>
              </w:tc>
              <w:tc>
                <w:tcPr>
                  <w:tcW w:w="626" w:type="pct"/>
                  <w:shd w:val="clear" w:color="auto" w:fill="auto"/>
                  <w:vAlign w:val="center"/>
                </w:tcPr>
                <w:p w14:paraId="331E8D3B">
                  <w:pPr>
                    <w:spacing w:line="240" w:lineRule="auto"/>
                    <w:jc w:val="center"/>
                    <w:rPr>
                      <w:color w:val="auto"/>
                      <w:sz w:val="18"/>
                      <w:szCs w:val="18"/>
                    </w:rPr>
                  </w:pPr>
                  <w:r>
                    <w:rPr>
                      <w:color w:val="auto"/>
                      <w:sz w:val="18"/>
                      <w:szCs w:val="18"/>
                    </w:rPr>
                    <w:t>单位</w:t>
                  </w:r>
                </w:p>
              </w:tc>
              <w:tc>
                <w:tcPr>
                  <w:tcW w:w="1006" w:type="pct"/>
                  <w:shd w:val="clear" w:color="auto" w:fill="auto"/>
                  <w:vAlign w:val="center"/>
                </w:tcPr>
                <w:p w14:paraId="1BD96C85">
                  <w:pPr>
                    <w:spacing w:line="240" w:lineRule="auto"/>
                    <w:jc w:val="center"/>
                    <w:rPr>
                      <w:color w:val="auto"/>
                      <w:sz w:val="18"/>
                      <w:szCs w:val="18"/>
                    </w:rPr>
                  </w:pPr>
                  <w:r>
                    <w:rPr>
                      <w:rFonts w:hint="eastAsia"/>
                      <w:color w:val="auto"/>
                      <w:sz w:val="18"/>
                      <w:szCs w:val="18"/>
                    </w:rPr>
                    <w:t>本项目</w:t>
                  </w:r>
                  <w:r>
                    <w:rPr>
                      <w:color w:val="auto"/>
                      <w:sz w:val="18"/>
                      <w:szCs w:val="18"/>
                    </w:rPr>
                    <w:t>排放量</w:t>
                  </w:r>
                </w:p>
              </w:tc>
              <w:tc>
                <w:tcPr>
                  <w:tcW w:w="963" w:type="pct"/>
                  <w:shd w:val="clear" w:color="auto" w:fill="auto"/>
                  <w:vAlign w:val="center"/>
                </w:tcPr>
                <w:p w14:paraId="4BA2B8E4">
                  <w:pPr>
                    <w:spacing w:line="240" w:lineRule="auto"/>
                    <w:jc w:val="center"/>
                    <w:rPr>
                      <w:rFonts w:hint="eastAsia" w:eastAsia="宋体"/>
                      <w:color w:val="auto"/>
                      <w:sz w:val="18"/>
                      <w:szCs w:val="18"/>
                      <w:lang w:val="en-US" w:eastAsia="zh-CN"/>
                    </w:rPr>
                  </w:pPr>
                  <w:r>
                    <w:rPr>
                      <w:rFonts w:hint="eastAsia"/>
                      <w:color w:val="auto"/>
                      <w:sz w:val="18"/>
                      <w:szCs w:val="18"/>
                    </w:rPr>
                    <w:t>申请总量</w:t>
                  </w:r>
                  <w:r>
                    <w:rPr>
                      <w:rFonts w:hint="eastAsia"/>
                      <w:color w:val="auto"/>
                      <w:sz w:val="18"/>
                      <w:szCs w:val="18"/>
                      <w:lang w:val="en-US" w:eastAsia="zh-CN"/>
                    </w:rPr>
                    <w:t>控制</w:t>
                  </w:r>
                </w:p>
              </w:tc>
              <w:tc>
                <w:tcPr>
                  <w:tcW w:w="733" w:type="pct"/>
                  <w:shd w:val="clear" w:color="auto" w:fill="auto"/>
                  <w:vAlign w:val="center"/>
                </w:tcPr>
                <w:p w14:paraId="35AD51B7">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全厂排放控制总量</w:t>
                  </w:r>
                </w:p>
              </w:tc>
            </w:tr>
            <w:tr w14:paraId="198F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9" w:type="pct"/>
                  <w:shd w:val="clear" w:color="auto" w:fill="auto"/>
                  <w:vAlign w:val="center"/>
                </w:tcPr>
                <w:p w14:paraId="19993AEE">
                  <w:pPr>
                    <w:spacing w:line="240" w:lineRule="auto"/>
                    <w:jc w:val="center"/>
                    <w:rPr>
                      <w:rFonts w:hint="eastAsia"/>
                      <w:color w:val="auto"/>
                      <w:sz w:val="18"/>
                      <w:szCs w:val="18"/>
                    </w:rPr>
                  </w:pPr>
                  <w:r>
                    <w:rPr>
                      <w:rFonts w:hint="eastAsia"/>
                      <w:color w:val="auto"/>
                      <w:sz w:val="18"/>
                      <w:szCs w:val="18"/>
                      <w:lang w:val="en-US" w:eastAsia="zh-CN"/>
                    </w:rPr>
                    <w:t>烟（粉）尘</w:t>
                  </w:r>
                  <w:r>
                    <w:rPr>
                      <w:rFonts w:hint="eastAsia"/>
                      <w:color w:val="auto"/>
                      <w:sz w:val="18"/>
                      <w:szCs w:val="18"/>
                    </w:rPr>
                    <w:t>（有组织）</w:t>
                  </w:r>
                </w:p>
              </w:tc>
              <w:tc>
                <w:tcPr>
                  <w:tcW w:w="626" w:type="pct"/>
                  <w:shd w:val="clear" w:color="auto" w:fill="auto"/>
                  <w:vAlign w:val="center"/>
                </w:tcPr>
                <w:p w14:paraId="323D9136">
                  <w:pPr>
                    <w:spacing w:line="240" w:lineRule="auto"/>
                    <w:jc w:val="center"/>
                    <w:rPr>
                      <w:color w:val="auto"/>
                      <w:sz w:val="18"/>
                      <w:szCs w:val="18"/>
                    </w:rPr>
                  </w:pPr>
                  <w:r>
                    <w:rPr>
                      <w:color w:val="auto"/>
                      <w:sz w:val="18"/>
                      <w:szCs w:val="18"/>
                    </w:rPr>
                    <w:t>t/a</w:t>
                  </w:r>
                </w:p>
              </w:tc>
              <w:tc>
                <w:tcPr>
                  <w:tcW w:w="1006" w:type="pct"/>
                  <w:shd w:val="clear" w:color="auto" w:fill="auto"/>
                  <w:noWrap/>
                  <w:vAlign w:val="center"/>
                </w:tcPr>
                <w:p w14:paraId="1EECB78D">
                  <w:pPr>
                    <w:widowControl/>
                    <w:spacing w:line="240" w:lineRule="auto"/>
                    <w:jc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0.130</w:t>
                  </w:r>
                </w:p>
              </w:tc>
              <w:tc>
                <w:tcPr>
                  <w:tcW w:w="963" w:type="pct"/>
                  <w:shd w:val="clear" w:color="auto" w:fill="auto"/>
                  <w:noWrap/>
                  <w:vAlign w:val="center"/>
                </w:tcPr>
                <w:p w14:paraId="2826B644">
                  <w:pPr>
                    <w:widowControl/>
                    <w:spacing w:line="240" w:lineRule="auto"/>
                    <w:jc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0.130</w:t>
                  </w:r>
                </w:p>
              </w:tc>
              <w:tc>
                <w:tcPr>
                  <w:tcW w:w="733" w:type="pct"/>
                  <w:shd w:val="clear" w:color="auto" w:fill="auto"/>
                  <w:noWrap/>
                  <w:vAlign w:val="center"/>
                </w:tcPr>
                <w:p w14:paraId="6D204361">
                  <w:pPr>
                    <w:widowControl/>
                    <w:spacing w:line="240" w:lineRule="auto"/>
                    <w:jc w:val="center"/>
                    <w:rPr>
                      <w:rFonts w:hint="default" w:cs="宋体"/>
                      <w:color w:val="auto"/>
                      <w:sz w:val="18"/>
                      <w:szCs w:val="18"/>
                      <w:lang w:val="en-US" w:eastAsia="zh-CN"/>
                    </w:rPr>
                  </w:pPr>
                  <w:r>
                    <w:rPr>
                      <w:rFonts w:hint="eastAsia" w:cs="宋体"/>
                      <w:color w:val="auto"/>
                      <w:sz w:val="18"/>
                      <w:szCs w:val="18"/>
                      <w:lang w:val="en-US" w:eastAsia="zh-CN"/>
                    </w:rPr>
                    <w:t>4.786（含本次新增0.130）</w:t>
                  </w:r>
                </w:p>
              </w:tc>
            </w:tr>
            <w:tr w14:paraId="6F77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9" w:type="pct"/>
                  <w:shd w:val="clear" w:color="auto" w:fill="auto"/>
                  <w:vAlign w:val="center"/>
                </w:tcPr>
                <w:p w14:paraId="5DAC5AB3">
                  <w:pPr>
                    <w:spacing w:line="240" w:lineRule="auto"/>
                    <w:jc w:val="center"/>
                    <w:rPr>
                      <w:rFonts w:hint="eastAsia"/>
                      <w:color w:val="auto"/>
                      <w:sz w:val="18"/>
                      <w:szCs w:val="18"/>
                      <w:lang w:val="en-US" w:eastAsia="zh-CN"/>
                    </w:rPr>
                  </w:pPr>
                  <w:r>
                    <w:rPr>
                      <w:rFonts w:hint="eastAsia"/>
                      <w:color w:val="auto"/>
                      <w:sz w:val="18"/>
                      <w:szCs w:val="18"/>
                      <w:lang w:val="en-US" w:eastAsia="zh-CN"/>
                    </w:rPr>
                    <w:t>氯化氢（</w:t>
                  </w:r>
                  <w:r>
                    <w:rPr>
                      <w:rFonts w:hint="eastAsia"/>
                      <w:color w:val="auto"/>
                      <w:sz w:val="18"/>
                      <w:szCs w:val="18"/>
                    </w:rPr>
                    <w:t>有组织</w:t>
                  </w:r>
                  <w:r>
                    <w:rPr>
                      <w:rFonts w:hint="eastAsia"/>
                      <w:color w:val="auto"/>
                      <w:sz w:val="18"/>
                      <w:szCs w:val="18"/>
                      <w:lang w:val="en-US" w:eastAsia="zh-CN"/>
                    </w:rPr>
                    <w:t>）</w:t>
                  </w:r>
                </w:p>
              </w:tc>
              <w:tc>
                <w:tcPr>
                  <w:tcW w:w="626" w:type="pct"/>
                  <w:shd w:val="clear" w:color="auto" w:fill="auto"/>
                  <w:vAlign w:val="center"/>
                </w:tcPr>
                <w:p w14:paraId="0754B0FA">
                  <w:pPr>
                    <w:spacing w:line="240" w:lineRule="auto"/>
                    <w:jc w:val="center"/>
                    <w:rPr>
                      <w:color w:val="auto"/>
                      <w:sz w:val="18"/>
                      <w:szCs w:val="18"/>
                    </w:rPr>
                  </w:pPr>
                  <w:r>
                    <w:rPr>
                      <w:color w:val="auto"/>
                      <w:sz w:val="18"/>
                      <w:szCs w:val="18"/>
                    </w:rPr>
                    <w:t>t/a</w:t>
                  </w:r>
                </w:p>
              </w:tc>
              <w:tc>
                <w:tcPr>
                  <w:tcW w:w="1006" w:type="pct"/>
                  <w:shd w:val="clear" w:color="auto" w:fill="auto"/>
                  <w:noWrap/>
                  <w:vAlign w:val="center"/>
                </w:tcPr>
                <w:p w14:paraId="2381BBAE">
                  <w:pPr>
                    <w:widowControl/>
                    <w:spacing w:line="240" w:lineRule="auto"/>
                    <w:jc w:val="center"/>
                    <w:rPr>
                      <w:rFonts w:hint="default" w:cs="宋体"/>
                      <w:color w:val="auto"/>
                      <w:sz w:val="18"/>
                      <w:szCs w:val="18"/>
                      <w:lang w:val="en-US" w:eastAsia="zh-CN"/>
                    </w:rPr>
                  </w:pPr>
                  <w:r>
                    <w:rPr>
                      <w:rFonts w:hint="eastAsia" w:cs="宋体"/>
                      <w:color w:val="auto"/>
                      <w:sz w:val="18"/>
                      <w:szCs w:val="18"/>
                      <w:lang w:val="en-US" w:eastAsia="zh-CN"/>
                    </w:rPr>
                    <w:t>0.002</w:t>
                  </w:r>
                </w:p>
              </w:tc>
              <w:tc>
                <w:tcPr>
                  <w:tcW w:w="963" w:type="pct"/>
                  <w:shd w:val="clear" w:color="auto" w:fill="auto"/>
                  <w:noWrap/>
                  <w:vAlign w:val="center"/>
                </w:tcPr>
                <w:p w14:paraId="0D391185">
                  <w:pPr>
                    <w:widowControl/>
                    <w:spacing w:line="240" w:lineRule="auto"/>
                    <w:jc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0.002</w:t>
                  </w:r>
                </w:p>
              </w:tc>
              <w:tc>
                <w:tcPr>
                  <w:tcW w:w="733" w:type="pct"/>
                  <w:shd w:val="clear" w:color="auto" w:fill="auto"/>
                  <w:noWrap/>
                  <w:vAlign w:val="center"/>
                </w:tcPr>
                <w:p w14:paraId="0710EE94">
                  <w:pPr>
                    <w:widowControl/>
                    <w:spacing w:line="240" w:lineRule="auto"/>
                    <w:jc w:val="center"/>
                    <w:rPr>
                      <w:rFonts w:hint="default" w:cs="宋体"/>
                      <w:color w:val="auto"/>
                      <w:sz w:val="18"/>
                      <w:szCs w:val="18"/>
                      <w:lang w:val="en-US" w:eastAsia="zh-CN"/>
                    </w:rPr>
                  </w:pPr>
                  <w:r>
                    <w:rPr>
                      <w:rFonts w:hint="eastAsia" w:cs="宋体"/>
                      <w:color w:val="auto"/>
                      <w:sz w:val="18"/>
                      <w:szCs w:val="18"/>
                      <w:lang w:val="en-US" w:eastAsia="zh-CN"/>
                    </w:rPr>
                    <w:t>0.036（含本次新增0.002）</w:t>
                  </w:r>
                </w:p>
              </w:tc>
            </w:tr>
            <w:tr w14:paraId="1D6DD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69" w:type="pct"/>
                  <w:shd w:val="clear" w:color="auto" w:fill="auto"/>
                  <w:vAlign w:val="center"/>
                </w:tcPr>
                <w:p w14:paraId="38AB9655">
                  <w:pPr>
                    <w:spacing w:line="240" w:lineRule="auto"/>
                    <w:jc w:val="center"/>
                    <w:rPr>
                      <w:rFonts w:hint="eastAsia"/>
                      <w:color w:val="auto"/>
                      <w:sz w:val="18"/>
                      <w:szCs w:val="18"/>
                      <w:lang w:val="en-US" w:eastAsia="zh-CN"/>
                    </w:rPr>
                  </w:pPr>
                  <w:r>
                    <w:rPr>
                      <w:rFonts w:hint="eastAsia"/>
                      <w:color w:val="auto"/>
                      <w:sz w:val="18"/>
                      <w:szCs w:val="18"/>
                      <w:lang w:val="en-US" w:eastAsia="zh-CN"/>
                    </w:rPr>
                    <w:t>氟化物（</w:t>
                  </w:r>
                  <w:r>
                    <w:rPr>
                      <w:rFonts w:hint="eastAsia"/>
                      <w:color w:val="auto"/>
                      <w:sz w:val="18"/>
                      <w:szCs w:val="18"/>
                    </w:rPr>
                    <w:t>有组织</w:t>
                  </w:r>
                  <w:r>
                    <w:rPr>
                      <w:rFonts w:hint="eastAsia"/>
                      <w:color w:val="auto"/>
                      <w:sz w:val="18"/>
                      <w:szCs w:val="18"/>
                      <w:lang w:val="en-US" w:eastAsia="zh-CN"/>
                    </w:rPr>
                    <w:t>）</w:t>
                  </w:r>
                </w:p>
              </w:tc>
              <w:tc>
                <w:tcPr>
                  <w:tcW w:w="626" w:type="pct"/>
                  <w:shd w:val="clear" w:color="auto" w:fill="auto"/>
                  <w:vAlign w:val="center"/>
                </w:tcPr>
                <w:p w14:paraId="69F4AD16">
                  <w:pPr>
                    <w:spacing w:line="240" w:lineRule="auto"/>
                    <w:jc w:val="center"/>
                    <w:rPr>
                      <w:color w:val="auto"/>
                      <w:sz w:val="18"/>
                      <w:szCs w:val="18"/>
                    </w:rPr>
                  </w:pPr>
                  <w:r>
                    <w:rPr>
                      <w:color w:val="auto"/>
                      <w:sz w:val="18"/>
                      <w:szCs w:val="18"/>
                    </w:rPr>
                    <w:t>t/a</w:t>
                  </w:r>
                </w:p>
              </w:tc>
              <w:tc>
                <w:tcPr>
                  <w:tcW w:w="1006" w:type="pct"/>
                  <w:shd w:val="clear" w:color="auto" w:fill="auto"/>
                  <w:noWrap/>
                  <w:vAlign w:val="center"/>
                </w:tcPr>
                <w:p w14:paraId="73B8E459">
                  <w:pPr>
                    <w:widowControl/>
                    <w:spacing w:line="240" w:lineRule="auto"/>
                    <w:jc w:val="center"/>
                    <w:rPr>
                      <w:rFonts w:hint="default" w:cs="宋体"/>
                      <w:color w:val="auto"/>
                      <w:sz w:val="18"/>
                      <w:szCs w:val="18"/>
                      <w:lang w:val="en-US" w:eastAsia="zh-CN"/>
                    </w:rPr>
                  </w:pPr>
                  <w:r>
                    <w:rPr>
                      <w:rFonts w:hint="eastAsia" w:cs="宋体"/>
                      <w:color w:val="auto"/>
                      <w:sz w:val="18"/>
                      <w:szCs w:val="18"/>
                      <w:lang w:val="en-US" w:eastAsia="zh-CN"/>
                    </w:rPr>
                    <w:t>0.003</w:t>
                  </w:r>
                </w:p>
              </w:tc>
              <w:tc>
                <w:tcPr>
                  <w:tcW w:w="963" w:type="pct"/>
                  <w:shd w:val="clear" w:color="auto" w:fill="auto"/>
                  <w:noWrap/>
                  <w:vAlign w:val="center"/>
                </w:tcPr>
                <w:p w14:paraId="5CC562FB">
                  <w:pPr>
                    <w:widowControl/>
                    <w:spacing w:line="240" w:lineRule="auto"/>
                    <w:jc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0.003</w:t>
                  </w:r>
                </w:p>
              </w:tc>
              <w:tc>
                <w:tcPr>
                  <w:tcW w:w="733" w:type="pct"/>
                  <w:shd w:val="clear" w:color="auto" w:fill="auto"/>
                  <w:noWrap/>
                  <w:vAlign w:val="center"/>
                </w:tcPr>
                <w:p w14:paraId="2F4993E2">
                  <w:pPr>
                    <w:widowControl/>
                    <w:spacing w:line="240" w:lineRule="auto"/>
                    <w:jc w:val="center"/>
                    <w:rPr>
                      <w:rFonts w:hint="eastAsia" w:cs="宋体"/>
                      <w:color w:val="auto"/>
                      <w:sz w:val="18"/>
                      <w:szCs w:val="18"/>
                      <w:lang w:val="en-US" w:eastAsia="zh-CN"/>
                    </w:rPr>
                  </w:pPr>
                  <w:r>
                    <w:rPr>
                      <w:rFonts w:hint="eastAsia" w:cs="宋体"/>
                      <w:color w:val="auto"/>
                      <w:sz w:val="18"/>
                      <w:szCs w:val="18"/>
                      <w:lang w:val="en-US" w:eastAsia="zh-CN"/>
                    </w:rPr>
                    <w:t>0.076（含本次新增0.003）</w:t>
                  </w:r>
                </w:p>
              </w:tc>
            </w:tr>
          </w:tbl>
          <w:p w14:paraId="712DF021">
            <w:pPr>
              <w:jc w:val="center"/>
              <w:rPr>
                <w:rFonts w:ascii="黑体" w:hAnsi="黑体" w:eastAsia="黑体"/>
                <w:color w:val="auto"/>
              </w:rPr>
            </w:pPr>
          </w:p>
          <w:p w14:paraId="427C5F83">
            <w:pPr>
              <w:jc w:val="center"/>
              <w:rPr>
                <w:rFonts w:hint="eastAsia" w:ascii="黑体" w:hAnsi="黑体" w:eastAsia="黑体"/>
                <w:color w:val="auto"/>
              </w:rPr>
            </w:pPr>
            <w:r>
              <w:rPr>
                <w:rFonts w:ascii="黑体" w:hAnsi="黑体" w:eastAsia="黑体"/>
                <w:color w:val="auto"/>
              </w:rPr>
              <w:t>表</w:t>
            </w:r>
            <w:r>
              <w:rPr>
                <w:rFonts w:eastAsia="黑体"/>
                <w:color w:val="auto"/>
              </w:rPr>
              <w:t>3-</w:t>
            </w:r>
            <w:r>
              <w:rPr>
                <w:rFonts w:hint="eastAsia" w:eastAsia="黑体"/>
                <w:color w:val="auto"/>
                <w:lang w:val="en-US" w:eastAsia="zh-CN"/>
              </w:rPr>
              <w:t>9</w:t>
            </w:r>
            <w:r>
              <w:rPr>
                <w:rFonts w:ascii="黑体" w:hAnsi="黑体" w:eastAsia="黑体"/>
                <w:color w:val="auto"/>
              </w:rPr>
              <w:t xml:space="preserve">  </w:t>
            </w:r>
            <w:r>
              <w:rPr>
                <w:rFonts w:hint="eastAsia" w:ascii="黑体" w:hAnsi="黑体" w:eastAsia="黑体"/>
                <w:color w:val="auto"/>
                <w:lang w:val="en-US" w:eastAsia="zh-CN"/>
              </w:rPr>
              <w:t>本</w:t>
            </w:r>
            <w:r>
              <w:rPr>
                <w:rFonts w:ascii="黑体" w:hAnsi="黑体" w:eastAsia="黑体"/>
                <w:color w:val="auto"/>
              </w:rPr>
              <w:t>项目废</w:t>
            </w:r>
            <w:r>
              <w:rPr>
                <w:rFonts w:hint="eastAsia" w:ascii="黑体" w:hAnsi="黑体" w:eastAsia="黑体"/>
                <w:color w:val="auto"/>
              </w:rPr>
              <w:t>水</w:t>
            </w:r>
            <w:r>
              <w:rPr>
                <w:rFonts w:ascii="黑体" w:hAnsi="黑体" w:eastAsia="黑体"/>
                <w:color w:val="auto"/>
              </w:rPr>
              <w:t>污染物</w:t>
            </w:r>
            <w:r>
              <w:rPr>
                <w:rFonts w:hint="eastAsia" w:eastAsia="黑体"/>
                <w:color w:val="auto"/>
                <w:lang w:val="en-US" w:eastAsia="zh-CN"/>
              </w:rPr>
              <w:t>总量申请</w:t>
            </w:r>
            <w:r>
              <w:rPr>
                <w:rFonts w:eastAsia="黑体"/>
                <w:color w:val="auto"/>
              </w:rPr>
              <w:t>表</w:t>
            </w:r>
          </w:p>
          <w:tbl>
            <w:tblPr>
              <w:tblStyle w:val="6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3"/>
              <w:gridCol w:w="743"/>
              <w:gridCol w:w="1747"/>
              <w:gridCol w:w="1591"/>
              <w:gridCol w:w="1903"/>
              <w:gridCol w:w="1748"/>
            </w:tblGrid>
            <w:tr w14:paraId="6CB5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pct"/>
                  <w:shd w:val="clear" w:color="auto" w:fill="auto"/>
                  <w:vAlign w:val="center"/>
                </w:tcPr>
                <w:p w14:paraId="05EE5C3A">
                  <w:pPr>
                    <w:spacing w:line="240" w:lineRule="auto"/>
                    <w:jc w:val="center"/>
                    <w:rPr>
                      <w:color w:val="auto"/>
                      <w:sz w:val="18"/>
                      <w:szCs w:val="18"/>
                    </w:rPr>
                  </w:pPr>
                  <w:r>
                    <w:rPr>
                      <w:color w:val="auto"/>
                      <w:sz w:val="18"/>
                      <w:szCs w:val="18"/>
                    </w:rPr>
                    <w:t>污染物名称</w:t>
                  </w:r>
                </w:p>
              </w:tc>
              <w:tc>
                <w:tcPr>
                  <w:tcW w:w="410" w:type="pct"/>
                  <w:shd w:val="clear" w:color="auto" w:fill="auto"/>
                  <w:vAlign w:val="center"/>
                </w:tcPr>
                <w:p w14:paraId="6F4AC21D">
                  <w:pPr>
                    <w:spacing w:line="240" w:lineRule="auto"/>
                    <w:jc w:val="center"/>
                    <w:rPr>
                      <w:color w:val="auto"/>
                      <w:sz w:val="18"/>
                      <w:szCs w:val="18"/>
                    </w:rPr>
                  </w:pPr>
                  <w:r>
                    <w:rPr>
                      <w:color w:val="auto"/>
                      <w:sz w:val="18"/>
                      <w:szCs w:val="18"/>
                    </w:rPr>
                    <w:t>单位</w:t>
                  </w:r>
                </w:p>
              </w:tc>
              <w:tc>
                <w:tcPr>
                  <w:tcW w:w="964" w:type="pct"/>
                  <w:vAlign w:val="center"/>
                </w:tcPr>
                <w:p w14:paraId="3224A38F">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本项目纳管量</w:t>
                  </w:r>
                </w:p>
              </w:tc>
              <w:tc>
                <w:tcPr>
                  <w:tcW w:w="878" w:type="pct"/>
                  <w:vAlign w:val="center"/>
                </w:tcPr>
                <w:p w14:paraId="640B7AF5">
                  <w:pPr>
                    <w:spacing w:line="240" w:lineRule="auto"/>
                    <w:jc w:val="center"/>
                    <w:rPr>
                      <w:color w:val="auto"/>
                      <w:sz w:val="18"/>
                      <w:szCs w:val="18"/>
                    </w:rPr>
                  </w:pPr>
                  <w:r>
                    <w:rPr>
                      <w:rFonts w:hint="eastAsia"/>
                      <w:color w:val="auto"/>
                      <w:sz w:val="18"/>
                      <w:szCs w:val="18"/>
                      <w:lang w:val="en-US" w:eastAsia="zh-CN"/>
                    </w:rPr>
                    <w:t>本项目外环境</w:t>
                  </w:r>
                  <w:r>
                    <w:rPr>
                      <w:rFonts w:hint="eastAsia"/>
                      <w:color w:val="auto"/>
                      <w:sz w:val="18"/>
                      <w:szCs w:val="18"/>
                    </w:rPr>
                    <w:t>排放量</w:t>
                  </w:r>
                </w:p>
              </w:tc>
              <w:tc>
                <w:tcPr>
                  <w:tcW w:w="1050" w:type="pct"/>
                  <w:vAlign w:val="center"/>
                </w:tcPr>
                <w:p w14:paraId="52A812F2">
                  <w:pPr>
                    <w:spacing w:line="240" w:lineRule="auto"/>
                    <w:jc w:val="center"/>
                    <w:rPr>
                      <w:rFonts w:hint="eastAsia"/>
                      <w:color w:val="auto"/>
                      <w:sz w:val="18"/>
                      <w:szCs w:val="18"/>
                      <w:lang w:val="en-US" w:eastAsia="zh-CN"/>
                    </w:rPr>
                  </w:pPr>
                  <w:r>
                    <w:rPr>
                      <w:rFonts w:hint="eastAsia"/>
                      <w:color w:val="auto"/>
                      <w:sz w:val="18"/>
                      <w:szCs w:val="18"/>
                      <w:lang w:val="en-US" w:eastAsia="zh-CN"/>
                    </w:rPr>
                    <w:t>全厂纳管</w:t>
                  </w:r>
                  <w:r>
                    <w:rPr>
                      <w:rFonts w:hint="eastAsia"/>
                      <w:color w:val="auto"/>
                      <w:sz w:val="18"/>
                      <w:szCs w:val="18"/>
                    </w:rPr>
                    <w:t>量</w:t>
                  </w:r>
                </w:p>
              </w:tc>
              <w:tc>
                <w:tcPr>
                  <w:tcW w:w="964" w:type="pct"/>
                  <w:shd w:val="clear" w:color="auto" w:fill="auto"/>
                  <w:vAlign w:val="center"/>
                </w:tcPr>
                <w:p w14:paraId="2AEC9934">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全厂外环境</w:t>
                  </w:r>
                  <w:r>
                    <w:rPr>
                      <w:rFonts w:hint="eastAsia"/>
                      <w:color w:val="auto"/>
                      <w:sz w:val="18"/>
                      <w:szCs w:val="18"/>
                    </w:rPr>
                    <w:t>排放量</w:t>
                  </w:r>
                </w:p>
              </w:tc>
            </w:tr>
            <w:tr w14:paraId="187E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pct"/>
                  <w:shd w:val="clear" w:color="auto" w:fill="auto"/>
                  <w:vAlign w:val="center"/>
                </w:tcPr>
                <w:p w14:paraId="179AB223">
                  <w:pPr>
                    <w:spacing w:line="240" w:lineRule="auto"/>
                    <w:jc w:val="center"/>
                    <w:rPr>
                      <w:color w:val="auto"/>
                      <w:sz w:val="18"/>
                      <w:szCs w:val="18"/>
                    </w:rPr>
                  </w:pPr>
                  <w:r>
                    <w:rPr>
                      <w:rFonts w:hint="eastAsia"/>
                      <w:color w:val="auto"/>
                      <w:sz w:val="18"/>
                      <w:szCs w:val="18"/>
                    </w:rPr>
                    <w:t>COD</w:t>
                  </w:r>
                  <w:r>
                    <w:rPr>
                      <w:rFonts w:hint="eastAsia"/>
                      <w:color w:val="auto"/>
                      <w:vertAlign w:val="subscript"/>
                      <w:lang w:val="en-US" w:eastAsia="zh-CN"/>
                    </w:rPr>
                    <w:t>cr</w:t>
                  </w:r>
                </w:p>
              </w:tc>
              <w:tc>
                <w:tcPr>
                  <w:tcW w:w="410" w:type="pct"/>
                  <w:shd w:val="clear" w:color="auto" w:fill="auto"/>
                  <w:vAlign w:val="center"/>
                </w:tcPr>
                <w:p w14:paraId="782C1221">
                  <w:pPr>
                    <w:spacing w:line="240" w:lineRule="auto"/>
                    <w:jc w:val="center"/>
                    <w:rPr>
                      <w:color w:val="auto"/>
                      <w:sz w:val="18"/>
                      <w:szCs w:val="18"/>
                    </w:rPr>
                  </w:pPr>
                  <w:r>
                    <w:rPr>
                      <w:color w:val="auto"/>
                      <w:sz w:val="18"/>
                      <w:szCs w:val="18"/>
                    </w:rPr>
                    <w:t>t/a</w:t>
                  </w:r>
                </w:p>
              </w:tc>
              <w:tc>
                <w:tcPr>
                  <w:tcW w:w="964" w:type="pct"/>
                  <w:vAlign w:val="center"/>
                </w:tcPr>
                <w:p w14:paraId="11AD6B5E">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0.166</w:t>
                  </w:r>
                </w:p>
              </w:tc>
              <w:tc>
                <w:tcPr>
                  <w:tcW w:w="878" w:type="pct"/>
                  <w:vAlign w:val="center"/>
                </w:tcPr>
                <w:p w14:paraId="62E7C008">
                  <w:pPr>
                    <w:widowControl/>
                    <w:spacing w:line="240" w:lineRule="auto"/>
                    <w:jc w:val="center"/>
                    <w:textAlignment w:val="center"/>
                    <w:rPr>
                      <w:rFonts w:hint="default" w:eastAsia="宋体"/>
                      <w:color w:val="auto"/>
                      <w:sz w:val="18"/>
                      <w:szCs w:val="18"/>
                      <w:lang w:val="en-US" w:eastAsia="zh-CN"/>
                    </w:rPr>
                  </w:pPr>
                  <w:r>
                    <w:rPr>
                      <w:rFonts w:hint="eastAsia" w:cs="Times New Roman"/>
                      <w:color w:val="auto"/>
                      <w:kern w:val="2"/>
                      <w:sz w:val="18"/>
                      <w:szCs w:val="18"/>
                      <w:lang w:val="en-US" w:eastAsia="zh-CN" w:bidi="ar-SA"/>
                    </w:rPr>
                    <w:t>0.038</w:t>
                  </w:r>
                </w:p>
              </w:tc>
              <w:tc>
                <w:tcPr>
                  <w:tcW w:w="1050" w:type="pct"/>
                  <w:vAlign w:val="center"/>
                </w:tcPr>
                <w:p w14:paraId="4705671F">
                  <w:pPr>
                    <w:widowControl/>
                    <w:spacing w:line="240" w:lineRule="auto"/>
                    <w:jc w:val="center"/>
                    <w:textAlignment w:val="center"/>
                    <w:rPr>
                      <w:rFonts w:hint="default"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91.726</w:t>
                  </w:r>
                  <w:r>
                    <w:rPr>
                      <w:rFonts w:hint="eastAsia" w:cs="宋体"/>
                      <w:color w:val="auto"/>
                      <w:sz w:val="18"/>
                      <w:szCs w:val="18"/>
                      <w:lang w:val="en-US" w:eastAsia="zh-CN"/>
                    </w:rPr>
                    <w:t>（含本次新增0.166）</w:t>
                  </w:r>
                </w:p>
              </w:tc>
              <w:tc>
                <w:tcPr>
                  <w:tcW w:w="964" w:type="pct"/>
                  <w:shd w:val="clear" w:color="auto" w:fill="auto"/>
                  <w:vAlign w:val="center"/>
                </w:tcPr>
                <w:p w14:paraId="2EEB90FF">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22.290</w:t>
                  </w:r>
                  <w:r>
                    <w:rPr>
                      <w:rFonts w:hint="eastAsia" w:cs="宋体"/>
                      <w:color w:val="auto"/>
                      <w:sz w:val="18"/>
                      <w:szCs w:val="18"/>
                      <w:lang w:val="en-US" w:eastAsia="zh-CN"/>
                    </w:rPr>
                    <w:t>（含本次新增0.038）</w:t>
                  </w:r>
                </w:p>
              </w:tc>
            </w:tr>
            <w:tr w14:paraId="51DCC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pct"/>
                  <w:shd w:val="clear" w:color="auto" w:fill="auto"/>
                  <w:vAlign w:val="center"/>
                </w:tcPr>
                <w:p w14:paraId="32125D2C">
                  <w:pPr>
                    <w:spacing w:line="240" w:lineRule="auto"/>
                    <w:jc w:val="center"/>
                    <w:rPr>
                      <w:color w:val="auto"/>
                      <w:sz w:val="18"/>
                      <w:szCs w:val="18"/>
                    </w:rPr>
                  </w:pPr>
                  <w:r>
                    <w:rPr>
                      <w:rFonts w:hint="eastAsia"/>
                      <w:color w:val="auto"/>
                      <w:sz w:val="18"/>
                      <w:szCs w:val="18"/>
                    </w:rPr>
                    <w:t>氨氮</w:t>
                  </w:r>
                </w:p>
              </w:tc>
              <w:tc>
                <w:tcPr>
                  <w:tcW w:w="410" w:type="pct"/>
                  <w:shd w:val="clear" w:color="auto" w:fill="auto"/>
                  <w:vAlign w:val="center"/>
                </w:tcPr>
                <w:p w14:paraId="7223A34F">
                  <w:pPr>
                    <w:spacing w:line="240" w:lineRule="auto"/>
                    <w:jc w:val="center"/>
                    <w:rPr>
                      <w:color w:val="auto"/>
                      <w:sz w:val="18"/>
                      <w:szCs w:val="18"/>
                    </w:rPr>
                  </w:pPr>
                  <w:r>
                    <w:rPr>
                      <w:color w:val="auto"/>
                      <w:sz w:val="18"/>
                      <w:szCs w:val="18"/>
                    </w:rPr>
                    <w:t>t/a</w:t>
                  </w:r>
                </w:p>
              </w:tc>
              <w:tc>
                <w:tcPr>
                  <w:tcW w:w="964" w:type="pct"/>
                  <w:vAlign w:val="center"/>
                </w:tcPr>
                <w:p w14:paraId="70F61D0F">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0.018</w:t>
                  </w:r>
                </w:p>
              </w:tc>
              <w:tc>
                <w:tcPr>
                  <w:tcW w:w="878" w:type="pct"/>
                  <w:vAlign w:val="center"/>
                </w:tcPr>
                <w:p w14:paraId="7E00DFE4">
                  <w:pPr>
                    <w:widowControl/>
                    <w:spacing w:line="240" w:lineRule="auto"/>
                    <w:jc w:val="center"/>
                    <w:textAlignment w:val="center"/>
                    <w:rPr>
                      <w:color w:val="auto"/>
                      <w:sz w:val="18"/>
                      <w:szCs w:val="18"/>
                    </w:rPr>
                  </w:pPr>
                  <w:r>
                    <w:rPr>
                      <w:rFonts w:hint="eastAsia" w:cs="Times New Roman"/>
                      <w:color w:val="auto"/>
                      <w:kern w:val="2"/>
                      <w:sz w:val="18"/>
                      <w:szCs w:val="18"/>
                      <w:lang w:val="en-US" w:eastAsia="zh-CN" w:bidi="ar-SA"/>
                    </w:rPr>
                    <w:t>0.004</w:t>
                  </w:r>
                </w:p>
              </w:tc>
              <w:tc>
                <w:tcPr>
                  <w:tcW w:w="1050" w:type="pct"/>
                  <w:vAlign w:val="center"/>
                </w:tcPr>
                <w:p w14:paraId="71A2F813">
                  <w:pPr>
                    <w:widowControl/>
                    <w:spacing w:line="240" w:lineRule="auto"/>
                    <w:jc w:val="center"/>
                    <w:textAlignment w:val="center"/>
                    <w:rPr>
                      <w:rFonts w:hint="default" w:cs="Times New Roman"/>
                      <w:color w:val="auto"/>
                      <w:kern w:val="2"/>
                      <w:sz w:val="18"/>
                      <w:szCs w:val="18"/>
                      <w:lang w:val="en-US" w:eastAsia="zh-CN" w:bidi="ar-SA"/>
                    </w:rPr>
                  </w:pPr>
                  <w:r>
                    <w:rPr>
                      <w:rFonts w:hint="eastAsia" w:cs="Times New Roman"/>
                      <w:color w:val="auto"/>
                      <w:sz w:val="18"/>
                      <w:szCs w:val="18"/>
                      <w:lang w:val="en-US" w:eastAsia="zh-CN"/>
                    </w:rPr>
                    <w:t>14.324</w:t>
                  </w:r>
                  <w:r>
                    <w:rPr>
                      <w:rFonts w:hint="eastAsia" w:cs="宋体"/>
                      <w:color w:val="auto"/>
                      <w:sz w:val="18"/>
                      <w:szCs w:val="18"/>
                      <w:lang w:val="en-US" w:eastAsia="zh-CN"/>
                    </w:rPr>
                    <w:t>（含本次新增0.018）</w:t>
                  </w:r>
                </w:p>
              </w:tc>
              <w:tc>
                <w:tcPr>
                  <w:tcW w:w="964" w:type="pct"/>
                  <w:shd w:val="clear" w:color="auto" w:fill="auto"/>
                  <w:vAlign w:val="center"/>
                </w:tcPr>
                <w:p w14:paraId="47DF8BAF">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3.115</w:t>
                  </w:r>
                  <w:r>
                    <w:rPr>
                      <w:rFonts w:hint="eastAsia" w:cs="宋体"/>
                      <w:color w:val="auto"/>
                      <w:sz w:val="18"/>
                      <w:szCs w:val="18"/>
                      <w:lang w:val="en-US" w:eastAsia="zh-CN"/>
                    </w:rPr>
                    <w:t>（含本次新增0.004）</w:t>
                  </w:r>
                </w:p>
              </w:tc>
            </w:tr>
          </w:tbl>
          <w:p w14:paraId="2435EBA2">
            <w:pPr>
              <w:rPr>
                <w:b/>
                <w:snapToGrid w:val="0"/>
                <w:color w:val="auto"/>
                <w:kern w:val="28"/>
              </w:rPr>
            </w:pPr>
          </w:p>
          <w:p w14:paraId="2622CD3C">
            <w:pPr>
              <w:pStyle w:val="85"/>
              <w:rPr>
                <w:b/>
                <w:snapToGrid w:val="0"/>
                <w:color w:val="auto"/>
                <w:kern w:val="28"/>
              </w:rPr>
            </w:pPr>
          </w:p>
          <w:p w14:paraId="2C3956D0">
            <w:pPr>
              <w:pStyle w:val="86"/>
              <w:jc w:val="both"/>
              <w:rPr>
                <w:b/>
                <w:snapToGrid w:val="0"/>
                <w:color w:val="auto"/>
                <w:kern w:val="28"/>
              </w:rPr>
            </w:pPr>
          </w:p>
          <w:p w14:paraId="6DAB09E6">
            <w:pPr>
              <w:pStyle w:val="87"/>
              <w:ind w:left="0" w:leftChars="0" w:firstLine="0" w:firstLineChars="0"/>
              <w:rPr>
                <w:b/>
                <w:snapToGrid w:val="0"/>
                <w:color w:val="auto"/>
                <w:kern w:val="28"/>
              </w:rPr>
            </w:pPr>
          </w:p>
          <w:p w14:paraId="291A3DD1">
            <w:pPr>
              <w:pStyle w:val="86"/>
              <w:jc w:val="both"/>
              <w:rPr>
                <w:color w:val="auto"/>
              </w:rPr>
            </w:pPr>
          </w:p>
        </w:tc>
      </w:tr>
    </w:tbl>
    <w:p w14:paraId="0A4EBD8D">
      <w:pPr>
        <w:tabs>
          <w:tab w:val="left" w:pos="2204"/>
          <w:tab w:val="center" w:pos="4763"/>
        </w:tabs>
        <w:jc w:val="center"/>
        <w:outlineLvl w:val="0"/>
        <w:rPr>
          <w:b/>
          <w:color w:val="auto"/>
          <w:sz w:val="32"/>
          <w:szCs w:val="32"/>
        </w:rPr>
      </w:pPr>
      <w:r>
        <w:rPr>
          <w:color w:val="auto"/>
        </w:rPr>
        <w:br w:type="page"/>
      </w:r>
      <w:bookmarkStart w:id="62" w:name="_Toc9831"/>
      <w:r>
        <w:rPr>
          <w:rFonts w:hint="eastAsia"/>
          <w:b/>
          <w:color w:val="auto"/>
          <w:sz w:val="32"/>
          <w:szCs w:val="32"/>
        </w:rPr>
        <w:t>四、主要</w:t>
      </w:r>
      <w:r>
        <w:rPr>
          <w:b/>
          <w:color w:val="auto"/>
          <w:sz w:val="32"/>
          <w:szCs w:val="32"/>
        </w:rPr>
        <w:t>环境影响</w:t>
      </w:r>
      <w:r>
        <w:rPr>
          <w:rFonts w:hint="eastAsia"/>
          <w:b/>
          <w:color w:val="auto"/>
          <w:sz w:val="32"/>
          <w:szCs w:val="32"/>
        </w:rPr>
        <w:t>和保护措施</w:t>
      </w:r>
      <w:bookmarkEnd w:id="62"/>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9284"/>
      </w:tblGrid>
      <w:tr w14:paraId="7F19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235" w:type="pct"/>
            <w:tcBorders>
              <w:bottom w:val="single" w:color="auto" w:sz="4" w:space="0"/>
            </w:tcBorders>
            <w:vAlign w:val="center"/>
          </w:tcPr>
          <w:p w14:paraId="11BAC20D">
            <w:pPr>
              <w:spacing w:line="500" w:lineRule="exact"/>
              <w:jc w:val="center"/>
              <w:outlineLvl w:val="0"/>
              <w:rPr>
                <w:bCs/>
                <w:color w:val="auto"/>
                <w:szCs w:val="24"/>
                <w:highlight w:val="none"/>
              </w:rPr>
            </w:pPr>
            <w:bookmarkStart w:id="63" w:name="_Toc18538"/>
            <w:bookmarkStart w:id="64" w:name="_Toc6363"/>
            <w:r>
              <w:rPr>
                <w:rFonts w:hint="eastAsia"/>
                <w:bCs/>
                <w:color w:val="auto"/>
                <w:szCs w:val="24"/>
                <w:highlight w:val="none"/>
              </w:rPr>
              <w:t>施工期环境保护措施</w:t>
            </w:r>
            <w:bookmarkEnd w:id="63"/>
            <w:bookmarkEnd w:id="64"/>
          </w:p>
        </w:tc>
        <w:tc>
          <w:tcPr>
            <w:tcW w:w="4764" w:type="pct"/>
            <w:tcBorders>
              <w:bottom w:val="single" w:color="auto" w:sz="4" w:space="0"/>
            </w:tcBorders>
          </w:tcPr>
          <w:p w14:paraId="658DF39C">
            <w:pPr>
              <w:pStyle w:val="402"/>
              <w:ind w:firstLine="480"/>
              <w:jc w:val="both"/>
              <w:rPr>
                <w:color w:val="auto"/>
                <w:sz w:val="24"/>
                <w:szCs w:val="24"/>
                <w:highlight w:val="none"/>
              </w:rPr>
            </w:pPr>
            <w:r>
              <w:rPr>
                <w:rFonts w:hint="eastAsia"/>
                <w:color w:val="auto"/>
                <w:sz w:val="24"/>
                <w:szCs w:val="24"/>
                <w:highlight w:val="none"/>
              </w:rPr>
              <w:t>本项目利用现有厂房，施工期大部分内容仅为设备的安装，不涉及大的土建工程，且施工作业区域均位于厂内现有的厂房内部，施工期无明显废气排放，在加强施工管理，做好施工扬尘防治、施工固废处置的前提下，项目施工对区域环境质量造成的不利影响较小。</w:t>
            </w:r>
          </w:p>
        </w:tc>
      </w:tr>
      <w:tr w14:paraId="33AE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235" w:type="pct"/>
            <w:tcBorders>
              <w:bottom w:val="single" w:color="auto" w:sz="4" w:space="0"/>
            </w:tcBorders>
            <w:vAlign w:val="center"/>
          </w:tcPr>
          <w:p w14:paraId="3A8B829E">
            <w:pPr>
              <w:spacing w:line="500" w:lineRule="exact"/>
              <w:jc w:val="center"/>
              <w:outlineLvl w:val="0"/>
              <w:rPr>
                <w:bCs/>
                <w:color w:val="auto"/>
                <w:szCs w:val="24"/>
                <w:highlight w:val="none"/>
              </w:rPr>
            </w:pPr>
            <w:bookmarkStart w:id="65" w:name="_Toc27330"/>
            <w:bookmarkStart w:id="66" w:name="_Toc1878"/>
            <w:r>
              <w:rPr>
                <w:rFonts w:hint="eastAsia"/>
                <w:bCs/>
                <w:color w:val="auto"/>
                <w:szCs w:val="24"/>
                <w:highlight w:val="none"/>
              </w:rPr>
              <w:t>运营期环境影响和保护措施</w:t>
            </w:r>
            <w:bookmarkEnd w:id="65"/>
            <w:bookmarkEnd w:id="66"/>
          </w:p>
        </w:tc>
        <w:tc>
          <w:tcPr>
            <w:tcW w:w="4764" w:type="pct"/>
            <w:tcBorders>
              <w:bottom w:val="single" w:color="auto" w:sz="4" w:space="0"/>
            </w:tcBorders>
          </w:tcPr>
          <w:p w14:paraId="2C457C23">
            <w:pPr>
              <w:rPr>
                <w:b/>
                <w:color w:val="auto"/>
                <w:szCs w:val="24"/>
                <w:highlight w:val="none"/>
              </w:rPr>
            </w:pPr>
            <w:r>
              <w:rPr>
                <w:rFonts w:hint="eastAsia"/>
                <w:b/>
                <w:color w:val="auto"/>
                <w:szCs w:val="24"/>
                <w:highlight w:val="none"/>
              </w:rPr>
              <w:t>一、废气</w:t>
            </w:r>
          </w:p>
          <w:p w14:paraId="3EC2EB49">
            <w:pPr>
              <w:rPr>
                <w:b/>
                <w:color w:val="auto"/>
                <w:szCs w:val="24"/>
                <w:highlight w:val="none"/>
              </w:rPr>
            </w:pPr>
            <w:r>
              <w:rPr>
                <w:rFonts w:hint="eastAsia"/>
                <w:b/>
                <w:color w:val="auto"/>
                <w:szCs w:val="24"/>
                <w:highlight w:val="none"/>
              </w:rPr>
              <w:t>1、废气源强分析</w:t>
            </w:r>
          </w:p>
          <w:p w14:paraId="42941C64">
            <w:pPr>
              <w:ind w:firstLine="480" w:firstLineChars="200"/>
              <w:rPr>
                <w:color w:val="auto"/>
                <w:szCs w:val="24"/>
                <w:highlight w:val="none"/>
              </w:rPr>
            </w:pPr>
            <w:bookmarkStart w:id="67" w:name="_Hlk123832071"/>
            <w:r>
              <w:rPr>
                <w:rFonts w:hint="eastAsia"/>
                <w:color w:val="auto"/>
                <w:szCs w:val="24"/>
                <w:highlight w:val="none"/>
              </w:rPr>
              <w:t>运营期生产工序废气</w:t>
            </w:r>
            <w:r>
              <w:rPr>
                <w:rFonts w:hint="eastAsia"/>
                <w:color w:val="auto"/>
                <w:szCs w:val="24"/>
                <w:highlight w:val="none"/>
                <w:lang w:val="en-US" w:eastAsia="zh-CN"/>
              </w:rPr>
              <w:t>主要为熔化扒渣工序产生的颗粒物，天然气燃烧产生的</w:t>
            </w:r>
            <w:r>
              <w:rPr>
                <w:b w:val="0"/>
                <w:bCs/>
                <w:color w:val="auto"/>
              </w:rPr>
              <w:t>二氧化硫</w:t>
            </w:r>
            <w:r>
              <w:rPr>
                <w:rFonts w:hint="eastAsia"/>
                <w:b w:val="0"/>
                <w:bCs/>
                <w:color w:val="auto"/>
                <w:lang w:eastAsia="zh-CN"/>
              </w:rPr>
              <w:t>、</w:t>
            </w:r>
            <w:r>
              <w:rPr>
                <w:b w:val="0"/>
                <w:bCs/>
                <w:color w:val="auto"/>
              </w:rPr>
              <w:t>氮氧化物</w:t>
            </w:r>
            <w:r>
              <w:rPr>
                <w:rFonts w:hint="eastAsia"/>
                <w:b w:val="0"/>
                <w:bCs/>
                <w:color w:val="auto"/>
                <w:lang w:eastAsia="zh-CN"/>
              </w:rPr>
              <w:t>；</w:t>
            </w:r>
            <w:r>
              <w:rPr>
                <w:rFonts w:hint="eastAsia"/>
                <w:color w:val="auto"/>
                <w:szCs w:val="24"/>
                <w:highlight w:val="none"/>
                <w:lang w:val="en-US" w:eastAsia="zh-CN"/>
              </w:rPr>
              <w:t>除气除渣产生的氯化氢、氟化物</w:t>
            </w:r>
            <w:r>
              <w:rPr>
                <w:rFonts w:hint="eastAsia"/>
                <w:color w:val="auto"/>
                <w:szCs w:val="24"/>
                <w:highlight w:val="none"/>
                <w:lang w:eastAsia="zh-CN"/>
              </w:rPr>
              <w:t>；</w:t>
            </w:r>
            <w:r>
              <w:rPr>
                <w:rFonts w:hint="eastAsia"/>
                <w:color w:val="auto"/>
                <w:szCs w:val="24"/>
                <w:highlight w:val="none"/>
                <w:lang w:val="en-US" w:eastAsia="zh-CN"/>
              </w:rPr>
              <w:t>离心浇注工序产生的颗粒物；食堂产生的油烟</w:t>
            </w:r>
            <w:r>
              <w:rPr>
                <w:rFonts w:hint="eastAsia"/>
                <w:color w:val="auto"/>
                <w:szCs w:val="24"/>
                <w:highlight w:val="none"/>
              </w:rPr>
              <w:t>。</w:t>
            </w:r>
          </w:p>
          <w:bookmarkEnd w:id="67"/>
          <w:p w14:paraId="43465991">
            <w:pPr>
              <w:ind w:firstLine="480" w:firstLineChars="200"/>
              <w:rPr>
                <w:rFonts w:hint="eastAsia"/>
                <w:color w:val="auto"/>
                <w:szCs w:val="24"/>
                <w:highlight w:val="none"/>
                <w:lang w:val="en-US" w:eastAsia="zh-CN"/>
              </w:rPr>
            </w:pPr>
            <w:r>
              <w:rPr>
                <w:rFonts w:hint="eastAsia"/>
                <w:color w:val="auto"/>
                <w:szCs w:val="24"/>
                <w:highlight w:val="none"/>
                <w:lang w:eastAsia="zh-CN"/>
              </w:rPr>
              <w:t>（</w:t>
            </w:r>
            <w:r>
              <w:rPr>
                <w:rFonts w:hint="eastAsia"/>
                <w:color w:val="auto"/>
                <w:szCs w:val="24"/>
                <w:highlight w:val="none"/>
                <w:lang w:val="en-US" w:eastAsia="zh-CN"/>
              </w:rPr>
              <w:t>1</w:t>
            </w:r>
            <w:r>
              <w:rPr>
                <w:rFonts w:hint="eastAsia"/>
                <w:color w:val="auto"/>
                <w:szCs w:val="24"/>
                <w:highlight w:val="none"/>
                <w:lang w:eastAsia="zh-CN"/>
              </w:rPr>
              <w:t>）</w:t>
            </w:r>
            <w:r>
              <w:rPr>
                <w:rFonts w:hint="eastAsia"/>
                <w:color w:val="auto"/>
                <w:szCs w:val="24"/>
                <w:highlight w:val="none"/>
                <w:lang w:val="en-US" w:eastAsia="zh-CN"/>
              </w:rPr>
              <w:t>熔化、</w:t>
            </w:r>
            <w:r>
              <w:rPr>
                <w:rFonts w:hint="eastAsia"/>
                <w:color w:val="auto"/>
                <w:highlight w:val="none"/>
                <w:lang w:val="en-US" w:eastAsia="zh-CN"/>
              </w:rPr>
              <w:t>扒渣</w:t>
            </w:r>
            <w:r>
              <w:rPr>
                <w:rFonts w:hint="eastAsia"/>
                <w:color w:val="auto"/>
                <w:szCs w:val="24"/>
                <w:highlight w:val="none"/>
                <w:lang w:val="en-US" w:eastAsia="zh-CN"/>
              </w:rPr>
              <w:t>产生的颗粒物</w:t>
            </w:r>
          </w:p>
          <w:p w14:paraId="0949CEA8">
            <w:pPr>
              <w:bidi w:val="0"/>
              <w:ind w:firstLine="480" w:firstLineChars="200"/>
              <w:rPr>
                <w:rFonts w:hint="eastAsia"/>
                <w:color w:val="auto"/>
                <w:highlight w:val="none"/>
                <w:lang w:val="en-US" w:eastAsia="zh-CN"/>
              </w:rPr>
            </w:pPr>
            <w:r>
              <w:rPr>
                <w:rFonts w:hint="eastAsia"/>
                <w:color w:val="auto"/>
                <w:highlight w:val="none"/>
                <w:lang w:val="en-US" w:eastAsia="zh-CN"/>
              </w:rPr>
              <w:t>本项目生产过程中熔化炉熔化和扒渣过程中排放一定的热烟废气，该废气的主要成分为颗粒物。本项目离心浇铸工艺采用感应电炉进行熔铝，低压压铸工艺采用燃气炉进行熔铝；根据《33-37,431-434 机械行业系数手册》“铝合金熔炼炉（燃气炉）”：颗粒物产污系数为0.94kg/t-产品，熔炼（感应电炉/电阻炉及其他）：颗粒物产污系数为0.48kg/t-产品。</w:t>
            </w:r>
          </w:p>
          <w:p w14:paraId="194ECB30">
            <w:pPr>
              <w:spacing w:line="360" w:lineRule="auto"/>
              <w:jc w:val="center"/>
              <w:rPr>
                <w:rFonts w:hint="eastAsia"/>
                <w:b w:val="0"/>
                <w:bCs/>
                <w:color w:val="auto"/>
              </w:rPr>
            </w:pPr>
            <w:r>
              <w:rPr>
                <w:rFonts w:hint="eastAsia" w:eastAsia="黑体"/>
                <w:b w:val="0"/>
                <w:color w:val="auto"/>
              </w:rPr>
              <w:t>表</w:t>
            </w:r>
            <w:r>
              <w:rPr>
                <w:rFonts w:hint="eastAsia" w:eastAsia="黑体"/>
                <w:b w:val="0"/>
                <w:color w:val="auto"/>
                <w:lang w:val="en-US" w:eastAsia="zh-CN"/>
              </w:rPr>
              <w:t>4-1</w:t>
            </w:r>
            <w:r>
              <w:rPr>
                <w:rFonts w:hint="eastAsia" w:eastAsia="黑体"/>
                <w:b w:val="0"/>
                <w:color w:val="auto"/>
              </w:rPr>
              <w:t xml:space="preserve">  </w:t>
            </w:r>
            <w:r>
              <w:rPr>
                <w:rFonts w:hint="eastAsia" w:eastAsia="黑体"/>
                <w:b w:val="0"/>
                <w:color w:val="auto"/>
                <w:lang w:eastAsia="zh-CN"/>
              </w:rPr>
              <w:t>熔化、扒渣</w:t>
            </w:r>
            <w:r>
              <w:rPr>
                <w:rFonts w:hint="eastAsia" w:eastAsia="黑体"/>
                <w:b w:val="0"/>
                <w:color w:val="auto"/>
              </w:rPr>
              <w:t>工序</w:t>
            </w:r>
            <w:r>
              <w:rPr>
                <w:rFonts w:hint="eastAsia" w:eastAsia="黑体"/>
                <w:b w:val="0"/>
                <w:color w:val="auto"/>
                <w:lang w:val="en-US" w:eastAsia="zh-CN"/>
              </w:rPr>
              <w:t>颗粒物产生量</w:t>
            </w:r>
            <w:r>
              <w:rPr>
                <w:rFonts w:hint="eastAsia" w:eastAsia="黑体"/>
                <w:b w:val="0"/>
                <w:color w:val="auto"/>
              </w:rPr>
              <w:t>一览表</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1"/>
              <w:gridCol w:w="1823"/>
              <w:gridCol w:w="2119"/>
              <w:gridCol w:w="2265"/>
            </w:tblGrid>
            <w:tr w14:paraId="04DC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2851" w:type="dxa"/>
                  <w:vAlign w:val="center"/>
                </w:tcPr>
                <w:p w14:paraId="7C11ED8E">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对应设备</w:t>
                  </w:r>
                </w:p>
              </w:tc>
              <w:tc>
                <w:tcPr>
                  <w:tcW w:w="1823" w:type="dxa"/>
                  <w:vAlign w:val="center"/>
                </w:tcPr>
                <w:p w14:paraId="5715DE76">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对应产能</w:t>
                  </w:r>
                </w:p>
              </w:tc>
              <w:tc>
                <w:tcPr>
                  <w:tcW w:w="2119" w:type="dxa"/>
                  <w:vAlign w:val="center"/>
                </w:tcPr>
                <w:p w14:paraId="2B84FEDD">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产污系数</w:t>
                  </w:r>
                </w:p>
              </w:tc>
              <w:tc>
                <w:tcPr>
                  <w:tcW w:w="2265" w:type="dxa"/>
                  <w:vAlign w:val="center"/>
                </w:tcPr>
                <w:p w14:paraId="3BD0FF2E">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颗粒物产生量</w:t>
                  </w:r>
                </w:p>
              </w:tc>
            </w:tr>
            <w:tr w14:paraId="27F3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14:paraId="37CD47D8">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集中熔铝炉</w:t>
                  </w:r>
                  <w:r>
                    <w:rPr>
                      <w:rFonts w:hint="eastAsia" w:ascii="Times New Roman" w:hAnsi="Times New Roman" w:eastAsia="宋体" w:cs="宋体"/>
                      <w:color w:val="auto"/>
                      <w:kern w:val="0"/>
                      <w:sz w:val="18"/>
                      <w:szCs w:val="18"/>
                      <w:highlight w:val="none"/>
                      <w:lang w:val="en-US" w:eastAsia="zh-CN" w:bidi="ar"/>
                    </w:rPr>
                    <w:t>（燃气炉）</w:t>
                  </w:r>
                </w:p>
              </w:tc>
              <w:tc>
                <w:tcPr>
                  <w:tcW w:w="1823" w:type="dxa"/>
                  <w:vAlign w:val="center"/>
                </w:tcPr>
                <w:p w14:paraId="073529C0">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6800t</w:t>
                  </w:r>
                </w:p>
              </w:tc>
              <w:tc>
                <w:tcPr>
                  <w:tcW w:w="2119" w:type="dxa"/>
                  <w:vAlign w:val="center"/>
                </w:tcPr>
                <w:p w14:paraId="665C777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0.94kg/t-产品</w:t>
                  </w:r>
                </w:p>
              </w:tc>
              <w:tc>
                <w:tcPr>
                  <w:tcW w:w="2265" w:type="dxa"/>
                  <w:vAlign w:val="center"/>
                </w:tcPr>
                <w:p w14:paraId="53093F8B">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6.392t</w:t>
                  </w:r>
                </w:p>
              </w:tc>
            </w:tr>
            <w:tr w14:paraId="05882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14:paraId="5133293D">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离心浇铸机配套电炉</w:t>
                  </w:r>
                  <w:r>
                    <w:rPr>
                      <w:rFonts w:hint="eastAsia" w:ascii="Times New Roman" w:hAnsi="Times New Roman" w:eastAsia="宋体" w:cs="宋体"/>
                      <w:color w:val="auto"/>
                      <w:kern w:val="0"/>
                      <w:sz w:val="18"/>
                      <w:szCs w:val="18"/>
                      <w:highlight w:val="none"/>
                      <w:lang w:val="en-US" w:eastAsia="zh-CN" w:bidi="ar"/>
                    </w:rPr>
                    <w:t>（感应电炉</w:t>
                  </w:r>
                  <w:r>
                    <w:rPr>
                      <w:rFonts w:hint="eastAsia" w:cs="宋体"/>
                      <w:color w:val="auto"/>
                      <w:kern w:val="0"/>
                      <w:sz w:val="18"/>
                      <w:szCs w:val="18"/>
                      <w:highlight w:val="none"/>
                      <w:lang w:val="en-US" w:eastAsia="zh-CN" w:bidi="ar"/>
                    </w:rPr>
                    <w:t>）</w:t>
                  </w:r>
                </w:p>
              </w:tc>
              <w:tc>
                <w:tcPr>
                  <w:tcW w:w="1823" w:type="dxa"/>
                  <w:vAlign w:val="center"/>
                </w:tcPr>
                <w:p w14:paraId="1743DC67">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1200t</w:t>
                  </w:r>
                </w:p>
              </w:tc>
              <w:tc>
                <w:tcPr>
                  <w:tcW w:w="2119" w:type="dxa"/>
                  <w:vAlign w:val="center"/>
                </w:tcPr>
                <w:p w14:paraId="1E21729B">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0.48kg/t-产品</w:t>
                  </w:r>
                </w:p>
              </w:tc>
              <w:tc>
                <w:tcPr>
                  <w:tcW w:w="2265" w:type="dxa"/>
                  <w:vAlign w:val="center"/>
                </w:tcPr>
                <w:p w14:paraId="21B9B5E6">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0.576t</w:t>
                  </w:r>
                </w:p>
              </w:tc>
            </w:tr>
            <w:tr w14:paraId="7219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14:paraId="3C6903DE">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合计</w:t>
                  </w:r>
                </w:p>
              </w:tc>
              <w:tc>
                <w:tcPr>
                  <w:tcW w:w="1823" w:type="dxa"/>
                  <w:vAlign w:val="center"/>
                </w:tcPr>
                <w:p w14:paraId="3DAE1261">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8000t</w:t>
                  </w:r>
                </w:p>
              </w:tc>
              <w:tc>
                <w:tcPr>
                  <w:tcW w:w="2119" w:type="dxa"/>
                  <w:vAlign w:val="center"/>
                </w:tcPr>
                <w:p w14:paraId="0C3D8BF1">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2265" w:type="dxa"/>
                  <w:vAlign w:val="center"/>
                </w:tcPr>
                <w:p w14:paraId="38BE14A6">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6.968t</w:t>
                  </w:r>
                </w:p>
              </w:tc>
            </w:tr>
            <w:tr w14:paraId="140D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58" w:type="dxa"/>
                  <w:gridSpan w:val="4"/>
                  <w:vAlign w:val="center"/>
                </w:tcPr>
                <w:p w14:paraId="73F86427">
                  <w:pPr>
                    <w:widowControl/>
                    <w:spacing w:line="240" w:lineRule="auto"/>
                    <w:jc w:val="left"/>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注：对应产能以单件产品平均重量100kg计算</w:t>
                  </w:r>
                </w:p>
              </w:tc>
            </w:tr>
          </w:tbl>
          <w:p w14:paraId="2411B378">
            <w:pPr>
              <w:bidi w:val="0"/>
              <w:ind w:firstLine="480" w:firstLineChars="200"/>
              <w:rPr>
                <w:rFonts w:hint="default" w:eastAsia="宋体"/>
                <w:color w:val="auto"/>
                <w:highlight w:val="none"/>
                <w:lang w:val="en-US" w:eastAsia="zh-CN"/>
              </w:rPr>
            </w:pPr>
            <w:r>
              <w:rPr>
                <w:rFonts w:hint="eastAsia"/>
                <w:color w:val="auto"/>
                <w:highlight w:val="none"/>
                <w:lang w:val="en-US" w:eastAsia="zh-CN"/>
              </w:rPr>
              <w:t>本项目产品为铝合金，以单件产品平均重量100kg计，产品总重按为8000t计，根据上述产污系数计算</w:t>
            </w:r>
            <w:r>
              <w:rPr>
                <w:rFonts w:hint="eastAsia"/>
                <w:color w:val="auto"/>
                <w:szCs w:val="24"/>
                <w:highlight w:val="none"/>
                <w:lang w:val="en-US" w:eastAsia="zh-CN"/>
              </w:rPr>
              <w:t>熔化、</w:t>
            </w:r>
            <w:r>
              <w:rPr>
                <w:rFonts w:hint="eastAsia"/>
                <w:color w:val="auto"/>
                <w:highlight w:val="none"/>
                <w:lang w:val="en-US" w:eastAsia="zh-CN"/>
              </w:rPr>
              <w:t>扒渣工序颗粒物产生总量为6.968t/a；该工段产生的污染物通过集气罩收集后处理，收集效率为90%。</w:t>
            </w:r>
          </w:p>
          <w:p w14:paraId="61E5AD30">
            <w:pPr>
              <w:ind w:firstLine="480" w:firstLineChars="200"/>
              <w:rPr>
                <w:color w:val="auto"/>
                <w:szCs w:val="24"/>
                <w:highlight w:val="none"/>
              </w:rPr>
            </w:pPr>
            <w:r>
              <w:rPr>
                <w:rFonts w:hint="eastAsia"/>
                <w:color w:val="auto"/>
                <w:szCs w:val="24"/>
                <w:highlight w:val="none"/>
              </w:rPr>
              <w:t>（</w:t>
            </w:r>
            <w:r>
              <w:rPr>
                <w:rFonts w:hint="eastAsia"/>
                <w:color w:val="auto"/>
                <w:szCs w:val="24"/>
                <w:highlight w:val="none"/>
                <w:lang w:val="en-US" w:eastAsia="zh-CN"/>
              </w:rPr>
              <w:t>2</w:t>
            </w:r>
            <w:r>
              <w:rPr>
                <w:rFonts w:hint="eastAsia"/>
                <w:color w:val="auto"/>
                <w:szCs w:val="24"/>
                <w:highlight w:val="none"/>
              </w:rPr>
              <w:t>）天然气燃烧废气</w:t>
            </w:r>
          </w:p>
          <w:p w14:paraId="52E3FF6D">
            <w:pPr>
              <w:pStyle w:val="87"/>
              <w:ind w:left="0" w:firstLine="480" w:firstLineChars="200"/>
              <w:rPr>
                <w:color w:val="auto"/>
                <w:highlight w:val="none"/>
              </w:rPr>
            </w:pPr>
            <w:r>
              <w:rPr>
                <w:b w:val="0"/>
                <w:bCs/>
                <w:color w:val="auto"/>
              </w:rPr>
              <w:t>项目</w:t>
            </w:r>
            <w:r>
              <w:rPr>
                <w:rFonts w:hint="eastAsia"/>
                <w:b w:val="0"/>
                <w:bCs/>
                <w:color w:val="auto"/>
                <w:lang w:val="en-US" w:eastAsia="zh-CN"/>
              </w:rPr>
              <w:t>集中熔铝炉</w:t>
            </w:r>
            <w:r>
              <w:rPr>
                <w:rFonts w:hint="eastAsia"/>
                <w:b w:val="0"/>
                <w:bCs/>
                <w:color w:val="auto"/>
                <w:lang w:eastAsia="zh-CN"/>
              </w:rPr>
              <w:t>熔</w:t>
            </w:r>
            <w:r>
              <w:rPr>
                <w:b w:val="0"/>
                <w:bCs/>
                <w:color w:val="auto"/>
              </w:rPr>
              <w:t>炼过程采用天然气为燃料，燃烧过程会产生少量的烟尘、SO</w:t>
            </w:r>
            <w:r>
              <w:rPr>
                <w:b w:val="0"/>
                <w:bCs/>
                <w:color w:val="auto"/>
                <w:vertAlign w:val="subscript"/>
              </w:rPr>
              <w:t>2</w:t>
            </w:r>
            <w:r>
              <w:rPr>
                <w:b w:val="0"/>
                <w:bCs/>
                <w:color w:val="auto"/>
              </w:rPr>
              <w:t>、NOx。</w:t>
            </w:r>
            <w:r>
              <w:rPr>
                <w:rFonts w:hint="eastAsia"/>
                <w:b w:val="0"/>
                <w:bCs/>
                <w:color w:val="auto"/>
              </w:rPr>
              <w:t>根据《排放源统计调查产排污核算方法和系数手册（2021年）》及《33-37，431-434 机械行业系数手册》“天然气工业炉窑”：工业废气量为13.6m</w:t>
            </w:r>
            <w:r>
              <w:rPr>
                <w:rFonts w:hint="eastAsia"/>
                <w:b w:val="0"/>
                <w:bCs/>
                <w:color w:val="auto"/>
                <w:vertAlign w:val="superscript"/>
              </w:rPr>
              <w:t>3</w:t>
            </w:r>
            <w:r>
              <w:rPr>
                <w:rFonts w:hint="eastAsia"/>
                <w:b w:val="0"/>
                <w:bCs/>
                <w:color w:val="auto"/>
              </w:rPr>
              <w:t>/m</w:t>
            </w:r>
            <w:r>
              <w:rPr>
                <w:rFonts w:hint="eastAsia"/>
                <w:b w:val="0"/>
                <w:bCs/>
                <w:color w:val="auto"/>
                <w:vertAlign w:val="superscript"/>
              </w:rPr>
              <w:t>3</w:t>
            </w:r>
            <w:r>
              <w:rPr>
                <w:rFonts w:hint="eastAsia"/>
                <w:b w:val="0"/>
                <w:bCs/>
                <w:color w:val="auto"/>
              </w:rPr>
              <w:t>-原料，颗粒物产</w:t>
            </w:r>
            <w:r>
              <w:rPr>
                <w:rFonts w:hint="eastAsia"/>
                <w:b w:val="0"/>
                <w:bCs/>
                <w:color w:val="auto"/>
                <w:lang w:val="en-US" w:eastAsia="zh-CN"/>
              </w:rPr>
              <w:t>污</w:t>
            </w:r>
            <w:r>
              <w:rPr>
                <w:rFonts w:hint="eastAsia"/>
                <w:b w:val="0"/>
                <w:bCs/>
                <w:color w:val="auto"/>
              </w:rPr>
              <w:t>系数为 0.000286kg/m</w:t>
            </w:r>
            <w:r>
              <w:rPr>
                <w:rFonts w:hint="eastAsia"/>
                <w:b w:val="0"/>
                <w:bCs/>
                <w:color w:val="auto"/>
                <w:vertAlign w:val="superscript"/>
              </w:rPr>
              <w:t>3</w:t>
            </w:r>
            <w:r>
              <w:rPr>
                <w:rFonts w:hint="eastAsia"/>
                <w:b w:val="0"/>
                <w:bCs/>
                <w:color w:val="auto"/>
              </w:rPr>
              <w:t>-原料，SO</w:t>
            </w:r>
            <w:r>
              <w:rPr>
                <w:rFonts w:hint="eastAsia"/>
                <w:b w:val="0"/>
                <w:bCs/>
                <w:color w:val="auto"/>
                <w:vertAlign w:val="subscript"/>
              </w:rPr>
              <w:t>2</w:t>
            </w:r>
            <w:r>
              <w:rPr>
                <w:rFonts w:hint="eastAsia"/>
                <w:b w:val="0"/>
                <w:bCs/>
                <w:color w:val="auto"/>
              </w:rPr>
              <w:t>产</w:t>
            </w:r>
            <w:r>
              <w:rPr>
                <w:rFonts w:hint="eastAsia"/>
                <w:b w:val="0"/>
                <w:bCs/>
                <w:color w:val="auto"/>
                <w:lang w:val="en-US" w:eastAsia="zh-CN"/>
              </w:rPr>
              <w:t>污</w:t>
            </w:r>
            <w:r>
              <w:rPr>
                <w:rFonts w:hint="eastAsia"/>
                <w:b w:val="0"/>
                <w:bCs/>
                <w:color w:val="auto"/>
              </w:rPr>
              <w:t>系数为0.000002Skg/m</w:t>
            </w:r>
            <w:r>
              <w:rPr>
                <w:rFonts w:hint="eastAsia"/>
                <w:b w:val="0"/>
                <w:bCs/>
                <w:color w:val="auto"/>
                <w:vertAlign w:val="superscript"/>
              </w:rPr>
              <w:t>3</w:t>
            </w:r>
            <w:r>
              <w:rPr>
                <w:rFonts w:hint="eastAsia"/>
                <w:b w:val="0"/>
                <w:bCs/>
                <w:color w:val="auto"/>
              </w:rPr>
              <w:t>-原料，氮氧化物产</w:t>
            </w:r>
            <w:r>
              <w:rPr>
                <w:rFonts w:hint="eastAsia"/>
                <w:b w:val="0"/>
                <w:bCs/>
                <w:color w:val="auto"/>
                <w:lang w:val="en-US" w:eastAsia="zh-CN"/>
              </w:rPr>
              <w:t>污</w:t>
            </w:r>
            <w:r>
              <w:rPr>
                <w:rFonts w:hint="eastAsia"/>
                <w:b w:val="0"/>
                <w:bCs/>
                <w:color w:val="auto"/>
              </w:rPr>
              <w:t>系数为0.00187kg/m</w:t>
            </w:r>
            <w:r>
              <w:rPr>
                <w:rFonts w:hint="eastAsia"/>
                <w:b w:val="0"/>
                <w:bCs/>
                <w:color w:val="auto"/>
                <w:vertAlign w:val="superscript"/>
              </w:rPr>
              <w:t>3</w:t>
            </w:r>
            <w:r>
              <w:rPr>
                <w:rFonts w:hint="eastAsia"/>
                <w:b w:val="0"/>
                <w:bCs/>
                <w:color w:val="auto"/>
              </w:rPr>
              <w:t>-原料</w:t>
            </w:r>
            <w:r>
              <w:rPr>
                <w:rFonts w:hint="eastAsia"/>
                <w:color w:val="auto"/>
                <w:highlight w:val="none"/>
              </w:rPr>
              <w:t>。</w:t>
            </w:r>
          </w:p>
          <w:p w14:paraId="57DBC16C">
            <w:pPr>
              <w:pStyle w:val="87"/>
              <w:ind w:left="0" w:firstLine="480" w:firstLineChars="200"/>
              <w:rPr>
                <w:rFonts w:hint="eastAsia" w:ascii="黑体" w:hAnsi="黑体" w:eastAsia="黑体"/>
                <w:color w:val="auto"/>
                <w:szCs w:val="24"/>
                <w:highlight w:val="none"/>
              </w:rPr>
            </w:pPr>
            <w:r>
              <w:rPr>
                <w:b w:val="0"/>
                <w:bCs/>
                <w:color w:val="auto"/>
              </w:rPr>
              <w:t>拟建项目</w:t>
            </w:r>
            <w:r>
              <w:rPr>
                <w:rFonts w:hint="eastAsia"/>
                <w:b w:val="0"/>
                <w:bCs/>
                <w:color w:val="auto"/>
                <w:lang w:val="en-US" w:eastAsia="zh-CN"/>
              </w:rPr>
              <w:t>集中熔铝炉</w:t>
            </w:r>
            <w:r>
              <w:rPr>
                <w:b w:val="0"/>
                <w:bCs/>
                <w:color w:val="auto"/>
              </w:rPr>
              <w:t>天然气使用量为</w:t>
            </w:r>
            <w:r>
              <w:rPr>
                <w:rFonts w:hint="eastAsia"/>
                <w:b w:val="0"/>
                <w:bCs/>
                <w:color w:val="auto"/>
                <w:szCs w:val="24"/>
                <w:lang w:val="en-US" w:eastAsia="zh-CN"/>
              </w:rPr>
              <w:t>39</w:t>
            </w:r>
            <w:r>
              <w:rPr>
                <w:b w:val="0"/>
                <w:bCs/>
                <w:color w:val="auto"/>
              </w:rPr>
              <w:t>万m</w:t>
            </w:r>
            <w:r>
              <w:rPr>
                <w:b w:val="0"/>
                <w:bCs/>
                <w:color w:val="auto"/>
                <w:vertAlign w:val="superscript"/>
              </w:rPr>
              <w:t>3</w:t>
            </w:r>
            <w:r>
              <w:rPr>
                <w:b w:val="0"/>
                <w:bCs/>
                <w:color w:val="auto"/>
              </w:rPr>
              <w:t>/a，则根据上述产污系数，本项目天然气燃烧废气颗粒物产生量为0.</w:t>
            </w:r>
            <w:r>
              <w:rPr>
                <w:rFonts w:hint="eastAsia"/>
                <w:b w:val="0"/>
                <w:bCs/>
                <w:color w:val="auto"/>
                <w:lang w:val="en-US" w:eastAsia="zh-CN"/>
              </w:rPr>
              <w:t>112</w:t>
            </w:r>
            <w:r>
              <w:rPr>
                <w:rFonts w:hint="eastAsia"/>
                <w:b w:val="0"/>
                <w:bCs/>
                <w:color w:val="auto"/>
              </w:rPr>
              <w:t xml:space="preserve"> </w:t>
            </w:r>
            <w:r>
              <w:rPr>
                <w:b w:val="0"/>
                <w:bCs/>
                <w:color w:val="auto"/>
              </w:rPr>
              <w:t>t/a</w:t>
            </w:r>
            <w:r>
              <w:rPr>
                <w:rFonts w:hint="eastAsia"/>
                <w:b w:val="0"/>
                <w:bCs/>
                <w:color w:val="auto"/>
              </w:rPr>
              <w:t>，SO</w:t>
            </w:r>
            <w:r>
              <w:rPr>
                <w:b w:val="0"/>
                <w:bCs/>
                <w:color w:val="auto"/>
                <w:vertAlign w:val="subscript"/>
              </w:rPr>
              <w:t>2</w:t>
            </w:r>
            <w:r>
              <w:rPr>
                <w:rFonts w:hint="eastAsia"/>
                <w:b w:val="0"/>
                <w:bCs/>
                <w:color w:val="auto"/>
              </w:rPr>
              <w:t>产生量为0.</w:t>
            </w:r>
            <w:r>
              <w:rPr>
                <w:rFonts w:hint="eastAsia"/>
                <w:b w:val="0"/>
                <w:bCs/>
                <w:color w:val="auto"/>
                <w:lang w:val="en-US" w:eastAsia="zh-CN"/>
              </w:rPr>
              <w:t>156</w:t>
            </w:r>
            <w:r>
              <w:rPr>
                <w:rFonts w:hint="eastAsia"/>
                <w:b w:val="0"/>
                <w:bCs/>
                <w:color w:val="auto"/>
              </w:rPr>
              <w:t xml:space="preserve"> t</w:t>
            </w:r>
            <w:r>
              <w:rPr>
                <w:b w:val="0"/>
                <w:bCs/>
                <w:color w:val="auto"/>
              </w:rPr>
              <w:t>/a</w:t>
            </w:r>
            <w:r>
              <w:rPr>
                <w:rFonts w:hint="eastAsia"/>
                <w:b w:val="0"/>
                <w:bCs/>
                <w:color w:val="auto"/>
              </w:rPr>
              <w:t>，NOx产生量为</w:t>
            </w:r>
            <w:r>
              <w:rPr>
                <w:rFonts w:hint="eastAsia"/>
                <w:b w:val="0"/>
                <w:bCs/>
                <w:color w:val="auto"/>
                <w:lang w:val="en-US" w:eastAsia="zh-CN"/>
              </w:rPr>
              <w:t>0.729</w:t>
            </w:r>
            <w:r>
              <w:rPr>
                <w:rFonts w:hint="eastAsia"/>
                <w:b w:val="0"/>
                <w:bCs/>
                <w:color w:val="auto"/>
              </w:rPr>
              <w:t xml:space="preserve"> t</w:t>
            </w:r>
            <w:r>
              <w:rPr>
                <w:b w:val="0"/>
                <w:bCs/>
                <w:color w:val="auto"/>
              </w:rPr>
              <w:t>/a。该工段废气通过</w:t>
            </w:r>
            <w:r>
              <w:rPr>
                <w:rFonts w:hint="eastAsia"/>
                <w:b w:val="0"/>
                <w:bCs/>
                <w:color w:val="auto"/>
              </w:rPr>
              <w:t>管道</w:t>
            </w:r>
            <w:r>
              <w:rPr>
                <w:b w:val="0"/>
                <w:bCs/>
                <w:color w:val="auto"/>
              </w:rPr>
              <w:t>收集后</w:t>
            </w:r>
            <w:r>
              <w:rPr>
                <w:rFonts w:hint="eastAsia"/>
                <w:b w:val="0"/>
                <w:bCs/>
                <w:color w:val="auto"/>
                <w:lang w:val="en-US" w:eastAsia="zh-CN"/>
              </w:rPr>
              <w:t>经车间无组织排放</w:t>
            </w:r>
            <w:r>
              <w:rPr>
                <w:b w:val="0"/>
                <w:bCs/>
                <w:color w:val="auto"/>
              </w:rPr>
              <w:t>，</w:t>
            </w:r>
            <w:r>
              <w:rPr>
                <w:rFonts w:hint="eastAsia"/>
                <w:b w:val="0"/>
                <w:bCs/>
                <w:color w:val="auto"/>
              </w:rPr>
              <w:t>考虑本项目加热炉燃料为天然气，属于清洁能源，且设备均采用热风循环系统，气密性较好，故该工序产生的天然气燃烧废气均以无组织形式排放，采取强制通风措施进行处理</w:t>
            </w:r>
            <w:r>
              <w:rPr>
                <w:rFonts w:hint="eastAsia"/>
                <w:color w:val="auto"/>
                <w:highlight w:val="none"/>
              </w:rPr>
              <w:t>。</w:t>
            </w:r>
          </w:p>
          <w:p w14:paraId="57260AA4">
            <w:pPr>
              <w:ind w:firstLine="480" w:firstLineChars="200"/>
              <w:rPr>
                <w:rFonts w:hint="default"/>
                <w:color w:val="auto"/>
                <w:szCs w:val="24"/>
                <w:highlight w:val="none"/>
                <w:lang w:val="en-US" w:eastAsia="zh-CN"/>
              </w:rPr>
            </w:pPr>
            <w:r>
              <w:rPr>
                <w:rFonts w:hint="eastAsia"/>
                <w:color w:val="auto"/>
                <w:szCs w:val="24"/>
                <w:highlight w:val="none"/>
                <w:lang w:eastAsia="zh-CN"/>
              </w:rPr>
              <w:t>（</w:t>
            </w:r>
            <w:r>
              <w:rPr>
                <w:rFonts w:hint="eastAsia"/>
                <w:color w:val="auto"/>
                <w:szCs w:val="24"/>
                <w:highlight w:val="none"/>
                <w:lang w:val="en-US" w:eastAsia="zh-CN"/>
              </w:rPr>
              <w:t>3</w:t>
            </w:r>
            <w:r>
              <w:rPr>
                <w:rFonts w:hint="eastAsia"/>
                <w:color w:val="auto"/>
                <w:szCs w:val="24"/>
                <w:highlight w:val="none"/>
                <w:lang w:eastAsia="zh-CN"/>
              </w:rPr>
              <w:t>）</w:t>
            </w:r>
            <w:r>
              <w:rPr>
                <w:rFonts w:hint="eastAsia"/>
                <w:color w:val="auto"/>
                <w:szCs w:val="24"/>
                <w:highlight w:val="none"/>
                <w:lang w:val="en-US" w:eastAsia="zh-CN"/>
              </w:rPr>
              <w:t>除渣除气产生的氯化氢、氟化物</w:t>
            </w:r>
          </w:p>
          <w:p w14:paraId="57D17350">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项目</w:t>
            </w:r>
            <w:r>
              <w:rPr>
                <w:rFonts w:hint="eastAsia"/>
                <w:color w:val="auto"/>
                <w:szCs w:val="24"/>
                <w:highlight w:val="none"/>
                <w:lang w:val="en-US" w:eastAsia="zh-CN"/>
              </w:rPr>
              <w:t>除渣除气工艺</w:t>
            </w:r>
            <w:r>
              <w:rPr>
                <w:rFonts w:hint="eastAsia" w:cs="宋体"/>
                <w:color w:val="auto"/>
                <w:kern w:val="2"/>
                <w:sz w:val="24"/>
                <w:szCs w:val="21"/>
                <w:highlight w:val="none"/>
                <w:lang w:val="en-US" w:eastAsia="zh-CN" w:bidi="ar-SA"/>
              </w:rPr>
              <w:t>工序使用除渣剂量为0.2 t/a，主要成分为Na</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AlF</w:t>
            </w:r>
            <w:r>
              <w:rPr>
                <w:rFonts w:hint="eastAsia" w:cs="宋体"/>
                <w:color w:val="auto"/>
                <w:kern w:val="2"/>
                <w:sz w:val="24"/>
                <w:szCs w:val="21"/>
                <w:highlight w:val="none"/>
                <w:vertAlign w:val="subscript"/>
                <w:lang w:val="en-US" w:eastAsia="zh-CN" w:bidi="ar-SA"/>
              </w:rPr>
              <w:t>6</w:t>
            </w:r>
            <w:r>
              <w:rPr>
                <w:rFonts w:hint="eastAsia" w:cs="宋体"/>
                <w:color w:val="auto"/>
                <w:kern w:val="2"/>
                <w:sz w:val="24"/>
                <w:szCs w:val="21"/>
                <w:highlight w:val="none"/>
                <w:lang w:val="en-US" w:eastAsia="zh-CN" w:bidi="ar-SA"/>
              </w:rPr>
              <w:t>、KCl、NaCl、Na</w:t>
            </w:r>
            <w:r>
              <w:rPr>
                <w:rFonts w:hint="eastAsia" w:cs="宋体"/>
                <w:color w:val="auto"/>
                <w:kern w:val="2"/>
                <w:sz w:val="24"/>
                <w:szCs w:val="21"/>
                <w:highlight w:val="none"/>
                <w:vertAlign w:val="subscript"/>
                <w:lang w:val="en-US" w:eastAsia="zh-CN" w:bidi="ar-SA"/>
              </w:rPr>
              <w:t>2</w:t>
            </w:r>
            <w:r>
              <w:rPr>
                <w:rFonts w:hint="eastAsia" w:cs="宋体"/>
                <w:color w:val="auto"/>
                <w:kern w:val="2"/>
                <w:sz w:val="24"/>
                <w:szCs w:val="21"/>
                <w:highlight w:val="none"/>
                <w:lang w:val="en-US" w:eastAsia="zh-CN" w:bidi="ar-SA"/>
              </w:rPr>
              <w:t>CO</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等。项目除渣剂中Cl元素含量约为10%，则除渣剂中氯元素量为0.02 t/a。根据徐思琪，王雪娇，陈平，等。我国铝冶炼企业固体废物的指纹特征及毒性[J].环境科学研究，2021,34(9)：2248-2255中实验数据可知，约90%的Cl元素进入铝灰中，10%的Cl元素转化为HCl气体排放，则氯化氢产生量约为0.002 t/a，</w:t>
            </w:r>
            <w:r>
              <w:rPr>
                <w:b w:val="0"/>
                <w:bCs/>
                <w:color w:val="auto"/>
              </w:rPr>
              <w:t>该工段废气通过</w:t>
            </w:r>
            <w:r>
              <w:rPr>
                <w:rFonts w:hint="eastAsia"/>
                <w:b w:val="0"/>
                <w:bCs/>
                <w:color w:val="auto"/>
              </w:rPr>
              <w:t>管道</w:t>
            </w:r>
            <w:r>
              <w:rPr>
                <w:b w:val="0"/>
                <w:bCs/>
                <w:color w:val="auto"/>
              </w:rPr>
              <w:t>收集后处理，收集效率为100%</w:t>
            </w:r>
            <w:r>
              <w:rPr>
                <w:rFonts w:hint="eastAsia" w:cs="宋体"/>
                <w:color w:val="auto"/>
                <w:kern w:val="2"/>
                <w:sz w:val="24"/>
                <w:szCs w:val="21"/>
                <w:highlight w:val="none"/>
                <w:lang w:val="en-US" w:eastAsia="zh-CN" w:bidi="ar-SA"/>
              </w:rPr>
              <w:t>。</w:t>
            </w:r>
          </w:p>
          <w:p w14:paraId="13DDDACC">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本项目使用的除渣剂中含有冰晶石（Na</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AlF</w:t>
            </w:r>
            <w:r>
              <w:rPr>
                <w:rFonts w:hint="eastAsia" w:cs="宋体"/>
                <w:color w:val="auto"/>
                <w:kern w:val="2"/>
                <w:sz w:val="24"/>
                <w:szCs w:val="21"/>
                <w:highlight w:val="none"/>
                <w:vertAlign w:val="subscript"/>
                <w:lang w:val="en-US" w:eastAsia="zh-CN" w:bidi="ar-SA"/>
              </w:rPr>
              <w:t>6</w:t>
            </w:r>
            <w:r>
              <w:rPr>
                <w:rFonts w:hint="eastAsia" w:cs="宋体"/>
                <w:color w:val="auto"/>
                <w:kern w:val="2"/>
                <w:sz w:val="24"/>
                <w:szCs w:val="21"/>
                <w:highlight w:val="none"/>
                <w:lang w:val="en-US" w:eastAsia="zh-CN" w:bidi="ar-SA"/>
              </w:rPr>
              <w:t>），其可以与Al</w:t>
            </w:r>
            <w:r>
              <w:rPr>
                <w:rFonts w:hint="eastAsia" w:cs="宋体"/>
                <w:color w:val="auto"/>
                <w:kern w:val="2"/>
                <w:sz w:val="24"/>
                <w:szCs w:val="21"/>
                <w:highlight w:val="none"/>
                <w:vertAlign w:val="subscript"/>
                <w:lang w:val="en-US" w:eastAsia="zh-CN" w:bidi="ar-SA"/>
              </w:rPr>
              <w:t>2</w:t>
            </w:r>
            <w:r>
              <w:rPr>
                <w:rFonts w:hint="eastAsia" w:cs="宋体"/>
                <w:color w:val="auto"/>
                <w:kern w:val="2"/>
                <w:sz w:val="24"/>
                <w:szCs w:val="21"/>
                <w:highlight w:val="none"/>
                <w:lang w:val="en-US" w:eastAsia="zh-CN" w:bidi="ar-SA"/>
              </w:rPr>
              <w:t>O</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生成AlF</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，上述成分主要随扒渣过程进入铝灰渣中，少量随烟气排出。AlF</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在加热到300~400℃时能被水蒸气部分分解以氟化氢的形式排放。除渣剂中氟元素含量约为13%，则除渣剂中氟元素量为0.026 t/a，根据徐思琪，王雪娇，陈平，等。我国铝冶炼企业固体废物的指纹特征及毒性[J].环境科学研究，2021,34(9)：2248-2255中实验数据可知，其中90%以上的氟元素以AlF</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的形式进入铝灰渣中，10%的的氟元素被水蒸气部分分解，以氟化氢气体的形式排放，</w:t>
            </w:r>
            <w:r>
              <w:rPr>
                <w:rFonts w:hint="eastAsia"/>
                <w:color w:val="auto"/>
                <w:szCs w:val="24"/>
                <w:highlight w:val="none"/>
                <w:lang w:val="en-US" w:eastAsia="zh-CN"/>
              </w:rPr>
              <w:t>氟化物</w:t>
            </w:r>
            <w:r>
              <w:rPr>
                <w:rFonts w:hint="eastAsia" w:cs="宋体"/>
                <w:color w:val="auto"/>
                <w:kern w:val="2"/>
                <w:sz w:val="24"/>
                <w:szCs w:val="21"/>
                <w:highlight w:val="none"/>
                <w:lang w:val="en-US" w:eastAsia="zh-CN" w:bidi="ar-SA"/>
              </w:rPr>
              <w:t>产生量约为0.003 t/a，</w:t>
            </w:r>
            <w:r>
              <w:rPr>
                <w:b w:val="0"/>
                <w:bCs/>
                <w:color w:val="auto"/>
              </w:rPr>
              <w:t>该工段废气通过</w:t>
            </w:r>
            <w:r>
              <w:rPr>
                <w:rFonts w:hint="eastAsia"/>
                <w:b w:val="0"/>
                <w:bCs/>
                <w:color w:val="auto"/>
              </w:rPr>
              <w:t>管道</w:t>
            </w:r>
            <w:r>
              <w:rPr>
                <w:b w:val="0"/>
                <w:bCs/>
                <w:color w:val="auto"/>
              </w:rPr>
              <w:t>收集后处理，收集效率为100%</w:t>
            </w:r>
            <w:r>
              <w:rPr>
                <w:rFonts w:hint="eastAsia" w:cs="宋体"/>
                <w:color w:val="auto"/>
                <w:kern w:val="2"/>
                <w:sz w:val="24"/>
                <w:szCs w:val="21"/>
                <w:highlight w:val="none"/>
                <w:lang w:val="en-US" w:eastAsia="zh-CN" w:bidi="ar-SA"/>
              </w:rPr>
              <w:t>。</w:t>
            </w:r>
          </w:p>
          <w:p w14:paraId="28C4FC97">
            <w:pPr>
              <w:ind w:firstLine="480" w:firstLineChars="200"/>
              <w:rPr>
                <w:rFonts w:hint="eastAsia"/>
                <w:color w:val="auto"/>
                <w:szCs w:val="24"/>
                <w:highlight w:val="none"/>
                <w:lang w:val="en-US" w:eastAsia="zh-CN"/>
              </w:rPr>
            </w:pPr>
            <w:r>
              <w:rPr>
                <w:rFonts w:hint="eastAsia"/>
                <w:color w:val="auto"/>
                <w:szCs w:val="24"/>
                <w:highlight w:val="none"/>
                <w:lang w:val="en-US" w:eastAsia="zh-CN"/>
              </w:rPr>
              <w:t>本项目除渣剂用量较少，本项目酸性废气产生总量为0.005t/a，常用处理方法为碱喷淋吸收，由于本项目除气除渣废气掺杂熔铝粉尘，无法彻底分离，铝粉尘遇水会反应生成氨气和氢气，直接通入碱液中易发生爆炸风险，另酸性废气（氯化氢和氟化物）产生量较小，排放浓度远低于《大气污染物综合排放标准》（GB 16297-1996）表2中排放限值要求，对环境影响甚微；综上，本项目酸性废气通过布袋除尘装置处理后经DA028排气筒排放。</w:t>
            </w:r>
          </w:p>
          <w:p w14:paraId="7CF048FC">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（4）离心浇铸工序产生的颗粒物</w:t>
            </w:r>
          </w:p>
          <w:p w14:paraId="46A506F8">
            <w:pPr>
              <w:ind w:firstLine="480" w:firstLineChars="200"/>
              <w:rPr>
                <w:rFonts w:hint="eastAsia"/>
                <w:color w:val="auto"/>
                <w:highlight w:val="none"/>
                <w:lang w:val="en-US" w:eastAsia="zh-CN"/>
              </w:rPr>
            </w:pPr>
            <w:r>
              <w:rPr>
                <w:rFonts w:hint="eastAsia" w:cs="宋体"/>
                <w:color w:val="auto"/>
                <w:kern w:val="2"/>
                <w:sz w:val="24"/>
                <w:szCs w:val="21"/>
                <w:highlight w:val="none"/>
                <w:lang w:val="en-US" w:eastAsia="zh-CN" w:bidi="ar-SA"/>
              </w:rPr>
              <w:t>本项目不使用脱模剂，不产生有机废气和油雾；根据《33-37，431-434 机械行业系数手册》“造型/浇注（重力、低压：限金属型）”：颗粒物产</w:t>
            </w:r>
            <w:r>
              <w:rPr>
                <w:rFonts w:hint="eastAsia"/>
                <w:color w:val="auto"/>
                <w:highlight w:val="none"/>
                <w:lang w:val="en-US" w:eastAsia="zh-CN"/>
              </w:rPr>
              <w:t>污</w:t>
            </w:r>
            <w:r>
              <w:rPr>
                <w:rFonts w:hint="eastAsia" w:cs="宋体"/>
                <w:color w:val="auto"/>
                <w:kern w:val="2"/>
                <w:sz w:val="24"/>
                <w:szCs w:val="21"/>
                <w:highlight w:val="none"/>
                <w:lang w:val="en-US" w:eastAsia="zh-CN" w:bidi="ar-SA"/>
              </w:rPr>
              <w:t>系数为 0.2kg/t-产品，本项目</w:t>
            </w:r>
            <w:r>
              <w:rPr>
                <w:rFonts w:hint="eastAsia"/>
                <w:color w:val="auto"/>
                <w:highlight w:val="none"/>
                <w:lang w:val="en-US" w:eastAsia="zh-CN"/>
              </w:rPr>
              <w:t>离心浇注工艺会产生颗粒物，离心浇铸产品总重为1200t</w:t>
            </w:r>
            <w:r>
              <w:rPr>
                <w:rFonts w:hint="eastAsia" w:cs="宋体"/>
                <w:color w:val="auto"/>
                <w:kern w:val="2"/>
                <w:sz w:val="24"/>
                <w:szCs w:val="21"/>
                <w:highlight w:val="none"/>
                <w:lang w:val="en-US" w:eastAsia="zh-CN" w:bidi="ar-SA"/>
              </w:rPr>
              <w:t>，则离心浇铸工序产生的颗粒物为0.24t/a，经集气罩收集</w:t>
            </w:r>
            <w:r>
              <w:rPr>
                <w:rFonts w:hint="eastAsia"/>
                <w:color w:val="auto"/>
                <w:highlight w:val="none"/>
                <w:lang w:val="en-US" w:eastAsia="zh-CN"/>
              </w:rPr>
              <w:t>后处理，收集效率为90%。</w:t>
            </w:r>
          </w:p>
          <w:p w14:paraId="13C9457F">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综上分析，本项目熔化、扒渣、除气除渣及离心浇铸废气经集气罩收集后通过一套布袋除尘装置处理后，经过一根15m高排气筒（DA028）排放，废气收集效率90%，颗粒物去除率98%，则熔化、扒渣及离心浇铸工序产生的颗粒物：7.208t/a，其中有组织颗粒物：6.487t/a、无组织颗粒物：0.721t/a。除气除渣废气经管道收集，收集效率为100%，有组织产生量：氯化氢：0.002t/a、氟化物：0.003t/a。</w:t>
            </w:r>
          </w:p>
          <w:p w14:paraId="635FDFF3">
            <w:pPr>
              <w:ind w:firstLine="480" w:firstLineChars="200"/>
              <w:rPr>
                <w:rFonts w:hint="default" w:eastAsia="宋体" w:cs="宋体"/>
                <w:color w:val="auto"/>
                <w:kern w:val="2"/>
                <w:sz w:val="24"/>
                <w:szCs w:val="21"/>
                <w:highlight w:val="none"/>
                <w:lang w:val="en-US" w:eastAsia="zh-CN" w:bidi="ar-SA"/>
              </w:rPr>
            </w:pPr>
            <w:r>
              <w:rPr>
                <w:b w:val="0"/>
                <w:bCs/>
                <w:color w:val="auto"/>
              </w:rPr>
              <w:t>天然气燃烧废气</w:t>
            </w:r>
            <w:r>
              <w:rPr>
                <w:rFonts w:hint="eastAsia"/>
                <w:b w:val="0"/>
                <w:bCs/>
                <w:color w:val="auto"/>
                <w:lang w:val="en-US" w:eastAsia="zh-CN"/>
              </w:rPr>
              <w:t>无组织</w:t>
            </w:r>
            <w:r>
              <w:rPr>
                <w:b w:val="0"/>
                <w:bCs/>
                <w:color w:val="auto"/>
              </w:rPr>
              <w:t>颗粒物产生量为0.</w:t>
            </w:r>
            <w:r>
              <w:rPr>
                <w:rFonts w:hint="eastAsia"/>
                <w:b w:val="0"/>
                <w:bCs/>
                <w:color w:val="auto"/>
                <w:lang w:val="en-US" w:eastAsia="zh-CN"/>
              </w:rPr>
              <w:t>112</w:t>
            </w:r>
            <w:r>
              <w:rPr>
                <w:rFonts w:hint="eastAsia"/>
                <w:b w:val="0"/>
                <w:bCs/>
                <w:color w:val="auto"/>
              </w:rPr>
              <w:t xml:space="preserve"> </w:t>
            </w:r>
            <w:r>
              <w:rPr>
                <w:b w:val="0"/>
                <w:bCs/>
                <w:color w:val="auto"/>
              </w:rPr>
              <w:t>t/a</w:t>
            </w:r>
            <w:r>
              <w:rPr>
                <w:rFonts w:hint="eastAsia"/>
                <w:b w:val="0"/>
                <w:bCs/>
                <w:color w:val="auto"/>
              </w:rPr>
              <w:t>，SO</w:t>
            </w:r>
            <w:r>
              <w:rPr>
                <w:b w:val="0"/>
                <w:bCs/>
                <w:color w:val="auto"/>
                <w:vertAlign w:val="subscript"/>
              </w:rPr>
              <w:t>2</w:t>
            </w:r>
            <w:r>
              <w:rPr>
                <w:rFonts w:hint="eastAsia"/>
                <w:b w:val="0"/>
                <w:bCs/>
                <w:color w:val="auto"/>
              </w:rPr>
              <w:t>产生量为0.</w:t>
            </w:r>
            <w:r>
              <w:rPr>
                <w:rFonts w:hint="eastAsia"/>
                <w:b w:val="0"/>
                <w:bCs/>
                <w:color w:val="auto"/>
                <w:lang w:val="en-US" w:eastAsia="zh-CN"/>
              </w:rPr>
              <w:t>156</w:t>
            </w:r>
            <w:r>
              <w:rPr>
                <w:rFonts w:hint="eastAsia"/>
                <w:b w:val="0"/>
                <w:bCs/>
                <w:color w:val="auto"/>
              </w:rPr>
              <w:t xml:space="preserve"> t</w:t>
            </w:r>
            <w:r>
              <w:rPr>
                <w:b w:val="0"/>
                <w:bCs/>
                <w:color w:val="auto"/>
              </w:rPr>
              <w:t>/a</w:t>
            </w:r>
            <w:r>
              <w:rPr>
                <w:rFonts w:hint="eastAsia"/>
                <w:b w:val="0"/>
                <w:bCs/>
                <w:color w:val="auto"/>
              </w:rPr>
              <w:t>，NOx产生量为</w:t>
            </w:r>
            <w:r>
              <w:rPr>
                <w:rFonts w:hint="eastAsia"/>
                <w:b w:val="0"/>
                <w:bCs/>
                <w:color w:val="auto"/>
                <w:lang w:val="en-US" w:eastAsia="zh-CN"/>
              </w:rPr>
              <w:t>0.729</w:t>
            </w:r>
            <w:r>
              <w:rPr>
                <w:rFonts w:hint="eastAsia"/>
                <w:b w:val="0"/>
                <w:bCs/>
                <w:color w:val="auto"/>
              </w:rPr>
              <w:t xml:space="preserve"> t</w:t>
            </w:r>
            <w:r>
              <w:rPr>
                <w:b w:val="0"/>
                <w:bCs/>
                <w:color w:val="auto"/>
              </w:rPr>
              <w:t>/a</w:t>
            </w:r>
            <w:r>
              <w:rPr>
                <w:rFonts w:hint="eastAsia"/>
                <w:b w:val="0"/>
                <w:bCs/>
                <w:color w:val="auto"/>
                <w:lang w:eastAsia="zh-CN"/>
              </w:rPr>
              <w:t>，</w:t>
            </w:r>
            <w:r>
              <w:rPr>
                <w:rFonts w:hint="eastAsia"/>
                <w:b w:val="0"/>
                <w:bCs/>
                <w:color w:val="auto"/>
                <w:lang w:val="en-US" w:eastAsia="zh-CN"/>
              </w:rPr>
              <w:t>经管道收集后车间无组织排放。</w:t>
            </w:r>
          </w:p>
          <w:p w14:paraId="4AC34A6A">
            <w:pPr>
              <w:jc w:val="center"/>
              <w:rPr>
                <w:rFonts w:hint="eastAsia" w:ascii="黑体" w:hAnsi="黑体" w:eastAsia="黑体"/>
                <w:color w:val="auto"/>
                <w:szCs w:val="24"/>
                <w:highlight w:val="none"/>
              </w:rPr>
            </w:pPr>
            <w:r>
              <w:rPr>
                <w:rFonts w:ascii="黑体" w:hAnsi="黑体" w:eastAsia="黑体"/>
                <w:color w:val="auto"/>
                <w:szCs w:val="24"/>
                <w:highlight w:val="none"/>
              </w:rPr>
              <w:t>表</w:t>
            </w:r>
            <w:r>
              <w:rPr>
                <w:rFonts w:eastAsia="黑体"/>
                <w:color w:val="auto"/>
                <w:szCs w:val="24"/>
                <w:highlight w:val="none"/>
              </w:rPr>
              <w:t>4-</w:t>
            </w:r>
            <w:r>
              <w:rPr>
                <w:rFonts w:hint="eastAsia" w:eastAsia="黑体"/>
                <w:color w:val="auto"/>
                <w:szCs w:val="24"/>
                <w:highlight w:val="none"/>
                <w:lang w:val="en-US" w:eastAsia="zh-CN"/>
              </w:rPr>
              <w:t>2</w:t>
            </w:r>
            <w:r>
              <w:rPr>
                <w:rFonts w:ascii="黑体" w:hAnsi="黑体" w:eastAsia="黑体"/>
                <w:color w:val="auto"/>
                <w:szCs w:val="24"/>
                <w:highlight w:val="none"/>
              </w:rPr>
              <w:t xml:space="preserve">  </w:t>
            </w:r>
            <w:r>
              <w:rPr>
                <w:rFonts w:hint="eastAsia" w:ascii="黑体" w:hAnsi="黑体" w:eastAsia="黑体"/>
                <w:color w:val="auto"/>
                <w:szCs w:val="24"/>
                <w:highlight w:val="none"/>
                <w:lang w:val="en-US" w:eastAsia="zh-CN"/>
              </w:rPr>
              <w:t>本项目</w:t>
            </w:r>
            <w:r>
              <w:rPr>
                <w:rFonts w:hint="eastAsia" w:eastAsia="黑体" w:cs="Times New Roman"/>
                <w:color w:val="auto"/>
                <w:szCs w:val="24"/>
                <w:highlight w:val="none"/>
                <w:lang w:val="en-US" w:eastAsia="zh-CN"/>
              </w:rPr>
              <w:t>工艺</w:t>
            </w:r>
            <w:r>
              <w:rPr>
                <w:rFonts w:hint="eastAsia" w:ascii="黑体" w:hAnsi="黑体" w:eastAsia="黑体"/>
                <w:color w:val="auto"/>
                <w:szCs w:val="24"/>
                <w:highlight w:val="none"/>
              </w:rPr>
              <w:t>废气产排情况一览表</w:t>
            </w:r>
          </w:p>
          <w:tbl>
            <w:tblPr>
              <w:tblStyle w:val="69"/>
              <w:tblW w:w="4997" w:type="pct"/>
              <w:tblInd w:w="0" w:type="dxa"/>
              <w:tblLayout w:type="autofit"/>
              <w:tblCellMar>
                <w:top w:w="0" w:type="dxa"/>
                <w:left w:w="51" w:type="dxa"/>
                <w:bottom w:w="0" w:type="dxa"/>
                <w:right w:w="51" w:type="dxa"/>
              </w:tblCellMar>
            </w:tblPr>
            <w:tblGrid>
              <w:gridCol w:w="822"/>
              <w:gridCol w:w="1165"/>
              <w:gridCol w:w="675"/>
              <w:gridCol w:w="675"/>
              <w:gridCol w:w="941"/>
              <w:gridCol w:w="898"/>
              <w:gridCol w:w="695"/>
              <w:gridCol w:w="675"/>
              <w:gridCol w:w="941"/>
              <w:gridCol w:w="863"/>
              <w:gridCol w:w="713"/>
            </w:tblGrid>
            <w:tr w14:paraId="5A0CB30F">
              <w:tblPrEx>
                <w:tblCellMar>
                  <w:top w:w="0" w:type="dxa"/>
                  <w:left w:w="51" w:type="dxa"/>
                  <w:bottom w:w="0" w:type="dxa"/>
                  <w:right w:w="51" w:type="dxa"/>
                </w:tblCellMar>
              </w:tblPrEx>
              <w:trPr>
                <w:trHeight w:val="340" w:hRule="atLeast"/>
              </w:trPr>
              <w:tc>
                <w:tcPr>
                  <w:tcW w:w="453" w:type="pct"/>
                  <w:vMerge w:val="restart"/>
                  <w:tcBorders>
                    <w:top w:val="single" w:color="auto" w:sz="4" w:space="0"/>
                    <w:left w:val="single" w:color="000000" w:sz="4" w:space="0"/>
                    <w:bottom w:val="single" w:color="auto" w:sz="4" w:space="0"/>
                    <w:right w:val="single" w:color="auto" w:sz="4" w:space="0"/>
                  </w:tcBorders>
                  <w:noWrap/>
                  <w:vAlign w:val="center"/>
                </w:tcPr>
                <w:p w14:paraId="1BC220C5">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产污环节</w:t>
                  </w:r>
                </w:p>
              </w:tc>
              <w:tc>
                <w:tcPr>
                  <w:tcW w:w="642" w:type="pct"/>
                  <w:vMerge w:val="restart"/>
                  <w:tcBorders>
                    <w:top w:val="single" w:color="auto" w:sz="4" w:space="0"/>
                    <w:left w:val="single" w:color="auto" w:sz="4" w:space="0"/>
                    <w:bottom w:val="single" w:color="auto" w:sz="4" w:space="0"/>
                    <w:right w:val="single" w:color="auto" w:sz="4" w:space="0"/>
                  </w:tcBorders>
                  <w:noWrap w:val="0"/>
                  <w:vAlign w:val="center"/>
                </w:tcPr>
                <w:p w14:paraId="61DE3482">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污染物</w:t>
                  </w:r>
                </w:p>
              </w:tc>
              <w:tc>
                <w:tcPr>
                  <w:tcW w:w="372" w:type="pct"/>
                  <w:vMerge w:val="restart"/>
                  <w:tcBorders>
                    <w:top w:val="single" w:color="000000" w:sz="4" w:space="0"/>
                    <w:left w:val="single" w:color="auto" w:sz="4" w:space="0"/>
                    <w:bottom w:val="single" w:color="000000" w:sz="4" w:space="0"/>
                    <w:right w:val="single" w:color="000000" w:sz="4" w:space="0"/>
                  </w:tcBorders>
                  <w:noWrap w:val="0"/>
                  <w:vAlign w:val="center"/>
                </w:tcPr>
                <w:p w14:paraId="18D2DDCA">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排放口</w:t>
                  </w:r>
                </w:p>
              </w:tc>
              <w:tc>
                <w:tcPr>
                  <w:tcW w:w="372" w:type="pct"/>
                  <w:vMerge w:val="restart"/>
                  <w:tcBorders>
                    <w:top w:val="single" w:color="000000" w:sz="4" w:space="0"/>
                    <w:left w:val="single" w:color="000000" w:sz="4" w:space="0"/>
                    <w:bottom w:val="single" w:color="000000" w:sz="4" w:space="0"/>
                    <w:right w:val="single" w:color="000000" w:sz="4" w:space="0"/>
                  </w:tcBorders>
                  <w:noWrap w:val="0"/>
                  <w:vAlign w:val="center"/>
                </w:tcPr>
                <w:p w14:paraId="3117B5D3">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废气量m</w:t>
                  </w:r>
                  <w:r>
                    <w:rPr>
                      <w:rFonts w:hint="eastAsia" w:ascii="Times New Roman" w:hAnsi="Times New Roman" w:eastAsia="宋体" w:cs="宋体"/>
                      <w:color w:val="auto"/>
                      <w:kern w:val="0"/>
                      <w:sz w:val="18"/>
                      <w:szCs w:val="18"/>
                      <w:highlight w:val="none"/>
                      <w:vertAlign w:val="superscript"/>
                      <w:lang w:bidi="ar"/>
                    </w:rPr>
                    <w:t>3</w:t>
                  </w:r>
                  <w:r>
                    <w:rPr>
                      <w:rFonts w:hint="eastAsia" w:ascii="Times New Roman" w:hAnsi="Times New Roman" w:eastAsia="宋体" w:cs="宋体"/>
                      <w:color w:val="auto"/>
                      <w:kern w:val="0"/>
                      <w:sz w:val="18"/>
                      <w:szCs w:val="18"/>
                      <w:highlight w:val="none"/>
                      <w:lang w:bidi="ar"/>
                    </w:rPr>
                    <w:t>/h</w:t>
                  </w:r>
                </w:p>
              </w:tc>
              <w:tc>
                <w:tcPr>
                  <w:tcW w:w="1397" w:type="pct"/>
                  <w:gridSpan w:val="3"/>
                  <w:tcBorders>
                    <w:top w:val="single" w:color="000000" w:sz="4" w:space="0"/>
                    <w:left w:val="single" w:color="000000" w:sz="4" w:space="0"/>
                    <w:bottom w:val="single" w:color="000000" w:sz="4" w:space="0"/>
                    <w:right w:val="single" w:color="000000" w:sz="4" w:space="0"/>
                  </w:tcBorders>
                  <w:noWrap w:val="0"/>
                  <w:vAlign w:val="center"/>
                </w:tcPr>
                <w:p w14:paraId="0DEF23DC">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最大产生情况</w:t>
                  </w:r>
                </w:p>
              </w:tc>
              <w:tc>
                <w:tcPr>
                  <w:tcW w:w="372" w:type="pct"/>
                  <w:vMerge w:val="restart"/>
                  <w:tcBorders>
                    <w:top w:val="single" w:color="000000" w:sz="4" w:space="0"/>
                    <w:left w:val="single" w:color="000000" w:sz="4" w:space="0"/>
                    <w:bottom w:val="single" w:color="000000" w:sz="4" w:space="0"/>
                    <w:right w:val="single" w:color="000000" w:sz="4" w:space="0"/>
                  </w:tcBorders>
                  <w:noWrap w:val="0"/>
                  <w:vAlign w:val="center"/>
                </w:tcPr>
                <w:p w14:paraId="2E1BA857">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去除率（%）</w:t>
                  </w:r>
                </w:p>
              </w:tc>
              <w:tc>
                <w:tcPr>
                  <w:tcW w:w="1388" w:type="pct"/>
                  <w:gridSpan w:val="3"/>
                  <w:tcBorders>
                    <w:top w:val="single" w:color="000000" w:sz="4" w:space="0"/>
                    <w:left w:val="single" w:color="000000" w:sz="4" w:space="0"/>
                    <w:bottom w:val="single" w:color="000000" w:sz="4" w:space="0"/>
                    <w:right w:val="single" w:color="000000" w:sz="4" w:space="0"/>
                  </w:tcBorders>
                  <w:noWrap/>
                  <w:vAlign w:val="center"/>
                </w:tcPr>
                <w:p w14:paraId="3480E211">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最大排放情况</w:t>
                  </w:r>
                </w:p>
              </w:tc>
            </w:tr>
            <w:tr w14:paraId="284906C0">
              <w:tblPrEx>
                <w:tblCellMar>
                  <w:top w:w="0" w:type="dxa"/>
                  <w:left w:w="51" w:type="dxa"/>
                  <w:bottom w:w="0" w:type="dxa"/>
                  <w:right w:w="51" w:type="dxa"/>
                </w:tblCellMar>
              </w:tblPrEx>
              <w:trPr>
                <w:trHeight w:val="340" w:hRule="atLeast"/>
              </w:trPr>
              <w:tc>
                <w:tcPr>
                  <w:tcW w:w="453" w:type="pct"/>
                  <w:vMerge w:val="continue"/>
                  <w:tcBorders>
                    <w:top w:val="single" w:color="auto" w:sz="4" w:space="0"/>
                    <w:left w:val="single" w:color="auto" w:sz="4" w:space="0"/>
                    <w:bottom w:val="single" w:color="auto" w:sz="4" w:space="0"/>
                    <w:right w:val="single" w:color="auto" w:sz="4" w:space="0"/>
                  </w:tcBorders>
                  <w:noWrap/>
                  <w:vAlign w:val="center"/>
                </w:tcPr>
                <w:p w14:paraId="64E36AFF">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642" w:type="pct"/>
                  <w:vMerge w:val="continue"/>
                  <w:tcBorders>
                    <w:top w:val="single" w:color="auto" w:sz="4" w:space="0"/>
                    <w:left w:val="single" w:color="auto" w:sz="4" w:space="0"/>
                    <w:bottom w:val="single" w:color="auto" w:sz="4" w:space="0"/>
                    <w:right w:val="single" w:color="auto" w:sz="4" w:space="0"/>
                  </w:tcBorders>
                  <w:noWrap w:val="0"/>
                  <w:vAlign w:val="center"/>
                </w:tcPr>
                <w:p w14:paraId="548977A8">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372" w:type="pct"/>
                  <w:vMerge w:val="continue"/>
                  <w:tcBorders>
                    <w:top w:val="single" w:color="000000" w:sz="4" w:space="0"/>
                    <w:left w:val="single" w:color="auto" w:sz="4" w:space="0"/>
                    <w:bottom w:val="single" w:color="000000" w:sz="4" w:space="0"/>
                    <w:right w:val="single" w:color="000000" w:sz="4" w:space="0"/>
                  </w:tcBorders>
                  <w:noWrap w:val="0"/>
                  <w:vAlign w:val="center"/>
                </w:tcPr>
                <w:p w14:paraId="11DC096D">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3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86FA88">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519" w:type="pct"/>
                  <w:tcBorders>
                    <w:top w:val="single" w:color="000000" w:sz="4" w:space="0"/>
                    <w:left w:val="single" w:color="000000" w:sz="4" w:space="0"/>
                    <w:bottom w:val="single" w:color="000000" w:sz="4" w:space="0"/>
                    <w:right w:val="single" w:color="000000" w:sz="4" w:space="0"/>
                  </w:tcBorders>
                  <w:noWrap w:val="0"/>
                  <w:vAlign w:val="center"/>
                </w:tcPr>
                <w:p w14:paraId="1D4C302F">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浓度（mg/m</w:t>
                  </w:r>
                  <w:r>
                    <w:rPr>
                      <w:rFonts w:hint="eastAsia" w:ascii="Times New Roman" w:hAnsi="Times New Roman" w:eastAsia="宋体" w:cs="宋体"/>
                      <w:color w:val="auto"/>
                      <w:kern w:val="0"/>
                      <w:sz w:val="18"/>
                      <w:szCs w:val="18"/>
                      <w:highlight w:val="none"/>
                      <w:vertAlign w:val="superscript"/>
                      <w:lang w:bidi="ar"/>
                    </w:rPr>
                    <w:t>3</w:t>
                  </w:r>
                  <w:r>
                    <w:rPr>
                      <w:rFonts w:hint="eastAsia" w:ascii="Times New Roman" w:hAnsi="Times New Roman" w:eastAsia="宋体" w:cs="宋体"/>
                      <w:color w:val="auto"/>
                      <w:kern w:val="0"/>
                      <w:sz w:val="18"/>
                      <w:szCs w:val="18"/>
                      <w:highlight w:val="none"/>
                      <w:lang w:bidi="ar"/>
                    </w:rPr>
                    <w:t>）</w:t>
                  </w:r>
                </w:p>
              </w:tc>
              <w:tc>
                <w:tcPr>
                  <w:tcW w:w="495" w:type="pct"/>
                  <w:tcBorders>
                    <w:top w:val="single" w:color="000000" w:sz="4" w:space="0"/>
                    <w:left w:val="single" w:color="000000" w:sz="4" w:space="0"/>
                    <w:bottom w:val="single" w:color="000000" w:sz="4" w:space="0"/>
                    <w:right w:val="single" w:color="000000" w:sz="4" w:space="0"/>
                  </w:tcBorders>
                  <w:noWrap w:val="0"/>
                  <w:vAlign w:val="center"/>
                </w:tcPr>
                <w:p w14:paraId="3C55BAED">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速率（kg/h）</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36CD90C">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产生量（t/a）</w:t>
                  </w:r>
                </w:p>
              </w:tc>
              <w:tc>
                <w:tcPr>
                  <w:tcW w:w="3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166D75">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519" w:type="pct"/>
                  <w:tcBorders>
                    <w:top w:val="single" w:color="000000" w:sz="4" w:space="0"/>
                    <w:left w:val="single" w:color="000000" w:sz="4" w:space="0"/>
                    <w:bottom w:val="single" w:color="000000" w:sz="4" w:space="0"/>
                    <w:right w:val="single" w:color="000000" w:sz="4" w:space="0"/>
                  </w:tcBorders>
                  <w:noWrap w:val="0"/>
                  <w:vAlign w:val="center"/>
                </w:tcPr>
                <w:p w14:paraId="2A80B952">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浓度（mg/m</w:t>
                  </w:r>
                  <w:r>
                    <w:rPr>
                      <w:rFonts w:hint="eastAsia" w:ascii="Times New Roman" w:hAnsi="Times New Roman" w:eastAsia="宋体" w:cs="宋体"/>
                      <w:color w:val="auto"/>
                      <w:kern w:val="0"/>
                      <w:sz w:val="18"/>
                      <w:szCs w:val="18"/>
                      <w:highlight w:val="none"/>
                      <w:vertAlign w:val="superscript"/>
                      <w:lang w:bidi="ar"/>
                    </w:rPr>
                    <w:t>3</w:t>
                  </w:r>
                  <w:r>
                    <w:rPr>
                      <w:rFonts w:hint="eastAsia" w:ascii="Times New Roman" w:hAnsi="Times New Roman" w:eastAsia="宋体" w:cs="宋体"/>
                      <w:color w:val="auto"/>
                      <w:kern w:val="0"/>
                      <w:sz w:val="18"/>
                      <w:szCs w:val="18"/>
                      <w:highlight w:val="none"/>
                      <w:lang w:bidi="ar"/>
                    </w:rPr>
                    <w:t>）</w:t>
                  </w:r>
                </w:p>
              </w:tc>
              <w:tc>
                <w:tcPr>
                  <w:tcW w:w="476" w:type="pct"/>
                  <w:tcBorders>
                    <w:top w:val="single" w:color="000000" w:sz="4" w:space="0"/>
                    <w:left w:val="single" w:color="000000" w:sz="4" w:space="0"/>
                    <w:bottom w:val="single" w:color="000000" w:sz="4" w:space="0"/>
                    <w:right w:val="single" w:color="000000" w:sz="4" w:space="0"/>
                  </w:tcBorders>
                  <w:noWrap w:val="0"/>
                  <w:vAlign w:val="center"/>
                </w:tcPr>
                <w:p w14:paraId="47BEF345">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速率（kg/h）</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5C04B77">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排放量（t/a）</w:t>
                  </w:r>
                </w:p>
              </w:tc>
            </w:tr>
            <w:tr w14:paraId="3C3BBCEE">
              <w:tblPrEx>
                <w:tblCellMar>
                  <w:top w:w="0" w:type="dxa"/>
                  <w:left w:w="51" w:type="dxa"/>
                  <w:bottom w:w="0" w:type="dxa"/>
                  <w:right w:w="51" w:type="dxa"/>
                </w:tblCellMar>
              </w:tblPrEx>
              <w:trPr>
                <w:trHeight w:val="342" w:hRule="atLeast"/>
              </w:trPr>
              <w:tc>
                <w:tcPr>
                  <w:tcW w:w="453" w:type="pct"/>
                  <w:vMerge w:val="restart"/>
                  <w:tcBorders>
                    <w:top w:val="single" w:color="auto" w:sz="4" w:space="0"/>
                    <w:left w:val="single" w:color="auto" w:sz="4" w:space="0"/>
                    <w:bottom w:val="single" w:color="auto" w:sz="4" w:space="0"/>
                    <w:right w:val="single" w:color="auto" w:sz="4" w:space="0"/>
                  </w:tcBorders>
                  <w:noWrap w:val="0"/>
                  <w:vAlign w:val="center"/>
                </w:tcPr>
                <w:p w14:paraId="4C56DE00">
                  <w:pPr>
                    <w:widowControl/>
                    <w:spacing w:line="240" w:lineRule="auto"/>
                    <w:jc w:val="center"/>
                    <w:textAlignment w:val="center"/>
                    <w:rPr>
                      <w:rFonts w:hint="eastAsia" w:ascii="Times New Roman" w:hAnsi="Times New Roman" w:eastAsia="宋体" w:cs="宋体"/>
                      <w:color w:val="auto"/>
                      <w:kern w:val="0"/>
                      <w:sz w:val="18"/>
                      <w:szCs w:val="18"/>
                      <w:highlight w:val="none"/>
                      <w:lang w:eastAsia="zh-CN" w:bidi="ar"/>
                    </w:rPr>
                  </w:pPr>
                  <w:r>
                    <w:rPr>
                      <w:rFonts w:hint="eastAsia" w:ascii="Times New Roman" w:hAnsi="Times New Roman" w:eastAsia="宋体" w:cs="宋体"/>
                      <w:color w:val="auto"/>
                      <w:kern w:val="0"/>
                      <w:sz w:val="18"/>
                      <w:szCs w:val="18"/>
                      <w:highlight w:val="none"/>
                      <w:lang w:bidi="ar"/>
                    </w:rPr>
                    <w:t>熔化、扒渣、离心</w:t>
                  </w:r>
                  <w:r>
                    <w:rPr>
                      <w:rFonts w:hint="eastAsia" w:cs="宋体"/>
                      <w:color w:val="auto"/>
                      <w:kern w:val="0"/>
                      <w:sz w:val="18"/>
                      <w:szCs w:val="18"/>
                      <w:highlight w:val="none"/>
                      <w:lang w:val="en-US" w:eastAsia="zh-CN" w:bidi="ar"/>
                    </w:rPr>
                    <w:t>浇铸</w:t>
                  </w:r>
                  <w:r>
                    <w:rPr>
                      <w:rFonts w:hint="eastAsia" w:ascii="Times New Roman" w:hAnsi="Times New Roman" w:eastAsia="宋体" w:cs="宋体"/>
                      <w:color w:val="auto"/>
                      <w:kern w:val="0"/>
                      <w:sz w:val="18"/>
                      <w:szCs w:val="18"/>
                      <w:highlight w:val="none"/>
                      <w:lang w:bidi="ar"/>
                    </w:rPr>
                    <w:t>、除气除渣</w:t>
                  </w:r>
                </w:p>
              </w:tc>
              <w:tc>
                <w:tcPr>
                  <w:tcW w:w="642" w:type="pct"/>
                  <w:tcBorders>
                    <w:top w:val="single" w:color="auto" w:sz="4" w:space="0"/>
                    <w:left w:val="single" w:color="auto" w:sz="4" w:space="0"/>
                    <w:bottom w:val="single" w:color="auto" w:sz="4" w:space="0"/>
                    <w:right w:val="single" w:color="auto" w:sz="4" w:space="0"/>
                  </w:tcBorders>
                  <w:noWrap/>
                  <w:vAlign w:val="center"/>
                </w:tcPr>
                <w:p w14:paraId="65C13899">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颗粒物</w:t>
                  </w:r>
                </w:p>
              </w:tc>
              <w:tc>
                <w:tcPr>
                  <w:tcW w:w="372" w:type="pct"/>
                  <w:vMerge w:val="restart"/>
                  <w:tcBorders>
                    <w:top w:val="single" w:color="000000" w:sz="4" w:space="0"/>
                    <w:left w:val="single" w:color="auto" w:sz="4" w:space="0"/>
                    <w:bottom w:val="single" w:color="000000" w:sz="4" w:space="0"/>
                    <w:right w:val="single" w:color="000000" w:sz="4" w:space="0"/>
                  </w:tcBorders>
                  <w:noWrap/>
                  <w:vAlign w:val="center"/>
                </w:tcPr>
                <w:p w14:paraId="45C9DCCD">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bidi="ar"/>
                    </w:rPr>
                    <w:t>DA0</w:t>
                  </w:r>
                  <w:r>
                    <w:rPr>
                      <w:rFonts w:hint="eastAsia" w:cs="宋体"/>
                      <w:color w:val="auto"/>
                      <w:kern w:val="0"/>
                      <w:sz w:val="18"/>
                      <w:szCs w:val="18"/>
                      <w:highlight w:val="none"/>
                      <w:lang w:val="en-US" w:eastAsia="zh-CN" w:bidi="ar"/>
                    </w:rPr>
                    <w:t>28</w:t>
                  </w:r>
                </w:p>
              </w:tc>
              <w:tc>
                <w:tcPr>
                  <w:tcW w:w="372" w:type="pct"/>
                  <w:vMerge w:val="restart"/>
                  <w:tcBorders>
                    <w:top w:val="single" w:color="000000" w:sz="4" w:space="0"/>
                    <w:left w:val="single" w:color="000000" w:sz="4" w:space="0"/>
                    <w:bottom w:val="single" w:color="000000" w:sz="4" w:space="0"/>
                    <w:right w:val="single" w:color="000000" w:sz="4" w:space="0"/>
                  </w:tcBorders>
                  <w:noWrap/>
                  <w:vAlign w:val="center"/>
                </w:tcPr>
                <w:p w14:paraId="20BE3421">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22</w:t>
                  </w:r>
                  <w:r>
                    <w:rPr>
                      <w:rFonts w:hint="eastAsia" w:ascii="Times New Roman" w:hAnsi="Times New Roman" w:eastAsia="宋体" w:cs="宋体"/>
                      <w:color w:val="auto"/>
                      <w:kern w:val="0"/>
                      <w:sz w:val="18"/>
                      <w:szCs w:val="18"/>
                      <w:highlight w:val="none"/>
                      <w:lang w:val="en-US" w:eastAsia="zh-CN" w:bidi="ar"/>
                    </w:rPr>
                    <w:t>000</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79A961B3">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61.409</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006563C1">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1.351</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8639ECB">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6.487</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2F255EAC">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98</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49210D22">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1.227</w:t>
                  </w:r>
                </w:p>
              </w:tc>
              <w:tc>
                <w:tcPr>
                  <w:tcW w:w="476" w:type="pct"/>
                  <w:tcBorders>
                    <w:top w:val="single" w:color="000000" w:sz="4" w:space="0"/>
                    <w:left w:val="single" w:color="000000" w:sz="4" w:space="0"/>
                    <w:bottom w:val="single" w:color="000000" w:sz="4" w:space="0"/>
                    <w:right w:val="single" w:color="000000" w:sz="4" w:space="0"/>
                  </w:tcBorders>
                  <w:noWrap/>
                  <w:vAlign w:val="center"/>
                </w:tcPr>
                <w:p w14:paraId="0094BE39">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0.027</w:t>
                  </w:r>
                </w:p>
              </w:tc>
              <w:tc>
                <w:tcPr>
                  <w:tcW w:w="393" w:type="pct"/>
                  <w:tcBorders>
                    <w:top w:val="single" w:color="000000" w:sz="4" w:space="0"/>
                    <w:left w:val="single" w:color="000000" w:sz="4" w:space="0"/>
                    <w:bottom w:val="single" w:color="000000" w:sz="4" w:space="0"/>
                    <w:right w:val="single" w:color="000000" w:sz="4" w:space="0"/>
                  </w:tcBorders>
                  <w:noWrap/>
                  <w:vAlign w:val="center"/>
                </w:tcPr>
                <w:p w14:paraId="74F54CC0">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0.130</w:t>
                  </w:r>
                </w:p>
              </w:tc>
            </w:tr>
            <w:tr w14:paraId="3C1095EE">
              <w:tblPrEx>
                <w:tblCellMar>
                  <w:top w:w="0" w:type="dxa"/>
                  <w:left w:w="51" w:type="dxa"/>
                  <w:bottom w:w="0" w:type="dxa"/>
                  <w:right w:w="51" w:type="dxa"/>
                </w:tblCellMar>
              </w:tblPrEx>
              <w:trPr>
                <w:trHeight w:val="340" w:hRule="atLeast"/>
              </w:trPr>
              <w:tc>
                <w:tcPr>
                  <w:tcW w:w="453" w:type="pct"/>
                  <w:vMerge w:val="continue"/>
                  <w:tcBorders>
                    <w:top w:val="single" w:color="auto" w:sz="4" w:space="0"/>
                    <w:left w:val="single" w:color="auto" w:sz="4" w:space="0"/>
                    <w:bottom w:val="single" w:color="auto" w:sz="4" w:space="0"/>
                    <w:right w:val="single" w:color="auto" w:sz="4" w:space="0"/>
                  </w:tcBorders>
                  <w:noWrap w:val="0"/>
                  <w:vAlign w:val="center"/>
                </w:tcPr>
                <w:p w14:paraId="1CC59E3E">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50F726EE">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氯化氢</w:t>
                  </w:r>
                </w:p>
              </w:tc>
              <w:tc>
                <w:tcPr>
                  <w:tcW w:w="372" w:type="pct"/>
                  <w:vMerge w:val="continue"/>
                  <w:tcBorders>
                    <w:top w:val="single" w:color="000000" w:sz="4" w:space="0"/>
                    <w:left w:val="single" w:color="auto" w:sz="4" w:space="0"/>
                    <w:bottom w:val="single" w:color="000000" w:sz="4" w:space="0"/>
                    <w:right w:val="single" w:color="000000" w:sz="4" w:space="0"/>
                  </w:tcBorders>
                  <w:noWrap/>
                  <w:vAlign w:val="center"/>
                </w:tcPr>
                <w:p w14:paraId="29520C1B">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372" w:type="pct"/>
                  <w:vMerge w:val="continue"/>
                  <w:tcBorders>
                    <w:top w:val="single" w:color="000000" w:sz="4" w:space="0"/>
                    <w:left w:val="single" w:color="000000" w:sz="4" w:space="0"/>
                    <w:bottom w:val="single" w:color="000000" w:sz="4" w:space="0"/>
                    <w:right w:val="single" w:color="000000" w:sz="4" w:space="0"/>
                  </w:tcBorders>
                  <w:noWrap/>
                  <w:vAlign w:val="center"/>
                </w:tcPr>
                <w:p w14:paraId="44BCAC30">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0D8A0183">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0.010 </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30EAFB6C">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0.0004 </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3BE84710">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0.002</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443070D3">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12B72D0F">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0.010 </w:t>
                  </w:r>
                </w:p>
              </w:tc>
              <w:tc>
                <w:tcPr>
                  <w:tcW w:w="476" w:type="pct"/>
                  <w:tcBorders>
                    <w:top w:val="single" w:color="000000" w:sz="4" w:space="0"/>
                    <w:left w:val="single" w:color="000000" w:sz="4" w:space="0"/>
                    <w:bottom w:val="single" w:color="000000" w:sz="4" w:space="0"/>
                    <w:right w:val="single" w:color="000000" w:sz="4" w:space="0"/>
                  </w:tcBorders>
                  <w:noWrap/>
                  <w:vAlign w:val="center"/>
                </w:tcPr>
                <w:p w14:paraId="47B968EE">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0.0004 </w:t>
                  </w:r>
                </w:p>
              </w:tc>
              <w:tc>
                <w:tcPr>
                  <w:tcW w:w="393" w:type="pct"/>
                  <w:tcBorders>
                    <w:top w:val="single" w:color="000000" w:sz="4" w:space="0"/>
                    <w:left w:val="single" w:color="000000" w:sz="4" w:space="0"/>
                    <w:bottom w:val="single" w:color="000000" w:sz="4" w:space="0"/>
                    <w:right w:val="single" w:color="000000" w:sz="4" w:space="0"/>
                  </w:tcBorders>
                  <w:noWrap/>
                  <w:vAlign w:val="center"/>
                </w:tcPr>
                <w:p w14:paraId="23AE7CD7">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0.002</w:t>
                  </w:r>
                </w:p>
              </w:tc>
            </w:tr>
            <w:tr w14:paraId="5DA932A3">
              <w:tblPrEx>
                <w:tblCellMar>
                  <w:top w:w="0" w:type="dxa"/>
                  <w:left w:w="51" w:type="dxa"/>
                  <w:bottom w:w="0" w:type="dxa"/>
                  <w:right w:w="51" w:type="dxa"/>
                </w:tblCellMar>
              </w:tblPrEx>
              <w:trPr>
                <w:trHeight w:val="340" w:hRule="atLeast"/>
              </w:trPr>
              <w:tc>
                <w:tcPr>
                  <w:tcW w:w="453" w:type="pct"/>
                  <w:vMerge w:val="continue"/>
                  <w:tcBorders>
                    <w:top w:val="single" w:color="auto" w:sz="4" w:space="0"/>
                    <w:left w:val="single" w:color="auto" w:sz="4" w:space="0"/>
                    <w:bottom w:val="single" w:color="auto" w:sz="4" w:space="0"/>
                    <w:right w:val="single" w:color="auto" w:sz="4" w:space="0"/>
                  </w:tcBorders>
                  <w:noWrap w:val="0"/>
                  <w:vAlign w:val="center"/>
                </w:tcPr>
                <w:p w14:paraId="27B3B57B">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0E7205E9">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氟化物</w:t>
                  </w:r>
                </w:p>
              </w:tc>
              <w:tc>
                <w:tcPr>
                  <w:tcW w:w="372" w:type="pct"/>
                  <w:vMerge w:val="continue"/>
                  <w:tcBorders>
                    <w:top w:val="single" w:color="000000" w:sz="4" w:space="0"/>
                    <w:left w:val="single" w:color="auto" w:sz="4" w:space="0"/>
                    <w:bottom w:val="single" w:color="000000" w:sz="4" w:space="0"/>
                    <w:right w:val="single" w:color="000000" w:sz="4" w:space="0"/>
                  </w:tcBorders>
                  <w:noWrap/>
                  <w:vAlign w:val="center"/>
                </w:tcPr>
                <w:p w14:paraId="03475620">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372" w:type="pct"/>
                  <w:vMerge w:val="continue"/>
                  <w:tcBorders>
                    <w:top w:val="single" w:color="000000" w:sz="4" w:space="0"/>
                    <w:left w:val="single" w:color="000000" w:sz="4" w:space="0"/>
                    <w:bottom w:val="single" w:color="000000" w:sz="4" w:space="0"/>
                    <w:right w:val="single" w:color="000000" w:sz="4" w:space="0"/>
                  </w:tcBorders>
                  <w:noWrap/>
                  <w:vAlign w:val="center"/>
                </w:tcPr>
                <w:p w14:paraId="05E65BE7">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680EA60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0.015 </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3B6E462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0.0006 </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652872EA">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0.003</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0BCA8667">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r>
                    <w:rPr>
                      <w:rFonts w:hint="eastAsia" w:ascii="Times New Roman" w:hAnsi="Times New Roman" w:eastAsia="宋体" w:cs="宋体"/>
                      <w:color w:val="auto"/>
                      <w:kern w:val="0"/>
                      <w:sz w:val="18"/>
                      <w:szCs w:val="18"/>
                      <w:highlight w:val="none"/>
                      <w:lang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3CD19C6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0.015 </w:t>
                  </w:r>
                </w:p>
              </w:tc>
              <w:tc>
                <w:tcPr>
                  <w:tcW w:w="476" w:type="pct"/>
                  <w:tcBorders>
                    <w:top w:val="single" w:color="000000" w:sz="4" w:space="0"/>
                    <w:left w:val="single" w:color="000000" w:sz="4" w:space="0"/>
                    <w:bottom w:val="single" w:color="000000" w:sz="4" w:space="0"/>
                    <w:right w:val="single" w:color="000000" w:sz="4" w:space="0"/>
                  </w:tcBorders>
                  <w:noWrap/>
                  <w:vAlign w:val="center"/>
                </w:tcPr>
                <w:p w14:paraId="408FA677">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0.0006 </w:t>
                  </w:r>
                </w:p>
              </w:tc>
              <w:tc>
                <w:tcPr>
                  <w:tcW w:w="393" w:type="pct"/>
                  <w:tcBorders>
                    <w:top w:val="single" w:color="000000" w:sz="4" w:space="0"/>
                    <w:left w:val="single" w:color="000000" w:sz="4" w:space="0"/>
                    <w:bottom w:val="single" w:color="000000" w:sz="4" w:space="0"/>
                    <w:right w:val="single" w:color="000000" w:sz="4" w:space="0"/>
                  </w:tcBorders>
                  <w:noWrap/>
                  <w:vAlign w:val="center"/>
                </w:tcPr>
                <w:p w14:paraId="1F4EAB9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0.003</w:t>
                  </w:r>
                </w:p>
              </w:tc>
            </w:tr>
            <w:tr w14:paraId="7AE324BD">
              <w:tblPrEx>
                <w:tblCellMar>
                  <w:top w:w="0" w:type="dxa"/>
                  <w:left w:w="51" w:type="dxa"/>
                  <w:bottom w:w="0" w:type="dxa"/>
                  <w:right w:w="51" w:type="dxa"/>
                </w:tblCellMar>
              </w:tblPrEx>
              <w:trPr>
                <w:trHeight w:val="340" w:hRule="atLeast"/>
              </w:trPr>
              <w:tc>
                <w:tcPr>
                  <w:tcW w:w="453" w:type="pct"/>
                  <w:vMerge w:val="restart"/>
                  <w:tcBorders>
                    <w:top w:val="single" w:color="auto" w:sz="4" w:space="0"/>
                    <w:left w:val="single" w:color="auto" w:sz="4" w:space="0"/>
                    <w:right w:val="single" w:color="auto" w:sz="4" w:space="0"/>
                  </w:tcBorders>
                  <w:noWrap w:val="0"/>
                  <w:vAlign w:val="center"/>
                </w:tcPr>
                <w:p w14:paraId="2ABB8C7B">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天然气燃烧</w:t>
                  </w:r>
                </w:p>
              </w:tc>
              <w:tc>
                <w:tcPr>
                  <w:tcW w:w="642" w:type="pct"/>
                  <w:tcBorders>
                    <w:top w:val="single" w:color="auto" w:sz="4" w:space="0"/>
                    <w:left w:val="single" w:color="auto" w:sz="4" w:space="0"/>
                    <w:bottom w:val="single" w:color="auto" w:sz="4" w:space="0"/>
                    <w:right w:val="single" w:color="auto" w:sz="4" w:space="0"/>
                  </w:tcBorders>
                  <w:noWrap/>
                  <w:vAlign w:val="center"/>
                </w:tcPr>
                <w:p w14:paraId="36412A01">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bidi="ar"/>
                    </w:rPr>
                    <w:t>颗粒物</w:t>
                  </w:r>
                </w:p>
              </w:tc>
              <w:tc>
                <w:tcPr>
                  <w:tcW w:w="372" w:type="pct"/>
                  <w:vMerge w:val="restart"/>
                  <w:tcBorders>
                    <w:top w:val="single" w:color="000000" w:sz="4" w:space="0"/>
                    <w:left w:val="single" w:color="auto" w:sz="4" w:space="0"/>
                    <w:right w:val="single" w:color="000000" w:sz="4" w:space="0"/>
                  </w:tcBorders>
                  <w:noWrap/>
                  <w:vAlign w:val="center"/>
                </w:tcPr>
                <w:p w14:paraId="0C7B3E3D">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无组织</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2BF689FF">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32A3704B">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495" w:type="pct"/>
                  <w:tcBorders>
                    <w:top w:val="single" w:color="000000" w:sz="4" w:space="0"/>
                    <w:left w:val="single" w:color="000000" w:sz="4" w:space="0"/>
                    <w:bottom w:val="single" w:color="000000" w:sz="4" w:space="0"/>
                    <w:right w:val="single" w:color="000000" w:sz="4" w:space="0"/>
                  </w:tcBorders>
                  <w:noWrap/>
                  <w:vAlign w:val="center"/>
                </w:tcPr>
                <w:p w14:paraId="4EEEE140">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0.174</w:t>
                  </w:r>
                </w:p>
              </w:tc>
              <w:tc>
                <w:tcPr>
                  <w:tcW w:w="383" w:type="pct"/>
                  <w:tcBorders>
                    <w:top w:val="single" w:color="000000" w:sz="4" w:space="0"/>
                    <w:left w:val="single" w:color="000000" w:sz="4" w:space="0"/>
                    <w:bottom w:val="single" w:color="000000" w:sz="4" w:space="0"/>
                    <w:right w:val="single" w:color="000000" w:sz="4" w:space="0"/>
                  </w:tcBorders>
                  <w:noWrap/>
                  <w:vAlign w:val="center"/>
                </w:tcPr>
                <w:p w14:paraId="1E0F3506">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0.833</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7BC708DC">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130262B1">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A2BEC">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0.174</w:t>
                  </w:r>
                </w:p>
              </w:tc>
              <w:tc>
                <w:tcPr>
                  <w:tcW w:w="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439E">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0.833</w:t>
                  </w:r>
                </w:p>
              </w:tc>
            </w:tr>
            <w:tr w14:paraId="58DAD572">
              <w:tblPrEx>
                <w:tblCellMar>
                  <w:top w:w="0" w:type="dxa"/>
                  <w:left w:w="51" w:type="dxa"/>
                  <w:bottom w:w="0" w:type="dxa"/>
                  <w:right w:w="51" w:type="dxa"/>
                </w:tblCellMar>
              </w:tblPrEx>
              <w:trPr>
                <w:trHeight w:val="340" w:hRule="atLeast"/>
              </w:trPr>
              <w:tc>
                <w:tcPr>
                  <w:tcW w:w="453" w:type="pct"/>
                  <w:vMerge w:val="continue"/>
                  <w:tcBorders>
                    <w:left w:val="single" w:color="auto" w:sz="4" w:space="0"/>
                    <w:right w:val="single" w:color="auto" w:sz="4" w:space="0"/>
                  </w:tcBorders>
                  <w:noWrap w:val="0"/>
                  <w:vAlign w:val="center"/>
                </w:tcPr>
                <w:p w14:paraId="5074424E">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64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6D389C">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bidi="ar"/>
                    </w:rPr>
                    <w:t>SO</w:t>
                  </w:r>
                  <w:r>
                    <w:rPr>
                      <w:rFonts w:hint="eastAsia" w:ascii="Times New Roman" w:hAnsi="Times New Roman" w:eastAsia="宋体" w:cs="宋体"/>
                      <w:color w:val="auto"/>
                      <w:kern w:val="0"/>
                      <w:sz w:val="18"/>
                      <w:szCs w:val="18"/>
                      <w:highlight w:val="none"/>
                      <w:vertAlign w:val="subscript"/>
                      <w:lang w:bidi="ar"/>
                    </w:rPr>
                    <w:t>2</w:t>
                  </w:r>
                </w:p>
              </w:tc>
              <w:tc>
                <w:tcPr>
                  <w:tcW w:w="372" w:type="pct"/>
                  <w:vMerge w:val="continue"/>
                  <w:tcBorders>
                    <w:left w:val="single" w:color="auto" w:sz="4" w:space="0"/>
                    <w:right w:val="single" w:color="000000" w:sz="4" w:space="0"/>
                  </w:tcBorders>
                  <w:noWrap/>
                  <w:vAlign w:val="center"/>
                </w:tcPr>
                <w:p w14:paraId="1EBADCD6">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7F029A32">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11506629">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55581">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0.033 </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EB10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0.156</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58F64753">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11EABDDB">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1EC8">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0.033 </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DACD">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0.156</w:t>
                  </w:r>
                </w:p>
              </w:tc>
            </w:tr>
            <w:tr w14:paraId="3C80F3E9">
              <w:tblPrEx>
                <w:tblCellMar>
                  <w:top w:w="0" w:type="dxa"/>
                  <w:left w:w="51" w:type="dxa"/>
                  <w:bottom w:w="0" w:type="dxa"/>
                  <w:right w:w="51" w:type="dxa"/>
                </w:tblCellMar>
              </w:tblPrEx>
              <w:trPr>
                <w:trHeight w:val="340" w:hRule="atLeast"/>
              </w:trPr>
              <w:tc>
                <w:tcPr>
                  <w:tcW w:w="453" w:type="pct"/>
                  <w:vMerge w:val="continue"/>
                  <w:tcBorders>
                    <w:left w:val="single" w:color="auto" w:sz="4" w:space="0"/>
                    <w:bottom w:val="single" w:color="auto" w:sz="4" w:space="0"/>
                    <w:right w:val="single" w:color="auto" w:sz="4" w:space="0"/>
                  </w:tcBorders>
                  <w:noWrap w:val="0"/>
                  <w:vAlign w:val="center"/>
                </w:tcPr>
                <w:p w14:paraId="6998E0E1">
                  <w:pPr>
                    <w:widowControl/>
                    <w:spacing w:line="240" w:lineRule="auto"/>
                    <w:jc w:val="center"/>
                    <w:textAlignment w:val="center"/>
                    <w:rPr>
                      <w:rFonts w:hint="eastAsia" w:ascii="Times New Roman" w:hAnsi="Times New Roman" w:eastAsia="宋体" w:cs="宋体"/>
                      <w:color w:val="auto"/>
                      <w:kern w:val="0"/>
                      <w:sz w:val="18"/>
                      <w:szCs w:val="18"/>
                      <w:highlight w:val="none"/>
                      <w:lang w:bidi="ar"/>
                    </w:rPr>
                  </w:pPr>
                </w:p>
              </w:tc>
              <w:tc>
                <w:tcPr>
                  <w:tcW w:w="64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EC5855">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bidi="ar"/>
                    </w:rPr>
                    <w:t>NO</w:t>
                  </w:r>
                  <w:r>
                    <w:rPr>
                      <w:rFonts w:hint="eastAsia" w:ascii="Times New Roman" w:hAnsi="Times New Roman" w:eastAsia="宋体" w:cs="宋体"/>
                      <w:color w:val="auto"/>
                      <w:kern w:val="0"/>
                      <w:sz w:val="18"/>
                      <w:szCs w:val="18"/>
                      <w:highlight w:val="none"/>
                      <w:vertAlign w:val="subscript"/>
                      <w:lang w:bidi="ar"/>
                    </w:rPr>
                    <w:t>X</w:t>
                  </w:r>
                </w:p>
              </w:tc>
              <w:tc>
                <w:tcPr>
                  <w:tcW w:w="372" w:type="pct"/>
                  <w:vMerge w:val="continue"/>
                  <w:tcBorders>
                    <w:left w:val="single" w:color="auto" w:sz="4" w:space="0"/>
                    <w:bottom w:val="single" w:color="000000" w:sz="4" w:space="0"/>
                    <w:right w:val="single" w:color="000000" w:sz="4" w:space="0"/>
                  </w:tcBorders>
                  <w:noWrap/>
                  <w:vAlign w:val="center"/>
                </w:tcPr>
                <w:p w14:paraId="33685761">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2849F94C">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796BD449">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8B85">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152</w:t>
                  </w:r>
                  <w:r>
                    <w:rPr>
                      <w:rFonts w:hint="eastAsia" w:ascii="Times New Roman" w:hAnsi="Times New Roman" w:eastAsia="宋体" w:cs="宋体"/>
                      <w:color w:val="auto"/>
                      <w:kern w:val="0"/>
                      <w:sz w:val="18"/>
                      <w:szCs w:val="18"/>
                      <w:highlight w:val="none"/>
                      <w:lang w:val="en-US" w:eastAsia="zh-CN" w:bidi="ar"/>
                    </w:rPr>
                    <w:t xml:space="preserve"> </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2F4CD">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729</w:t>
                  </w:r>
                </w:p>
              </w:tc>
              <w:tc>
                <w:tcPr>
                  <w:tcW w:w="372" w:type="pct"/>
                  <w:tcBorders>
                    <w:top w:val="single" w:color="000000" w:sz="4" w:space="0"/>
                    <w:left w:val="single" w:color="000000" w:sz="4" w:space="0"/>
                    <w:bottom w:val="single" w:color="000000" w:sz="4" w:space="0"/>
                    <w:right w:val="single" w:color="000000" w:sz="4" w:space="0"/>
                  </w:tcBorders>
                  <w:noWrap/>
                  <w:vAlign w:val="center"/>
                </w:tcPr>
                <w:p w14:paraId="3EEC0418">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519" w:type="pct"/>
                  <w:tcBorders>
                    <w:top w:val="single" w:color="000000" w:sz="4" w:space="0"/>
                    <w:left w:val="single" w:color="000000" w:sz="4" w:space="0"/>
                    <w:bottom w:val="single" w:color="000000" w:sz="4" w:space="0"/>
                    <w:right w:val="single" w:color="000000" w:sz="4" w:space="0"/>
                  </w:tcBorders>
                  <w:noWrap/>
                  <w:vAlign w:val="center"/>
                </w:tcPr>
                <w:p w14:paraId="6197C3D7">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23721">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152</w:t>
                  </w:r>
                  <w:r>
                    <w:rPr>
                      <w:rFonts w:hint="eastAsia" w:ascii="Times New Roman" w:hAnsi="Times New Roman" w:eastAsia="宋体" w:cs="宋体"/>
                      <w:color w:val="auto"/>
                      <w:kern w:val="0"/>
                      <w:sz w:val="18"/>
                      <w:szCs w:val="18"/>
                      <w:highlight w:val="none"/>
                      <w:lang w:val="en-US" w:eastAsia="zh-CN" w:bidi="ar"/>
                    </w:rPr>
                    <w:t xml:space="preserve"> </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1D8D3">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729</w:t>
                  </w:r>
                </w:p>
              </w:tc>
            </w:tr>
          </w:tbl>
          <w:p w14:paraId="58BA8D1B">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（5）危废库铝灰渣产生的氨气</w:t>
            </w:r>
          </w:p>
          <w:p w14:paraId="792B1619">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本项目扒渣工序产生的铝灰渣主要成分为铝、</w:t>
            </w:r>
            <w:r>
              <w:rPr>
                <w:rFonts w:hint="default" w:cs="宋体"/>
                <w:color w:val="auto"/>
                <w:kern w:val="2"/>
                <w:sz w:val="24"/>
                <w:szCs w:val="21"/>
                <w:highlight w:val="none"/>
                <w:lang w:val="en-US" w:eastAsia="zh-CN" w:bidi="ar-SA"/>
              </w:rPr>
              <w:t>氟化盐、氧化铝和氮化铝等物质</w:t>
            </w:r>
            <w:r>
              <w:rPr>
                <w:rFonts w:hint="eastAsia" w:cs="宋体"/>
                <w:color w:val="auto"/>
                <w:kern w:val="2"/>
                <w:sz w:val="24"/>
                <w:szCs w:val="21"/>
                <w:highlight w:val="none"/>
                <w:lang w:val="en-US" w:eastAsia="zh-CN" w:bidi="ar-SA"/>
              </w:rPr>
              <w:t>，铝灰中的氮化铝具有较高的反应活性，遇水易发生水解，生成氢氧化铝和刺激性气体氨气，其化学反应方程式为AlN+3H</w:t>
            </w:r>
            <w:r>
              <w:rPr>
                <w:rFonts w:hint="eastAsia" w:cs="宋体"/>
                <w:color w:val="auto"/>
                <w:kern w:val="2"/>
                <w:sz w:val="24"/>
                <w:szCs w:val="21"/>
                <w:highlight w:val="none"/>
                <w:vertAlign w:val="subscript"/>
                <w:lang w:val="en-US" w:eastAsia="zh-CN" w:bidi="ar-SA"/>
              </w:rPr>
              <w:t>2</w:t>
            </w:r>
            <w:r>
              <w:rPr>
                <w:rFonts w:hint="eastAsia" w:cs="宋体"/>
                <w:color w:val="auto"/>
                <w:kern w:val="2"/>
                <w:sz w:val="24"/>
                <w:szCs w:val="21"/>
                <w:highlight w:val="none"/>
                <w:lang w:val="en-US" w:eastAsia="zh-CN" w:bidi="ar-SA"/>
              </w:rPr>
              <w:t>O=Al(OH)</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+NH</w:t>
            </w:r>
            <w:r>
              <w:rPr>
                <w:rFonts w:hint="eastAsia" w:cs="宋体"/>
                <w:color w:val="auto"/>
                <w:kern w:val="2"/>
                <w:sz w:val="24"/>
                <w:szCs w:val="21"/>
                <w:highlight w:val="none"/>
                <w:vertAlign w:val="subscript"/>
                <w:lang w:val="en-US" w:eastAsia="zh-CN" w:bidi="ar-SA"/>
              </w:rPr>
              <w:t>3</w:t>
            </w:r>
            <w:r>
              <w:rPr>
                <w:rFonts w:hint="eastAsia" w:cs="宋体"/>
                <w:color w:val="auto"/>
                <w:kern w:val="2"/>
                <w:sz w:val="24"/>
                <w:szCs w:val="21"/>
                <w:highlight w:val="none"/>
                <w:lang w:val="en-US" w:eastAsia="zh-CN" w:bidi="ar-SA"/>
              </w:rPr>
              <w:t>↑，本项目铝灰渣暂存周期较短，且单独对危废库内铝灰暂存区域进行通风，保持铝灰干燥，产生的氨气量较少，对环境影响不大，本次仅对铝灰渣暂存产生的氨气进行定性分析</w:t>
            </w:r>
            <w:bookmarkStart w:id="68" w:name="OLE_LINK5"/>
            <w:r>
              <w:rPr>
                <w:rFonts w:hint="eastAsia" w:cs="宋体"/>
                <w:color w:val="auto"/>
                <w:kern w:val="2"/>
                <w:sz w:val="24"/>
                <w:szCs w:val="21"/>
                <w:highlight w:val="none"/>
                <w:lang w:val="en-US" w:eastAsia="zh-CN" w:bidi="ar-SA"/>
              </w:rPr>
              <w:t>。</w:t>
            </w:r>
            <w:bookmarkEnd w:id="68"/>
          </w:p>
          <w:p w14:paraId="32003091">
            <w:pPr>
              <w:ind w:firstLine="480" w:firstLineChars="200"/>
              <w:rPr>
                <w:rFonts w:hint="default" w:cs="宋体"/>
                <w:color w:val="auto"/>
                <w:kern w:val="2"/>
                <w:sz w:val="24"/>
                <w:szCs w:val="21"/>
                <w:highlight w:val="none"/>
                <w:lang w:val="en-US" w:eastAsia="zh-CN" w:bidi="ar-SA"/>
              </w:rPr>
            </w:pPr>
            <w:r>
              <w:rPr>
                <w:rFonts w:hint="default" w:cs="宋体"/>
                <w:color w:val="auto"/>
                <w:kern w:val="2"/>
                <w:sz w:val="24"/>
                <w:szCs w:val="21"/>
                <w:highlight w:val="none"/>
                <w:lang w:val="en-US" w:eastAsia="zh-CN" w:bidi="ar-SA"/>
              </w:rPr>
              <w:t>铝灰在贮存过程中，尽量让铝灰远离门、窗等容易进雨水的位置。避免铝灰与含水量大的其他废物混合堆放。</w:t>
            </w:r>
          </w:p>
          <w:p w14:paraId="42B7C75B">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（6）</w:t>
            </w:r>
            <w:r>
              <w:rPr>
                <w:rFonts w:hint="eastAsia"/>
                <w:color w:val="auto"/>
                <w:szCs w:val="24"/>
                <w:highlight w:val="none"/>
                <w:lang w:val="en-US" w:eastAsia="zh-CN"/>
              </w:rPr>
              <w:t>油烟</w:t>
            </w:r>
          </w:p>
          <w:p w14:paraId="34235650">
            <w:pPr>
              <w:ind w:firstLine="480" w:firstLineChars="200"/>
              <w:rPr>
                <w:rFonts w:hint="eastAsia" w:cs="宋体"/>
                <w:color w:val="auto"/>
                <w:kern w:val="2"/>
                <w:sz w:val="24"/>
                <w:szCs w:val="21"/>
                <w:highlight w:val="none"/>
                <w:lang w:val="en-US" w:eastAsia="zh-CN" w:bidi="ar-SA"/>
              </w:rPr>
            </w:pPr>
            <w:r>
              <w:rPr>
                <w:rFonts w:hint="eastAsia" w:cs="宋体"/>
                <w:color w:val="auto"/>
                <w:kern w:val="2"/>
                <w:sz w:val="24"/>
                <w:szCs w:val="21"/>
                <w:highlight w:val="none"/>
                <w:lang w:val="en-US" w:eastAsia="zh-CN" w:bidi="ar-SA"/>
              </w:rPr>
              <w:t>本项目利用原有食堂，新增日就餐人数30人，日开火时间约2h，人均耗油量按30g/p•d计，则食用油用量约0.27t/a，烹饪过程中油的挥发损失率约1%~3%，本次取3%，则食堂油烟产生量约0.009t/a，食堂设有油烟净化装置，现有风机风量为12500m</w:t>
            </w:r>
            <w:r>
              <w:rPr>
                <w:rFonts w:hint="eastAsia" w:cs="宋体"/>
                <w:color w:val="auto"/>
                <w:kern w:val="2"/>
                <w:sz w:val="24"/>
                <w:szCs w:val="21"/>
                <w:highlight w:val="none"/>
                <w:vertAlign w:val="superscript"/>
                <w:lang w:val="en-US" w:eastAsia="zh-CN" w:bidi="ar-SA"/>
              </w:rPr>
              <w:t>3</w:t>
            </w:r>
            <w:r>
              <w:rPr>
                <w:rFonts w:hint="eastAsia" w:cs="宋体"/>
                <w:color w:val="auto"/>
                <w:kern w:val="2"/>
                <w:sz w:val="24"/>
                <w:szCs w:val="21"/>
                <w:highlight w:val="none"/>
                <w:lang w:val="en-US" w:eastAsia="zh-CN" w:bidi="ar-SA"/>
              </w:rPr>
              <w:t>/h，处理效率可达75%，则油烟排放量为0.002t/a。</w:t>
            </w:r>
          </w:p>
          <w:p w14:paraId="7EFAF765">
            <w:pPr>
              <w:ind w:firstLine="480" w:firstLineChars="200"/>
              <w:rPr>
                <w:rFonts w:hint="default" w:ascii="Times New Roman" w:hAnsi="Times New Roman" w:eastAsia="宋体" w:cs="宋体"/>
                <w:color w:val="auto"/>
                <w:kern w:val="2"/>
                <w:sz w:val="24"/>
                <w:szCs w:val="21"/>
                <w:highlight w:val="none"/>
                <w:vertAlign w:val="baseline"/>
                <w:lang w:val="en-US" w:eastAsia="zh-CN" w:bidi="ar-SA"/>
              </w:rPr>
            </w:pPr>
            <w:r>
              <w:rPr>
                <w:rFonts w:hint="eastAsia" w:cs="宋体"/>
                <w:color w:val="auto"/>
                <w:kern w:val="2"/>
                <w:sz w:val="24"/>
                <w:szCs w:val="21"/>
                <w:highlight w:val="none"/>
                <w:lang w:val="en-US" w:eastAsia="zh-CN" w:bidi="ar-SA"/>
              </w:rPr>
              <w:t>现有项目环评核定的油烟废气产生量为0.12t/a，排放量为0.03t/a，因此本项目建成后全厂油烟排放量为0.032t/a，排放浓度为1.78mg/m</w:t>
            </w:r>
            <w:r>
              <w:rPr>
                <w:rFonts w:hint="eastAsia" w:cs="宋体"/>
                <w:color w:val="auto"/>
                <w:kern w:val="2"/>
                <w:sz w:val="24"/>
                <w:szCs w:val="21"/>
                <w:highlight w:val="none"/>
                <w:vertAlign w:val="superscript"/>
                <w:lang w:val="en-US" w:eastAsia="zh-CN" w:bidi="ar-SA"/>
              </w:rPr>
              <w:t>3</w:t>
            </w:r>
            <w:r>
              <w:rPr>
                <w:rFonts w:hint="eastAsia" w:cs="宋体"/>
                <w:color w:val="auto"/>
                <w:kern w:val="2"/>
                <w:sz w:val="24"/>
                <w:szCs w:val="21"/>
                <w:highlight w:val="none"/>
                <w:vertAlign w:val="baseline"/>
                <w:lang w:val="en-US" w:eastAsia="zh-CN" w:bidi="ar-SA"/>
              </w:rPr>
              <w:t>，可以满足《饮食业油烟排放标准(试行)》(GB18483-2001)中的≤2.0mg/m</w:t>
            </w:r>
            <w:r>
              <w:rPr>
                <w:rFonts w:hint="eastAsia" w:cs="宋体"/>
                <w:color w:val="auto"/>
                <w:kern w:val="2"/>
                <w:sz w:val="24"/>
                <w:szCs w:val="21"/>
                <w:highlight w:val="none"/>
                <w:vertAlign w:val="superscript"/>
                <w:lang w:val="en-US" w:eastAsia="zh-CN" w:bidi="ar-SA"/>
              </w:rPr>
              <w:t>3</w:t>
            </w:r>
            <w:r>
              <w:rPr>
                <w:rFonts w:hint="eastAsia" w:cs="宋体"/>
                <w:color w:val="auto"/>
                <w:kern w:val="2"/>
                <w:sz w:val="24"/>
                <w:szCs w:val="21"/>
                <w:highlight w:val="none"/>
                <w:vertAlign w:val="baseline"/>
                <w:lang w:val="en-US" w:eastAsia="zh-CN" w:bidi="ar-SA"/>
              </w:rPr>
              <w:t>的标准要求。</w:t>
            </w:r>
          </w:p>
          <w:p w14:paraId="018FC2EF">
            <w:pPr>
              <w:pStyle w:val="87"/>
              <w:ind w:left="0" w:firstLine="480" w:firstLineChars="200"/>
              <w:rPr>
                <w:rFonts w:hint="default"/>
                <w:b/>
                <w:bCs/>
                <w:color w:val="auto"/>
                <w:highlight w:val="none"/>
                <w:lang w:val="en-US" w:eastAsia="zh-CN"/>
              </w:rPr>
            </w:pPr>
            <w:r>
              <w:rPr>
                <w:rFonts w:hint="eastAsia"/>
                <w:b w:val="0"/>
                <w:bCs w:val="0"/>
                <w:color w:val="auto"/>
                <w:highlight w:val="none"/>
                <w:lang w:val="en-US" w:eastAsia="zh-CN"/>
              </w:rPr>
              <w:t>（7）风量核算</w:t>
            </w:r>
          </w:p>
          <w:p w14:paraId="0E777761">
            <w:pPr>
              <w:pStyle w:val="87"/>
              <w:ind w:left="0" w:firstLine="480" w:firstLineChars="200"/>
              <w:rPr>
                <w:rFonts w:hint="default"/>
                <w:b/>
                <w:bCs/>
                <w:color w:val="auto"/>
                <w:highlight w:val="none"/>
                <w:lang w:val="en-US" w:eastAsia="zh-CN"/>
              </w:rPr>
            </w:pPr>
            <w:r>
              <w:rPr>
                <w:rFonts w:hint="eastAsia"/>
                <w:b w:val="0"/>
                <w:bCs w:val="0"/>
                <w:color w:val="auto"/>
                <w:highlight w:val="none"/>
                <w:lang w:val="en-US" w:eastAsia="zh-CN"/>
              </w:rPr>
              <w:t>本</w:t>
            </w:r>
            <w:r>
              <w:rPr>
                <w:rFonts w:hint="eastAsia"/>
                <w:b w:val="0"/>
                <w:bCs w:val="0"/>
                <w:color w:val="auto"/>
                <w:highlight w:val="none"/>
              </w:rPr>
              <w:t>项目</w:t>
            </w:r>
            <w:r>
              <w:rPr>
                <w:rFonts w:hint="eastAsia" w:cs="宋体"/>
                <w:b w:val="0"/>
                <w:bCs w:val="0"/>
                <w:color w:val="auto"/>
                <w:kern w:val="2"/>
                <w:sz w:val="24"/>
                <w:szCs w:val="21"/>
                <w:highlight w:val="none"/>
                <w:lang w:val="en-US" w:eastAsia="zh-CN" w:bidi="ar-SA"/>
              </w:rPr>
              <w:t>熔化、扒渣、除气除渣、浇铸废气集气罩风量计算过程如下：</w:t>
            </w:r>
          </w:p>
          <w:p w14:paraId="36E380E7">
            <w:pPr>
              <w:spacing w:line="360" w:lineRule="auto"/>
              <w:jc w:val="center"/>
              <w:rPr>
                <w:rFonts w:hint="eastAsia"/>
                <w:b w:val="0"/>
                <w:bCs/>
                <w:color w:val="auto"/>
              </w:rPr>
            </w:pPr>
            <w:r>
              <w:rPr>
                <w:rFonts w:hint="eastAsia" w:eastAsia="黑体"/>
                <w:b w:val="0"/>
                <w:color w:val="auto"/>
              </w:rPr>
              <w:t>表</w:t>
            </w:r>
            <w:r>
              <w:rPr>
                <w:rFonts w:hint="eastAsia" w:eastAsia="黑体"/>
                <w:b w:val="0"/>
                <w:color w:val="auto"/>
                <w:lang w:val="en-US" w:eastAsia="zh-CN"/>
              </w:rPr>
              <w:t>4-3</w:t>
            </w:r>
            <w:r>
              <w:rPr>
                <w:rFonts w:hint="eastAsia" w:eastAsia="黑体"/>
                <w:b w:val="0"/>
                <w:color w:val="auto"/>
              </w:rPr>
              <w:t xml:space="preserve">  </w:t>
            </w:r>
            <w:r>
              <w:rPr>
                <w:rFonts w:hint="eastAsia" w:eastAsia="黑体"/>
                <w:b w:val="0"/>
                <w:color w:val="auto"/>
                <w:lang w:val="en-US" w:eastAsia="zh-CN"/>
              </w:rPr>
              <w:t>本项目工艺</w:t>
            </w:r>
            <w:r>
              <w:rPr>
                <w:rFonts w:hint="eastAsia" w:eastAsia="黑体"/>
                <w:b w:val="0"/>
                <w:color w:val="auto"/>
              </w:rPr>
              <w:t>风机风量计算依据一览表</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1740"/>
              <w:gridCol w:w="1442"/>
              <w:gridCol w:w="1270"/>
              <w:gridCol w:w="1165"/>
              <w:gridCol w:w="1581"/>
              <w:gridCol w:w="1278"/>
            </w:tblGrid>
            <w:tr w14:paraId="40C0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82" w:type="dxa"/>
                  <w:noWrap w:val="0"/>
                  <w:vAlign w:val="center"/>
                </w:tcPr>
                <w:p w14:paraId="11D05D1A">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序号</w:t>
                  </w:r>
                </w:p>
              </w:tc>
              <w:tc>
                <w:tcPr>
                  <w:tcW w:w="1740" w:type="dxa"/>
                  <w:noWrap w:val="0"/>
                  <w:vAlign w:val="center"/>
                </w:tcPr>
                <w:p w14:paraId="52A567B6">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废气收集点</w:t>
                  </w:r>
                </w:p>
              </w:tc>
              <w:tc>
                <w:tcPr>
                  <w:tcW w:w="1442" w:type="dxa"/>
                  <w:noWrap w:val="0"/>
                  <w:vAlign w:val="center"/>
                </w:tcPr>
                <w:p w14:paraId="56D0DB36">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废气收集设施尺寸（mm）</w:t>
                  </w:r>
                </w:p>
              </w:tc>
              <w:tc>
                <w:tcPr>
                  <w:tcW w:w="1270" w:type="dxa"/>
                  <w:noWrap w:val="0"/>
                  <w:vAlign w:val="center"/>
                </w:tcPr>
                <w:p w14:paraId="3969DBA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废气收集设施数量</w:t>
                  </w:r>
                </w:p>
              </w:tc>
              <w:tc>
                <w:tcPr>
                  <w:tcW w:w="1165" w:type="dxa"/>
                  <w:noWrap w:val="0"/>
                  <w:vAlign w:val="center"/>
                </w:tcPr>
                <w:p w14:paraId="5E2FA935">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风速（m/s）</w:t>
                  </w:r>
                </w:p>
              </w:tc>
              <w:tc>
                <w:tcPr>
                  <w:tcW w:w="1581" w:type="dxa"/>
                  <w:noWrap w:val="0"/>
                  <w:vAlign w:val="center"/>
                </w:tcPr>
                <w:p w14:paraId="23373524">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计算风量（m</w:t>
                  </w:r>
                  <w:r>
                    <w:rPr>
                      <w:rFonts w:hint="eastAsia" w:ascii="Times New Roman" w:hAnsi="Times New Roman" w:eastAsia="宋体" w:cs="宋体"/>
                      <w:color w:val="auto"/>
                      <w:kern w:val="0"/>
                      <w:sz w:val="18"/>
                      <w:szCs w:val="18"/>
                      <w:highlight w:val="none"/>
                      <w:vertAlign w:val="superscript"/>
                      <w:lang w:val="en-US" w:eastAsia="zh-CN" w:bidi="ar"/>
                    </w:rPr>
                    <w:t>3</w:t>
                  </w:r>
                  <w:r>
                    <w:rPr>
                      <w:rFonts w:hint="eastAsia" w:ascii="Times New Roman" w:hAnsi="Times New Roman" w:eastAsia="宋体" w:cs="宋体"/>
                      <w:color w:val="auto"/>
                      <w:kern w:val="0"/>
                      <w:sz w:val="18"/>
                      <w:szCs w:val="18"/>
                      <w:highlight w:val="none"/>
                      <w:lang w:val="en-US" w:eastAsia="zh-CN" w:bidi="ar"/>
                    </w:rPr>
                    <w:t>/h）②</w:t>
                  </w:r>
                </w:p>
              </w:tc>
              <w:tc>
                <w:tcPr>
                  <w:tcW w:w="1278" w:type="dxa"/>
                  <w:noWrap w:val="0"/>
                  <w:vAlign w:val="center"/>
                </w:tcPr>
                <w:p w14:paraId="1DD84046">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合计</w:t>
                  </w:r>
                  <w:r>
                    <w:rPr>
                      <w:rFonts w:hint="eastAsia" w:ascii="Times New Roman" w:hAnsi="Times New Roman" w:eastAsia="宋体" w:cs="宋体"/>
                      <w:color w:val="auto"/>
                      <w:kern w:val="0"/>
                      <w:sz w:val="18"/>
                      <w:szCs w:val="18"/>
                      <w:highlight w:val="none"/>
                      <w:lang w:val="en-US" w:eastAsia="zh-CN" w:bidi="ar"/>
                    </w:rPr>
                    <w:t>风量（m</w:t>
                  </w:r>
                  <w:r>
                    <w:rPr>
                      <w:rFonts w:hint="eastAsia" w:ascii="Times New Roman" w:hAnsi="Times New Roman" w:eastAsia="宋体" w:cs="宋体"/>
                      <w:color w:val="auto"/>
                      <w:kern w:val="0"/>
                      <w:sz w:val="18"/>
                      <w:szCs w:val="18"/>
                      <w:highlight w:val="none"/>
                      <w:vertAlign w:val="superscript"/>
                      <w:lang w:val="en-US" w:eastAsia="zh-CN" w:bidi="ar"/>
                    </w:rPr>
                    <w:t>3</w:t>
                  </w:r>
                  <w:r>
                    <w:rPr>
                      <w:rFonts w:hint="eastAsia" w:ascii="Times New Roman" w:hAnsi="Times New Roman" w:eastAsia="宋体" w:cs="宋体"/>
                      <w:color w:val="auto"/>
                      <w:kern w:val="0"/>
                      <w:sz w:val="18"/>
                      <w:szCs w:val="18"/>
                      <w:highlight w:val="none"/>
                      <w:lang w:val="en-US" w:eastAsia="zh-CN" w:bidi="ar"/>
                    </w:rPr>
                    <w:t>/h）</w:t>
                  </w:r>
                </w:p>
              </w:tc>
            </w:tr>
            <w:tr w14:paraId="3A64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82" w:type="dxa"/>
                  <w:noWrap w:val="0"/>
                  <w:vAlign w:val="center"/>
                </w:tcPr>
                <w:p w14:paraId="7CC8019F">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1</w:t>
                  </w:r>
                </w:p>
              </w:tc>
              <w:tc>
                <w:tcPr>
                  <w:tcW w:w="1740" w:type="dxa"/>
                  <w:noWrap w:val="0"/>
                  <w:vAlign w:val="center"/>
                </w:tcPr>
                <w:p w14:paraId="69E62671">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集中熔铝炉</w:t>
                  </w:r>
                  <w:r>
                    <w:rPr>
                      <w:rFonts w:hint="eastAsia" w:ascii="Times New Roman" w:hAnsi="Times New Roman" w:eastAsia="宋体" w:cs="宋体"/>
                      <w:color w:val="auto"/>
                      <w:kern w:val="0"/>
                      <w:sz w:val="18"/>
                      <w:szCs w:val="18"/>
                      <w:highlight w:val="none"/>
                      <w:lang w:val="en-US" w:eastAsia="zh-CN" w:bidi="ar"/>
                    </w:rPr>
                    <w:t>炉门口</w:t>
                  </w:r>
                </w:p>
              </w:tc>
              <w:tc>
                <w:tcPr>
                  <w:tcW w:w="1442" w:type="dxa"/>
                  <w:noWrap w:val="0"/>
                  <w:vAlign w:val="center"/>
                </w:tcPr>
                <w:p w14:paraId="06BC168B">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2</w:t>
                  </w:r>
                  <w:r>
                    <w:rPr>
                      <w:rFonts w:hint="eastAsia" w:cs="宋体"/>
                      <w:color w:val="auto"/>
                      <w:kern w:val="0"/>
                      <w:sz w:val="18"/>
                      <w:szCs w:val="18"/>
                      <w:highlight w:val="none"/>
                      <w:lang w:val="en-US" w:eastAsia="zh-CN" w:bidi="ar"/>
                    </w:rPr>
                    <w:t>0</w:t>
                  </w:r>
                  <w:r>
                    <w:rPr>
                      <w:rFonts w:hint="eastAsia" w:ascii="Times New Roman" w:hAnsi="Times New Roman" w:eastAsia="宋体" w:cs="宋体"/>
                      <w:color w:val="auto"/>
                      <w:kern w:val="0"/>
                      <w:sz w:val="18"/>
                      <w:szCs w:val="18"/>
                      <w:highlight w:val="none"/>
                      <w:lang w:val="en-US" w:eastAsia="zh-CN" w:bidi="ar"/>
                    </w:rPr>
                    <w:t>00*</w:t>
                  </w:r>
                  <w:r>
                    <w:rPr>
                      <w:rFonts w:hint="eastAsia" w:cs="宋体"/>
                      <w:color w:val="auto"/>
                      <w:kern w:val="0"/>
                      <w:sz w:val="18"/>
                      <w:szCs w:val="18"/>
                      <w:highlight w:val="none"/>
                      <w:lang w:val="en-US" w:eastAsia="zh-CN" w:bidi="ar"/>
                    </w:rPr>
                    <w:t>15</w:t>
                  </w:r>
                  <w:r>
                    <w:rPr>
                      <w:rFonts w:hint="eastAsia" w:ascii="Times New Roman" w:hAnsi="Times New Roman" w:eastAsia="宋体" w:cs="宋体"/>
                      <w:color w:val="auto"/>
                      <w:kern w:val="0"/>
                      <w:sz w:val="18"/>
                      <w:szCs w:val="18"/>
                      <w:highlight w:val="none"/>
                      <w:lang w:val="en-US" w:eastAsia="zh-CN" w:bidi="ar"/>
                    </w:rPr>
                    <w:t>00</w:t>
                  </w:r>
                </w:p>
              </w:tc>
              <w:tc>
                <w:tcPr>
                  <w:tcW w:w="1270" w:type="dxa"/>
                  <w:noWrap w:val="0"/>
                  <w:vAlign w:val="center"/>
                </w:tcPr>
                <w:p w14:paraId="4ADDBF2D">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1①</w:t>
                  </w:r>
                </w:p>
              </w:tc>
              <w:tc>
                <w:tcPr>
                  <w:tcW w:w="1165" w:type="dxa"/>
                  <w:noWrap w:val="0"/>
                  <w:vAlign w:val="center"/>
                </w:tcPr>
                <w:p w14:paraId="3212786B">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0.6</w:t>
                  </w:r>
                </w:p>
              </w:tc>
              <w:tc>
                <w:tcPr>
                  <w:tcW w:w="1581" w:type="dxa"/>
                  <w:noWrap w:val="0"/>
                  <w:vAlign w:val="center"/>
                </w:tcPr>
                <w:p w14:paraId="0E614087">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13000</w:t>
                  </w:r>
                </w:p>
              </w:tc>
              <w:tc>
                <w:tcPr>
                  <w:tcW w:w="1278" w:type="dxa"/>
                  <w:vMerge w:val="restart"/>
                  <w:noWrap w:val="0"/>
                  <w:vAlign w:val="center"/>
                </w:tcPr>
                <w:p w14:paraId="0032B355">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18686.2</w:t>
                  </w:r>
                </w:p>
              </w:tc>
            </w:tr>
            <w:tr w14:paraId="11E6B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82" w:type="dxa"/>
                  <w:noWrap w:val="0"/>
                  <w:vAlign w:val="center"/>
                </w:tcPr>
                <w:p w14:paraId="199C9F3F">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2</w:t>
                  </w:r>
                </w:p>
              </w:tc>
              <w:tc>
                <w:tcPr>
                  <w:tcW w:w="1740" w:type="dxa"/>
                  <w:noWrap w:val="0"/>
                  <w:vAlign w:val="center"/>
                </w:tcPr>
                <w:p w14:paraId="6BCCFDFE">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除气除渣废气排气管道</w:t>
                  </w:r>
                </w:p>
              </w:tc>
              <w:tc>
                <w:tcPr>
                  <w:tcW w:w="1442" w:type="dxa"/>
                  <w:noWrap w:val="0"/>
                  <w:vAlign w:val="center"/>
                </w:tcPr>
                <w:p w14:paraId="31EF4ABB">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R=50</w:t>
                  </w:r>
                </w:p>
              </w:tc>
              <w:tc>
                <w:tcPr>
                  <w:tcW w:w="1270" w:type="dxa"/>
                  <w:noWrap w:val="0"/>
                  <w:vAlign w:val="center"/>
                </w:tcPr>
                <w:p w14:paraId="3961322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2</w:t>
                  </w:r>
                </w:p>
              </w:tc>
              <w:tc>
                <w:tcPr>
                  <w:tcW w:w="1165" w:type="dxa"/>
                  <w:noWrap w:val="0"/>
                  <w:vAlign w:val="center"/>
                </w:tcPr>
                <w:p w14:paraId="01E3802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15</w:t>
                  </w:r>
                </w:p>
              </w:tc>
              <w:tc>
                <w:tcPr>
                  <w:tcW w:w="1581" w:type="dxa"/>
                  <w:noWrap w:val="0"/>
                  <w:vAlign w:val="center"/>
                </w:tcPr>
                <w:p w14:paraId="430CA0F5">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847.8</w:t>
                  </w:r>
                </w:p>
              </w:tc>
              <w:tc>
                <w:tcPr>
                  <w:tcW w:w="1278" w:type="dxa"/>
                  <w:vMerge w:val="continue"/>
                  <w:noWrap w:val="0"/>
                  <w:vAlign w:val="center"/>
                </w:tcPr>
                <w:p w14:paraId="4C99CA4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p>
              </w:tc>
            </w:tr>
            <w:tr w14:paraId="5A16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82" w:type="dxa"/>
                  <w:noWrap w:val="0"/>
                  <w:vAlign w:val="center"/>
                </w:tcPr>
                <w:p w14:paraId="1C87616A">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3</w:t>
                  </w:r>
                </w:p>
              </w:tc>
              <w:tc>
                <w:tcPr>
                  <w:tcW w:w="1740" w:type="dxa"/>
                  <w:noWrap w:val="0"/>
                  <w:vAlign w:val="center"/>
                </w:tcPr>
                <w:p w14:paraId="4365D782">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离心浇铸机开口</w:t>
                  </w:r>
                </w:p>
              </w:tc>
              <w:tc>
                <w:tcPr>
                  <w:tcW w:w="1442" w:type="dxa"/>
                  <w:noWrap w:val="0"/>
                  <w:vAlign w:val="center"/>
                </w:tcPr>
                <w:p w14:paraId="5BD0B7A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w:t>
                  </w:r>
                  <w:r>
                    <w:rPr>
                      <w:rFonts w:hint="eastAsia" w:ascii="Times New Roman" w:hAnsi="Times New Roman" w:eastAsia="宋体" w:cs="宋体"/>
                      <w:color w:val="auto"/>
                      <w:kern w:val="0"/>
                      <w:sz w:val="18"/>
                      <w:szCs w:val="18"/>
                      <w:highlight w:val="none"/>
                      <w:lang w:val="en-US" w:eastAsia="zh-CN" w:bidi="ar"/>
                    </w:rPr>
                    <w:t>00*</w:t>
                  </w:r>
                  <w:r>
                    <w:rPr>
                      <w:rFonts w:hint="eastAsia" w:cs="宋体"/>
                      <w:color w:val="auto"/>
                      <w:kern w:val="0"/>
                      <w:sz w:val="18"/>
                      <w:szCs w:val="18"/>
                      <w:highlight w:val="none"/>
                      <w:lang w:val="en-US" w:eastAsia="zh-CN" w:bidi="ar"/>
                    </w:rPr>
                    <w:t>4</w:t>
                  </w:r>
                  <w:r>
                    <w:rPr>
                      <w:rFonts w:hint="eastAsia" w:ascii="Times New Roman" w:hAnsi="Times New Roman" w:eastAsia="宋体" w:cs="宋体"/>
                      <w:color w:val="auto"/>
                      <w:kern w:val="0"/>
                      <w:sz w:val="18"/>
                      <w:szCs w:val="18"/>
                      <w:highlight w:val="none"/>
                      <w:lang w:val="en-US" w:eastAsia="zh-CN" w:bidi="ar"/>
                    </w:rPr>
                    <w:t>00</w:t>
                  </w:r>
                </w:p>
              </w:tc>
              <w:tc>
                <w:tcPr>
                  <w:tcW w:w="1270" w:type="dxa"/>
                  <w:noWrap w:val="0"/>
                  <w:vAlign w:val="center"/>
                </w:tcPr>
                <w:p w14:paraId="79DF95AB">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4</w:t>
                  </w:r>
                </w:p>
              </w:tc>
              <w:tc>
                <w:tcPr>
                  <w:tcW w:w="1165" w:type="dxa"/>
                  <w:noWrap w:val="0"/>
                  <w:vAlign w:val="center"/>
                </w:tcPr>
                <w:p w14:paraId="3A642C48">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0.6</w:t>
                  </w:r>
                </w:p>
              </w:tc>
              <w:tc>
                <w:tcPr>
                  <w:tcW w:w="1581" w:type="dxa"/>
                  <w:noWrap w:val="0"/>
                  <w:vAlign w:val="center"/>
                </w:tcPr>
                <w:p w14:paraId="7DE75A06">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4838.4</w:t>
                  </w:r>
                </w:p>
              </w:tc>
              <w:tc>
                <w:tcPr>
                  <w:tcW w:w="1278" w:type="dxa"/>
                  <w:vMerge w:val="continue"/>
                  <w:noWrap w:val="0"/>
                  <w:vAlign w:val="center"/>
                </w:tcPr>
                <w:p w14:paraId="5CF8D8AA">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p>
              </w:tc>
            </w:tr>
            <w:tr w14:paraId="07D55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9058" w:type="dxa"/>
                  <w:gridSpan w:val="7"/>
                  <w:noWrap w:val="0"/>
                  <w:vAlign w:val="center"/>
                </w:tcPr>
                <w:p w14:paraId="573B8115">
                  <w:pPr>
                    <w:jc w:val="left"/>
                    <w:rPr>
                      <w:rFonts w:hint="eastAsia"/>
                      <w:b w:val="0"/>
                      <w:bCs/>
                      <w:color w:val="auto"/>
                      <w:sz w:val="18"/>
                      <w:szCs w:val="18"/>
                    </w:rPr>
                  </w:pPr>
                  <w:r>
                    <w:rPr>
                      <w:rFonts w:hint="eastAsia"/>
                      <w:b w:val="0"/>
                      <w:bCs/>
                      <w:color w:val="auto"/>
                      <w:sz w:val="18"/>
                      <w:szCs w:val="18"/>
                    </w:rPr>
                    <w:t>注：①</w:t>
                  </w:r>
                  <w:r>
                    <w:rPr>
                      <w:rFonts w:hint="eastAsia" w:cs="宋体"/>
                      <w:color w:val="auto"/>
                      <w:kern w:val="0"/>
                      <w:sz w:val="18"/>
                      <w:szCs w:val="18"/>
                      <w:highlight w:val="none"/>
                      <w:lang w:val="en-US" w:eastAsia="zh-CN" w:bidi="ar"/>
                    </w:rPr>
                    <w:t>集中熔铝炉</w:t>
                  </w:r>
                  <w:r>
                    <w:rPr>
                      <w:rFonts w:hint="eastAsia"/>
                      <w:b w:val="0"/>
                      <w:bCs/>
                      <w:color w:val="auto"/>
                      <w:sz w:val="18"/>
                      <w:szCs w:val="18"/>
                    </w:rPr>
                    <w:t>单次最多开启两个炉门；</w:t>
                  </w:r>
                </w:p>
                <w:p w14:paraId="6956C873">
                  <w:pPr>
                    <w:jc w:val="left"/>
                    <w:rPr>
                      <w:rFonts w:hint="eastAsia"/>
                      <w:b w:val="0"/>
                      <w:bCs/>
                      <w:color w:val="auto"/>
                      <w:sz w:val="18"/>
                      <w:szCs w:val="18"/>
                    </w:rPr>
                  </w:pPr>
                  <w:r>
                    <w:rPr>
                      <w:rFonts w:hint="eastAsia"/>
                      <w:b w:val="0"/>
                      <w:bCs/>
                      <w:color w:val="auto"/>
                      <w:sz w:val="18"/>
                      <w:szCs w:val="18"/>
                    </w:rPr>
                    <w:t>②集气罩集气风量计算公式为：Q=K（a+b）×h×V</w:t>
                  </w:r>
                  <w:r>
                    <w:rPr>
                      <w:rFonts w:hint="eastAsia"/>
                      <w:b w:val="0"/>
                      <w:bCs/>
                      <w:color w:val="auto"/>
                      <w:sz w:val="18"/>
                      <w:szCs w:val="18"/>
                      <w:vertAlign w:val="subscript"/>
                    </w:rPr>
                    <w:t>0</w:t>
                  </w:r>
                  <w:r>
                    <w:rPr>
                      <w:rFonts w:hint="eastAsia"/>
                      <w:b w:val="0"/>
                      <w:bCs/>
                      <w:color w:val="auto"/>
                      <w:sz w:val="18"/>
                      <w:szCs w:val="18"/>
                    </w:rPr>
                    <w:t>×3600</w:t>
                  </w:r>
                </w:p>
                <w:p w14:paraId="0FFAE7C8">
                  <w:pPr>
                    <w:jc w:val="left"/>
                    <w:rPr>
                      <w:rFonts w:hint="eastAsia"/>
                      <w:b w:val="0"/>
                      <w:bCs/>
                      <w:color w:val="auto"/>
                      <w:sz w:val="18"/>
                      <w:szCs w:val="18"/>
                    </w:rPr>
                  </w:pPr>
                  <w:r>
                    <w:rPr>
                      <w:rFonts w:hint="eastAsia"/>
                      <w:b w:val="0"/>
                      <w:bCs/>
                      <w:color w:val="auto"/>
                      <w:sz w:val="18"/>
                      <w:szCs w:val="18"/>
                    </w:rPr>
                    <w:t>式中：Q为集气罩集气风量，单位为m</w:t>
                  </w:r>
                  <w:r>
                    <w:rPr>
                      <w:rFonts w:hint="eastAsia"/>
                      <w:b w:val="0"/>
                      <w:bCs/>
                      <w:color w:val="auto"/>
                      <w:sz w:val="18"/>
                      <w:szCs w:val="18"/>
                      <w:vertAlign w:val="superscript"/>
                    </w:rPr>
                    <w:t>3</w:t>
                  </w:r>
                  <w:r>
                    <w:rPr>
                      <w:rFonts w:hint="eastAsia"/>
                      <w:b w:val="0"/>
                      <w:bCs/>
                      <w:color w:val="auto"/>
                      <w:sz w:val="18"/>
                      <w:szCs w:val="18"/>
                    </w:rPr>
                    <w:t>/h；K为安全系数1.4；（a+b）为集气罩周长，单位为m；h为罩口至污染源的距离</w:t>
                  </w:r>
                  <w:r>
                    <w:rPr>
                      <w:rFonts w:hint="eastAsia"/>
                      <w:b w:val="0"/>
                      <w:bCs/>
                      <w:color w:val="auto"/>
                      <w:sz w:val="18"/>
                      <w:szCs w:val="18"/>
                      <w:lang w:val="en-US" w:eastAsia="zh-CN"/>
                    </w:rPr>
                    <w:t>取0.2m</w:t>
                  </w:r>
                  <w:r>
                    <w:rPr>
                      <w:rFonts w:hint="eastAsia"/>
                      <w:b w:val="0"/>
                      <w:bCs/>
                      <w:color w:val="auto"/>
                      <w:sz w:val="18"/>
                      <w:szCs w:val="18"/>
                    </w:rPr>
                    <w:t>，单位为m；V</w:t>
                  </w:r>
                  <w:r>
                    <w:rPr>
                      <w:rFonts w:hint="eastAsia"/>
                      <w:b w:val="0"/>
                      <w:bCs/>
                      <w:color w:val="auto"/>
                      <w:sz w:val="18"/>
                      <w:szCs w:val="18"/>
                      <w:vertAlign w:val="subscript"/>
                    </w:rPr>
                    <w:t>0</w:t>
                  </w:r>
                  <w:r>
                    <w:rPr>
                      <w:rFonts w:hint="eastAsia"/>
                      <w:b w:val="0"/>
                      <w:bCs/>
                      <w:color w:val="auto"/>
                      <w:sz w:val="18"/>
                      <w:szCs w:val="18"/>
                    </w:rPr>
                    <w:t>为污染源气体流速。</w:t>
                  </w:r>
                </w:p>
              </w:tc>
            </w:tr>
          </w:tbl>
          <w:p w14:paraId="56A32D33">
            <w:pPr>
              <w:pStyle w:val="402"/>
              <w:widowControl w:val="0"/>
              <w:ind w:firstLine="480"/>
              <w:rPr>
                <w:rFonts w:hint="eastAsia"/>
                <w:color w:val="auto"/>
                <w:highlight w:val="none"/>
              </w:rPr>
            </w:pPr>
            <w:r>
              <w:rPr>
                <w:rFonts w:hint="eastAsia" w:ascii="Times New Roman" w:hAnsi="Times New Roman" w:eastAsia="宋体" w:cs="宋体"/>
                <w:color w:val="auto"/>
                <w:kern w:val="2"/>
                <w:sz w:val="24"/>
                <w:szCs w:val="21"/>
                <w:highlight w:val="none"/>
                <w:lang w:val="en-US" w:eastAsia="zh-CN"/>
              </w:rPr>
              <w:t>经计算，废气共需要风量</w:t>
            </w:r>
            <w:r>
              <w:rPr>
                <w:rFonts w:hint="eastAsia" w:cs="宋体"/>
                <w:color w:val="auto"/>
                <w:kern w:val="2"/>
                <w:sz w:val="24"/>
                <w:szCs w:val="21"/>
                <w:highlight w:val="none"/>
                <w:lang w:val="en-US" w:eastAsia="zh-CN"/>
              </w:rPr>
              <w:t>18686.2</w:t>
            </w:r>
            <w:r>
              <w:rPr>
                <w:rFonts w:hint="eastAsia" w:ascii="Times New Roman" w:hAnsi="Times New Roman" w:eastAsia="宋体" w:cs="宋体"/>
                <w:color w:val="auto"/>
                <w:kern w:val="2"/>
                <w:sz w:val="24"/>
                <w:szCs w:val="21"/>
                <w:highlight w:val="none"/>
                <w:lang w:val="en-US" w:eastAsia="zh-CN"/>
              </w:rPr>
              <w:t>m</w:t>
            </w:r>
            <w:r>
              <w:rPr>
                <w:rFonts w:hint="eastAsia" w:ascii="Times New Roman" w:hAnsi="Times New Roman" w:eastAsia="宋体" w:cs="宋体"/>
                <w:color w:val="auto"/>
                <w:kern w:val="2"/>
                <w:sz w:val="24"/>
                <w:szCs w:val="21"/>
                <w:highlight w:val="none"/>
                <w:vertAlign w:val="superscript"/>
                <w:lang w:val="en-US" w:eastAsia="zh-CN"/>
              </w:rPr>
              <w:t>3</w:t>
            </w:r>
            <w:r>
              <w:rPr>
                <w:rFonts w:hint="eastAsia" w:ascii="Times New Roman" w:hAnsi="Times New Roman" w:eastAsia="宋体" w:cs="宋体"/>
                <w:color w:val="auto"/>
                <w:kern w:val="2"/>
                <w:sz w:val="24"/>
                <w:szCs w:val="21"/>
                <w:highlight w:val="none"/>
                <w:lang w:val="en-US" w:eastAsia="zh-CN"/>
              </w:rPr>
              <w:t>/h，项目拟在各集气罩上方安装电控风阀与设备开机联动，同时考虑风损等因素，项目工艺废气处理设施拟设计规模为</w:t>
            </w:r>
            <w:r>
              <w:rPr>
                <w:rFonts w:hint="eastAsia"/>
                <w:color w:val="auto"/>
                <w:kern w:val="2"/>
                <w:sz w:val="24"/>
                <w:szCs w:val="21"/>
                <w:highlight w:val="none"/>
                <w:lang w:val="en-US" w:eastAsia="zh-CN"/>
              </w:rPr>
              <w:t>22</w:t>
            </w:r>
            <w:r>
              <w:rPr>
                <w:color w:val="auto"/>
                <w:kern w:val="2"/>
                <w:sz w:val="24"/>
                <w:szCs w:val="21"/>
                <w:highlight w:val="none"/>
              </w:rPr>
              <w:t>000m</w:t>
            </w:r>
            <w:r>
              <w:rPr>
                <w:color w:val="auto"/>
                <w:kern w:val="2"/>
                <w:sz w:val="24"/>
                <w:szCs w:val="21"/>
                <w:highlight w:val="none"/>
                <w:vertAlign w:val="superscript"/>
              </w:rPr>
              <w:t>3</w:t>
            </w:r>
            <w:r>
              <w:rPr>
                <w:color w:val="auto"/>
                <w:kern w:val="2"/>
                <w:sz w:val="24"/>
                <w:szCs w:val="21"/>
                <w:highlight w:val="none"/>
              </w:rPr>
              <w:t>/h</w:t>
            </w:r>
            <w:r>
              <w:rPr>
                <w:rFonts w:hint="eastAsia"/>
                <w:color w:val="auto"/>
                <w:highlight w:val="none"/>
              </w:rPr>
              <w:t>。</w:t>
            </w:r>
          </w:p>
          <w:p w14:paraId="69FA29CB">
            <w:pPr>
              <w:pStyle w:val="87"/>
              <w:ind w:left="0" w:firstLine="480" w:firstLineChars="200"/>
              <w:rPr>
                <w:rFonts w:hint="eastAsia"/>
                <w:b w:val="0"/>
                <w:bCs w:val="0"/>
                <w:color w:val="auto"/>
                <w:highlight w:val="none"/>
                <w:lang w:val="en-US" w:eastAsia="zh-CN"/>
              </w:rPr>
            </w:pPr>
            <w:r>
              <w:rPr>
                <w:rFonts w:hint="eastAsia"/>
                <w:b w:val="0"/>
                <w:bCs w:val="0"/>
                <w:color w:val="auto"/>
                <w:highlight w:val="none"/>
                <w:lang w:val="en-US" w:eastAsia="zh-CN"/>
              </w:rPr>
              <w:t>（8）废气收集管道示意图</w:t>
            </w:r>
          </w:p>
          <w:p w14:paraId="2F81F73F">
            <w:pPr>
              <w:pStyle w:val="87"/>
              <w:ind w:left="0" w:firstLine="480" w:firstLineChars="200"/>
              <w:rPr>
                <w:rFonts w:hint="default"/>
                <w:b w:val="0"/>
                <w:bCs w:val="0"/>
                <w:color w:val="auto"/>
                <w:highlight w:val="none"/>
                <w:lang w:val="en-US" w:eastAsia="zh-CN"/>
              </w:rPr>
            </w:pPr>
            <w:r>
              <w:rPr>
                <w:rFonts w:hint="eastAsia"/>
                <w:b w:val="0"/>
                <w:bCs w:val="0"/>
                <w:color w:val="auto"/>
                <w:highlight w:val="none"/>
                <w:lang w:val="en-US" w:eastAsia="zh-CN"/>
              </w:rPr>
              <w:t>根据现有排污许可证排气筒编号，本项目排气筒编号顺延为DA028，废气收集管道示意图如下所示。</w:t>
            </w:r>
          </w:p>
          <w:p w14:paraId="53FCA8F9">
            <w:pPr>
              <w:pStyle w:val="402"/>
              <w:widowControl w:val="0"/>
              <w:ind w:left="0" w:leftChars="0" w:firstLine="0" w:firstLineChars="0"/>
              <w:jc w:val="center"/>
              <w:rPr>
                <w:color w:val="auto"/>
              </w:rPr>
            </w:pPr>
            <w:r>
              <w:drawing>
                <wp:inline distT="0" distB="0" distL="114300" distR="114300">
                  <wp:extent cx="3530600" cy="2891790"/>
                  <wp:effectExtent l="0" t="0" r="12700" b="3810"/>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34"/>
                          <a:stretch>
                            <a:fillRect/>
                          </a:stretch>
                        </pic:blipFill>
                        <pic:spPr>
                          <a:xfrm>
                            <a:off x="0" y="0"/>
                            <a:ext cx="3530600" cy="2891790"/>
                          </a:xfrm>
                          <a:prstGeom prst="rect">
                            <a:avLst/>
                          </a:prstGeom>
                          <a:noFill/>
                          <a:ln>
                            <a:noFill/>
                          </a:ln>
                        </pic:spPr>
                      </pic:pic>
                    </a:graphicData>
                  </a:graphic>
                </wp:inline>
              </w:drawing>
            </w:r>
          </w:p>
          <w:p w14:paraId="762B21D7">
            <w:pPr>
              <w:jc w:val="center"/>
              <w:rPr>
                <w:rFonts w:hint="default" w:eastAsia="黑体"/>
                <w:color w:val="auto"/>
                <w:lang w:val="en-US" w:eastAsia="zh-CN"/>
              </w:rPr>
            </w:pPr>
            <w:r>
              <w:rPr>
                <w:rFonts w:hint="eastAsia" w:ascii="黑体" w:hAnsi="黑体" w:eastAsia="黑体"/>
                <w:color w:val="auto"/>
                <w:szCs w:val="24"/>
                <w:highlight w:val="none"/>
                <w:lang w:val="en-US" w:eastAsia="zh-CN"/>
              </w:rPr>
              <w:t>图</w:t>
            </w:r>
            <w:r>
              <w:rPr>
                <w:rFonts w:eastAsia="黑体"/>
                <w:color w:val="auto"/>
                <w:szCs w:val="24"/>
                <w:highlight w:val="none"/>
              </w:rPr>
              <w:t>4-</w:t>
            </w:r>
            <w:r>
              <w:rPr>
                <w:rFonts w:hint="eastAsia" w:eastAsia="黑体"/>
                <w:color w:val="auto"/>
                <w:szCs w:val="24"/>
                <w:highlight w:val="none"/>
                <w:lang w:val="en-US" w:eastAsia="zh-CN"/>
              </w:rPr>
              <w:t>1</w:t>
            </w:r>
            <w:r>
              <w:rPr>
                <w:rFonts w:ascii="黑体" w:hAnsi="黑体" w:eastAsia="黑体"/>
                <w:color w:val="auto"/>
                <w:szCs w:val="24"/>
                <w:highlight w:val="none"/>
              </w:rPr>
              <w:t xml:space="preserve">  </w:t>
            </w:r>
            <w:r>
              <w:rPr>
                <w:rFonts w:hint="eastAsia" w:ascii="黑体" w:hAnsi="黑体" w:eastAsia="黑体"/>
                <w:color w:val="auto"/>
                <w:szCs w:val="24"/>
                <w:highlight w:val="none"/>
                <w:lang w:val="en-US" w:eastAsia="zh-CN"/>
              </w:rPr>
              <w:t>本项目</w:t>
            </w:r>
            <w:r>
              <w:rPr>
                <w:rFonts w:hint="eastAsia" w:eastAsia="黑体" w:cs="Times New Roman"/>
                <w:color w:val="auto"/>
                <w:szCs w:val="24"/>
                <w:highlight w:val="none"/>
                <w:lang w:val="en-US" w:eastAsia="zh-CN"/>
              </w:rPr>
              <w:t>工艺</w:t>
            </w:r>
            <w:r>
              <w:rPr>
                <w:rFonts w:hint="eastAsia" w:ascii="黑体" w:hAnsi="黑体" w:eastAsia="黑体"/>
                <w:color w:val="auto"/>
                <w:szCs w:val="24"/>
                <w:highlight w:val="none"/>
              </w:rPr>
              <w:t>废气</w:t>
            </w:r>
            <w:r>
              <w:rPr>
                <w:rFonts w:hint="eastAsia" w:ascii="黑体" w:hAnsi="黑体" w:eastAsia="黑体"/>
                <w:color w:val="auto"/>
                <w:szCs w:val="24"/>
                <w:highlight w:val="none"/>
                <w:lang w:val="en-US" w:eastAsia="zh-CN"/>
              </w:rPr>
              <w:t>收集管线示意图</w:t>
            </w:r>
          </w:p>
        </w:tc>
      </w:tr>
    </w:tbl>
    <w:p w14:paraId="7BCEF5C9">
      <w:pPr>
        <w:spacing w:line="500" w:lineRule="exact"/>
        <w:jc w:val="center"/>
        <w:rPr>
          <w:bCs/>
          <w:color w:val="auto"/>
          <w:szCs w:val="24"/>
        </w:rPr>
        <w:sectPr>
          <w:pgSz w:w="11907" w:h="16840"/>
          <w:pgMar w:top="1247" w:right="1134" w:bottom="1134" w:left="1247" w:header="680" w:footer="680" w:gutter="0"/>
          <w:cols w:space="720" w:num="1"/>
          <w:docGrid w:linePitch="286" w:charSpace="0"/>
        </w:sectPr>
      </w:pP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3985"/>
      </w:tblGrid>
      <w:tr w14:paraId="44A8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235" w:type="pct"/>
            <w:tcBorders>
              <w:bottom w:val="single" w:color="auto" w:sz="4" w:space="0"/>
            </w:tcBorders>
            <w:vAlign w:val="center"/>
          </w:tcPr>
          <w:p w14:paraId="67D2C553">
            <w:pPr>
              <w:jc w:val="center"/>
              <w:rPr>
                <w:color w:val="auto"/>
                <w:highlight w:val="none"/>
              </w:rPr>
            </w:pPr>
            <w:r>
              <w:rPr>
                <w:rFonts w:hint="eastAsia"/>
                <w:color w:val="auto"/>
                <w:highlight w:val="none"/>
              </w:rPr>
              <w:t>运营期环境影响和保护措施</w:t>
            </w:r>
          </w:p>
        </w:tc>
        <w:tc>
          <w:tcPr>
            <w:tcW w:w="4764" w:type="pct"/>
            <w:tcBorders>
              <w:bottom w:val="single" w:color="auto" w:sz="4" w:space="0"/>
            </w:tcBorders>
          </w:tcPr>
          <w:p w14:paraId="0084126F">
            <w:pPr>
              <w:ind w:firstLine="480" w:firstLineChars="200"/>
              <w:rPr>
                <w:color w:val="auto"/>
                <w:highlight w:val="none"/>
              </w:rPr>
            </w:pPr>
            <w:r>
              <w:rPr>
                <w:color w:val="auto"/>
                <w:highlight w:val="none"/>
              </w:rPr>
              <w:t>综上，本项目废气产生</w:t>
            </w:r>
            <w:r>
              <w:rPr>
                <w:rFonts w:hint="eastAsia"/>
                <w:color w:val="auto"/>
                <w:highlight w:val="none"/>
              </w:rPr>
              <w:t>和排放</w:t>
            </w:r>
            <w:r>
              <w:rPr>
                <w:color w:val="auto"/>
                <w:highlight w:val="none"/>
              </w:rPr>
              <w:t>情况如</w:t>
            </w:r>
            <w:r>
              <w:rPr>
                <w:rFonts w:hint="eastAsia"/>
                <w:color w:val="auto"/>
                <w:highlight w:val="none"/>
              </w:rPr>
              <w:t>下</w:t>
            </w:r>
            <w:r>
              <w:rPr>
                <w:color w:val="auto"/>
                <w:highlight w:val="none"/>
              </w:rPr>
              <w:t>表所示</w:t>
            </w:r>
            <w:r>
              <w:rPr>
                <w:rFonts w:hint="eastAsia"/>
                <w:color w:val="auto"/>
                <w:highlight w:val="none"/>
              </w:rPr>
              <w:t>。</w:t>
            </w:r>
          </w:p>
          <w:p w14:paraId="44596EB0">
            <w:pPr>
              <w:pStyle w:val="417"/>
              <w:rPr>
                <w:color w:val="auto"/>
                <w:highlight w:val="none"/>
              </w:rPr>
            </w:pPr>
            <w:r>
              <w:rPr>
                <w:rFonts w:ascii="黑体" w:hAnsi="黑体" w:eastAsia="黑体"/>
                <w:b w:val="0"/>
                <w:color w:val="auto"/>
                <w:sz w:val="24"/>
                <w:szCs w:val="24"/>
                <w:highlight w:val="none"/>
              </w:rPr>
              <w:t>表</w:t>
            </w:r>
            <w:r>
              <w:rPr>
                <w:rFonts w:eastAsia="黑体" w:cs="Times New Roman"/>
                <w:b w:val="0"/>
                <w:color w:val="auto"/>
                <w:sz w:val="24"/>
                <w:szCs w:val="24"/>
                <w:highlight w:val="none"/>
              </w:rPr>
              <w:t>4-</w:t>
            </w:r>
            <w:r>
              <w:rPr>
                <w:rFonts w:hint="eastAsia" w:eastAsia="黑体" w:cs="Times New Roman"/>
                <w:b w:val="0"/>
                <w:color w:val="auto"/>
                <w:sz w:val="24"/>
                <w:szCs w:val="24"/>
                <w:highlight w:val="none"/>
                <w:lang w:val="en-US" w:eastAsia="zh-CN"/>
              </w:rPr>
              <w:t>4</w:t>
            </w:r>
            <w:r>
              <w:rPr>
                <w:rFonts w:ascii="黑体" w:hAnsi="黑体" w:eastAsia="黑体"/>
                <w:b w:val="0"/>
                <w:color w:val="auto"/>
                <w:sz w:val="24"/>
                <w:szCs w:val="24"/>
                <w:highlight w:val="none"/>
              </w:rPr>
              <w:t xml:space="preserve">  </w:t>
            </w:r>
            <w:r>
              <w:rPr>
                <w:rFonts w:hint="eastAsia" w:ascii="黑体" w:hAnsi="黑体" w:eastAsia="黑体"/>
                <w:b w:val="0"/>
                <w:color w:val="auto"/>
                <w:sz w:val="24"/>
                <w:szCs w:val="24"/>
                <w:highlight w:val="none"/>
              </w:rPr>
              <w:t>拟建项目</w:t>
            </w:r>
            <w:r>
              <w:rPr>
                <w:rFonts w:ascii="黑体" w:hAnsi="黑体" w:eastAsia="黑体"/>
                <w:b w:val="0"/>
                <w:color w:val="auto"/>
                <w:sz w:val="24"/>
                <w:szCs w:val="24"/>
                <w:highlight w:val="none"/>
              </w:rPr>
              <w:t>废气</w:t>
            </w:r>
            <w:r>
              <w:rPr>
                <w:rFonts w:hint="eastAsia" w:ascii="黑体" w:hAnsi="黑体" w:eastAsia="黑体"/>
                <w:b w:val="0"/>
                <w:color w:val="auto"/>
                <w:sz w:val="24"/>
                <w:szCs w:val="24"/>
                <w:highlight w:val="none"/>
              </w:rPr>
              <w:t>产生、治理及排放情况</w:t>
            </w:r>
            <w:r>
              <w:rPr>
                <w:rFonts w:ascii="黑体" w:hAnsi="黑体" w:eastAsia="黑体"/>
                <w:b w:val="0"/>
                <w:color w:val="auto"/>
                <w:sz w:val="24"/>
                <w:szCs w:val="24"/>
                <w:highlight w:val="none"/>
              </w:rPr>
              <w:t>一览表</w:t>
            </w:r>
          </w:p>
          <w:tbl>
            <w:tblPr>
              <w:tblStyle w:val="69"/>
              <w:tblW w:w="13764" w:type="dxa"/>
              <w:tblInd w:w="0" w:type="dxa"/>
              <w:tblLayout w:type="fixed"/>
              <w:tblCellMar>
                <w:top w:w="0" w:type="dxa"/>
                <w:left w:w="108" w:type="dxa"/>
                <w:bottom w:w="0" w:type="dxa"/>
                <w:right w:w="108" w:type="dxa"/>
              </w:tblCellMar>
            </w:tblPr>
            <w:tblGrid>
              <w:gridCol w:w="973"/>
              <w:gridCol w:w="822"/>
              <w:gridCol w:w="975"/>
              <w:gridCol w:w="1084"/>
              <w:gridCol w:w="843"/>
              <w:gridCol w:w="827"/>
              <w:gridCol w:w="866"/>
              <w:gridCol w:w="1013"/>
              <w:gridCol w:w="1113"/>
              <w:gridCol w:w="761"/>
              <w:gridCol w:w="670"/>
              <w:gridCol w:w="700"/>
              <w:gridCol w:w="762"/>
              <w:gridCol w:w="842"/>
              <w:gridCol w:w="892"/>
              <w:gridCol w:w="621"/>
            </w:tblGrid>
            <w:tr w14:paraId="4866E7AA">
              <w:tblPrEx>
                <w:tblCellMar>
                  <w:top w:w="0" w:type="dxa"/>
                  <w:left w:w="108" w:type="dxa"/>
                  <w:bottom w:w="0" w:type="dxa"/>
                  <w:right w:w="108" w:type="dxa"/>
                </w:tblCellMar>
              </w:tblPrEx>
              <w:trPr>
                <w:trHeight w:val="340" w:hRule="atLeast"/>
              </w:trPr>
              <w:tc>
                <w:tcPr>
                  <w:tcW w:w="9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49B9">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产排污环节</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51F3">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排放形式</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B315">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污染物</w:t>
                  </w:r>
                </w:p>
              </w:tc>
              <w:tc>
                <w:tcPr>
                  <w:tcW w:w="10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D4F6">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排气筒编号及高度</w:t>
                  </w:r>
                </w:p>
              </w:tc>
              <w:tc>
                <w:tcPr>
                  <w:tcW w:w="8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749D2">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风量</w:t>
                  </w:r>
                  <w:r>
                    <w:rPr>
                      <w:color w:val="auto"/>
                      <w:kern w:val="0"/>
                      <w:sz w:val="18"/>
                      <w:szCs w:val="18"/>
                      <w:highlight w:val="none"/>
                      <w:lang w:bidi="ar"/>
                    </w:rPr>
                    <w:t>m</w:t>
                  </w:r>
                  <w:r>
                    <w:rPr>
                      <w:color w:val="auto"/>
                      <w:kern w:val="0"/>
                      <w:sz w:val="18"/>
                      <w:szCs w:val="18"/>
                      <w:highlight w:val="none"/>
                      <w:vertAlign w:val="superscript"/>
                      <w:lang w:bidi="ar"/>
                    </w:rPr>
                    <w:t>3</w:t>
                  </w:r>
                  <w:r>
                    <w:rPr>
                      <w:color w:val="auto"/>
                      <w:kern w:val="0"/>
                      <w:sz w:val="18"/>
                      <w:szCs w:val="18"/>
                      <w:highlight w:val="none"/>
                      <w:lang w:bidi="ar"/>
                    </w:rPr>
                    <w:t>/h</w:t>
                  </w:r>
                </w:p>
              </w:tc>
              <w:tc>
                <w:tcPr>
                  <w:tcW w:w="270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9E9F4">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污染物产生</w:t>
                  </w:r>
                </w:p>
              </w:tc>
              <w:tc>
                <w:tcPr>
                  <w:tcW w:w="111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AAEF">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治理措施</w:t>
                  </w:r>
                </w:p>
              </w:tc>
              <w:tc>
                <w:tcPr>
                  <w:tcW w:w="7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E3401E">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工作时间（</w:t>
                  </w:r>
                  <w:r>
                    <w:rPr>
                      <w:color w:val="auto"/>
                      <w:kern w:val="0"/>
                      <w:sz w:val="18"/>
                      <w:szCs w:val="18"/>
                      <w:highlight w:val="none"/>
                      <w:lang w:bidi="ar"/>
                    </w:rPr>
                    <w:t>h/a</w:t>
                  </w:r>
                  <w:r>
                    <w:rPr>
                      <w:rFonts w:hint="eastAsia" w:cs="宋体"/>
                      <w:color w:val="auto"/>
                      <w:kern w:val="0"/>
                      <w:sz w:val="18"/>
                      <w:szCs w:val="18"/>
                      <w:highlight w:val="none"/>
                      <w:lang w:bidi="ar"/>
                    </w:rPr>
                    <w:t>）</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DC67C">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收集效率</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DA57">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处理效率</w:t>
                  </w:r>
                </w:p>
              </w:tc>
              <w:tc>
                <w:tcPr>
                  <w:tcW w:w="2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0218">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污染物排放</w:t>
                  </w:r>
                </w:p>
              </w:tc>
              <w:tc>
                <w:tcPr>
                  <w:tcW w:w="621" w:type="dxa"/>
                  <w:vMerge w:val="restart"/>
                  <w:tcBorders>
                    <w:top w:val="single" w:color="000000" w:sz="4" w:space="0"/>
                    <w:left w:val="single" w:color="000000" w:sz="4" w:space="0"/>
                    <w:right w:val="single" w:color="000000" w:sz="4" w:space="0"/>
                  </w:tcBorders>
                  <w:shd w:val="clear" w:color="auto" w:fill="auto"/>
                  <w:noWrap/>
                  <w:vAlign w:val="center"/>
                </w:tcPr>
                <w:p w14:paraId="38BABACE">
                  <w:pPr>
                    <w:widowControl/>
                    <w:spacing w:line="240" w:lineRule="auto"/>
                    <w:jc w:val="center"/>
                    <w:textAlignment w:val="center"/>
                    <w:rPr>
                      <w:rFonts w:hint="default"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达标情况</w:t>
                  </w:r>
                </w:p>
              </w:tc>
            </w:tr>
            <w:tr w14:paraId="187AC78B">
              <w:tblPrEx>
                <w:tblCellMar>
                  <w:top w:w="0" w:type="dxa"/>
                  <w:left w:w="108" w:type="dxa"/>
                  <w:bottom w:w="0" w:type="dxa"/>
                  <w:right w:w="108" w:type="dxa"/>
                </w:tblCellMar>
              </w:tblPrEx>
              <w:trPr>
                <w:trHeight w:val="340" w:hRule="atLeast"/>
              </w:trPr>
              <w:tc>
                <w:tcPr>
                  <w:tcW w:w="9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7FE1F">
                  <w:pPr>
                    <w:widowControl/>
                    <w:spacing w:line="240" w:lineRule="auto"/>
                    <w:jc w:val="center"/>
                    <w:rPr>
                      <w:rFonts w:cs="宋体"/>
                      <w:color w:val="auto"/>
                      <w:sz w:val="18"/>
                      <w:szCs w:val="18"/>
                      <w:highlight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C4C9D">
                  <w:pPr>
                    <w:widowControl/>
                    <w:spacing w:line="240" w:lineRule="auto"/>
                    <w:jc w:val="center"/>
                    <w:rPr>
                      <w:rFonts w:cs="宋体"/>
                      <w:color w:val="auto"/>
                      <w:sz w:val="18"/>
                      <w:szCs w:val="18"/>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9D65B">
                  <w:pPr>
                    <w:widowControl/>
                    <w:spacing w:line="240" w:lineRule="auto"/>
                    <w:jc w:val="center"/>
                    <w:rPr>
                      <w:rFonts w:cs="宋体"/>
                      <w:color w:val="auto"/>
                      <w:sz w:val="18"/>
                      <w:szCs w:val="18"/>
                      <w:highlight w:val="none"/>
                    </w:rPr>
                  </w:pP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A938">
                  <w:pPr>
                    <w:widowControl/>
                    <w:spacing w:line="240" w:lineRule="auto"/>
                    <w:jc w:val="center"/>
                    <w:rPr>
                      <w:rFonts w:cs="宋体"/>
                      <w:color w:val="auto"/>
                      <w:sz w:val="18"/>
                      <w:szCs w:val="18"/>
                      <w:highlight w:val="none"/>
                    </w:rPr>
                  </w:pPr>
                </w:p>
              </w:tc>
              <w:tc>
                <w:tcPr>
                  <w:tcW w:w="8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ACB8">
                  <w:pPr>
                    <w:widowControl/>
                    <w:spacing w:line="240" w:lineRule="auto"/>
                    <w:jc w:val="center"/>
                    <w:rPr>
                      <w:rFonts w:cs="宋体"/>
                      <w:color w:val="auto"/>
                      <w:sz w:val="18"/>
                      <w:szCs w:val="18"/>
                      <w:highlight w:val="none"/>
                    </w:rPr>
                  </w:pP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CC65">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产生量</w:t>
                  </w:r>
                  <w:r>
                    <w:rPr>
                      <w:color w:val="auto"/>
                      <w:kern w:val="0"/>
                      <w:sz w:val="18"/>
                      <w:szCs w:val="18"/>
                      <w:highlight w:val="none"/>
                      <w:lang w:bidi="ar"/>
                    </w:rPr>
                    <w:t>(t/a)</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E0BF">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产生速率（</w:t>
                  </w:r>
                  <w:r>
                    <w:rPr>
                      <w:color w:val="auto"/>
                      <w:kern w:val="0"/>
                      <w:sz w:val="18"/>
                      <w:szCs w:val="18"/>
                      <w:highlight w:val="none"/>
                      <w:lang w:bidi="ar"/>
                    </w:rPr>
                    <w:t>kg/h</w:t>
                  </w:r>
                  <w:r>
                    <w:rPr>
                      <w:rFonts w:hint="eastAsia" w:cs="宋体"/>
                      <w:color w:val="auto"/>
                      <w:kern w:val="0"/>
                      <w:sz w:val="18"/>
                      <w:szCs w:val="18"/>
                      <w:highlight w:val="none"/>
                      <w:lang w:bidi="ar"/>
                    </w:rPr>
                    <w:t>）</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B572">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产生浓度</w:t>
                  </w:r>
                  <w:r>
                    <w:rPr>
                      <w:color w:val="auto"/>
                      <w:kern w:val="0"/>
                      <w:sz w:val="18"/>
                      <w:szCs w:val="18"/>
                      <w:highlight w:val="none"/>
                      <w:lang w:bidi="ar"/>
                    </w:rPr>
                    <w:t>(mg/m</w:t>
                  </w:r>
                  <w:r>
                    <w:rPr>
                      <w:color w:val="auto"/>
                      <w:kern w:val="0"/>
                      <w:sz w:val="18"/>
                      <w:szCs w:val="18"/>
                      <w:highlight w:val="none"/>
                      <w:vertAlign w:val="superscript"/>
                      <w:lang w:bidi="ar"/>
                    </w:rPr>
                    <w:t>3</w:t>
                  </w:r>
                  <w:r>
                    <w:rPr>
                      <w:color w:val="auto"/>
                      <w:kern w:val="0"/>
                      <w:sz w:val="18"/>
                      <w:szCs w:val="18"/>
                      <w:highlight w:val="none"/>
                      <w:lang w:bidi="ar"/>
                    </w:rPr>
                    <w:t>)</w:t>
                  </w:r>
                </w:p>
              </w:tc>
              <w:tc>
                <w:tcPr>
                  <w:tcW w:w="1113"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14:paraId="1BA32F4C">
                  <w:pPr>
                    <w:widowControl/>
                    <w:spacing w:line="240" w:lineRule="auto"/>
                    <w:jc w:val="center"/>
                    <w:rPr>
                      <w:rFonts w:cs="宋体"/>
                      <w:color w:val="auto"/>
                      <w:sz w:val="18"/>
                      <w:szCs w:val="18"/>
                      <w:highlight w:val="none"/>
                    </w:rPr>
                  </w:pPr>
                </w:p>
              </w:tc>
              <w:tc>
                <w:tcPr>
                  <w:tcW w:w="761"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C47A4C0">
                  <w:pPr>
                    <w:widowControl/>
                    <w:spacing w:line="240" w:lineRule="auto"/>
                    <w:jc w:val="center"/>
                    <w:rPr>
                      <w:rFonts w:cs="宋体"/>
                      <w:color w:val="auto"/>
                      <w:sz w:val="18"/>
                      <w:szCs w:val="18"/>
                      <w:highlight w:val="none"/>
                    </w:rPr>
                  </w:pPr>
                </w:p>
              </w:tc>
              <w:tc>
                <w:tcPr>
                  <w:tcW w:w="670"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14:paraId="772391CF">
                  <w:pPr>
                    <w:widowControl/>
                    <w:spacing w:line="240" w:lineRule="auto"/>
                    <w:jc w:val="center"/>
                    <w:rPr>
                      <w:rFonts w:cs="宋体"/>
                      <w:color w:val="auto"/>
                      <w:sz w:val="18"/>
                      <w:szCs w:val="18"/>
                      <w:highlight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4BAAB">
                  <w:pPr>
                    <w:widowControl/>
                    <w:spacing w:line="240" w:lineRule="auto"/>
                    <w:jc w:val="center"/>
                    <w:rPr>
                      <w:rFonts w:cs="宋体"/>
                      <w:color w:val="auto"/>
                      <w:sz w:val="18"/>
                      <w:szCs w:val="18"/>
                      <w:highlight w:val="none"/>
                    </w:rPr>
                  </w:pP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6CF16">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排放量</w:t>
                  </w:r>
                  <w:r>
                    <w:rPr>
                      <w:color w:val="auto"/>
                      <w:kern w:val="0"/>
                      <w:sz w:val="18"/>
                      <w:szCs w:val="18"/>
                      <w:highlight w:val="none"/>
                      <w:lang w:bidi="ar"/>
                    </w:rPr>
                    <w:t>(t/a)</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35AC">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排放速率（</w:t>
                  </w:r>
                  <w:r>
                    <w:rPr>
                      <w:color w:val="auto"/>
                      <w:kern w:val="0"/>
                      <w:sz w:val="18"/>
                      <w:szCs w:val="18"/>
                      <w:highlight w:val="none"/>
                      <w:lang w:bidi="ar"/>
                    </w:rPr>
                    <w:t>kg/h</w:t>
                  </w:r>
                  <w:r>
                    <w:rPr>
                      <w:rFonts w:hint="eastAsia" w:cs="宋体"/>
                      <w:color w:val="auto"/>
                      <w:kern w:val="0"/>
                      <w:sz w:val="18"/>
                      <w:szCs w:val="18"/>
                      <w:highlight w:val="none"/>
                      <w:lang w:bidi="ar"/>
                    </w:rPr>
                    <w:t>）</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D755">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排放浓度</w:t>
                  </w:r>
                  <w:r>
                    <w:rPr>
                      <w:color w:val="auto"/>
                      <w:kern w:val="0"/>
                      <w:sz w:val="18"/>
                      <w:szCs w:val="18"/>
                      <w:highlight w:val="none"/>
                      <w:lang w:bidi="ar"/>
                    </w:rPr>
                    <w:t>(mg/m</w:t>
                  </w:r>
                  <w:r>
                    <w:rPr>
                      <w:color w:val="auto"/>
                      <w:kern w:val="0"/>
                      <w:sz w:val="18"/>
                      <w:szCs w:val="18"/>
                      <w:highlight w:val="none"/>
                      <w:vertAlign w:val="superscript"/>
                      <w:lang w:bidi="ar"/>
                    </w:rPr>
                    <w:t>3</w:t>
                  </w:r>
                  <w:r>
                    <w:rPr>
                      <w:color w:val="auto"/>
                      <w:kern w:val="0"/>
                      <w:sz w:val="18"/>
                      <w:szCs w:val="18"/>
                      <w:highlight w:val="none"/>
                      <w:lang w:bidi="ar"/>
                    </w:rPr>
                    <w:t>)</w:t>
                  </w:r>
                </w:p>
              </w:tc>
              <w:tc>
                <w:tcPr>
                  <w:tcW w:w="621" w:type="dxa"/>
                  <w:vMerge w:val="continue"/>
                  <w:tcBorders>
                    <w:left w:val="single" w:color="000000" w:sz="4" w:space="0"/>
                    <w:bottom w:val="single" w:color="000000" w:sz="4" w:space="0"/>
                    <w:right w:val="single" w:color="000000" w:sz="4" w:space="0"/>
                  </w:tcBorders>
                  <w:shd w:val="clear" w:color="auto" w:fill="auto"/>
                  <w:vAlign w:val="center"/>
                </w:tcPr>
                <w:p w14:paraId="72E0C146">
                  <w:pPr>
                    <w:widowControl/>
                    <w:spacing w:line="240" w:lineRule="auto"/>
                    <w:jc w:val="center"/>
                    <w:textAlignment w:val="center"/>
                    <w:rPr>
                      <w:rFonts w:hint="eastAsia" w:cs="宋体"/>
                      <w:color w:val="auto"/>
                      <w:kern w:val="0"/>
                      <w:sz w:val="18"/>
                      <w:szCs w:val="18"/>
                      <w:highlight w:val="none"/>
                      <w:lang w:bidi="ar"/>
                    </w:rPr>
                  </w:pPr>
                </w:p>
              </w:tc>
            </w:tr>
            <w:tr w14:paraId="0C88269C">
              <w:tblPrEx>
                <w:tblCellMar>
                  <w:top w:w="0" w:type="dxa"/>
                  <w:left w:w="108" w:type="dxa"/>
                  <w:bottom w:w="0" w:type="dxa"/>
                  <w:right w:w="108" w:type="dxa"/>
                </w:tblCellMar>
              </w:tblPrEx>
              <w:trPr>
                <w:trHeight w:val="340" w:hRule="atLeast"/>
              </w:trPr>
              <w:tc>
                <w:tcPr>
                  <w:tcW w:w="973" w:type="dxa"/>
                  <w:vMerge w:val="restart"/>
                  <w:tcBorders>
                    <w:top w:val="single" w:color="auto" w:sz="4" w:space="0"/>
                    <w:left w:val="single" w:color="auto" w:sz="4" w:space="0"/>
                    <w:right w:val="single" w:color="auto" w:sz="4" w:space="0"/>
                  </w:tcBorders>
                  <w:shd w:val="clear" w:color="auto" w:fill="auto"/>
                  <w:noWrap/>
                  <w:vAlign w:val="center"/>
                </w:tcPr>
                <w:p w14:paraId="709AF6F4">
                  <w:pPr>
                    <w:widowControl/>
                    <w:spacing w:line="240" w:lineRule="auto"/>
                    <w:jc w:val="center"/>
                    <w:rPr>
                      <w:rFonts w:hint="default" w:eastAsia="宋体" w:cs="宋体"/>
                      <w:color w:val="auto"/>
                      <w:sz w:val="18"/>
                      <w:szCs w:val="18"/>
                      <w:highlight w:val="none"/>
                      <w:lang w:val="en-US" w:eastAsia="zh-CN"/>
                    </w:rPr>
                  </w:pPr>
                  <w:r>
                    <w:rPr>
                      <w:rFonts w:hint="eastAsia" w:ascii="Times New Roman" w:hAnsi="Times New Roman" w:eastAsia="宋体" w:cs="宋体"/>
                      <w:color w:val="auto"/>
                      <w:kern w:val="0"/>
                      <w:sz w:val="18"/>
                      <w:szCs w:val="18"/>
                      <w:highlight w:val="none"/>
                      <w:lang w:bidi="ar"/>
                    </w:rPr>
                    <w:t>熔化、扒渣、除气除渣</w:t>
                  </w:r>
                  <w:r>
                    <w:rPr>
                      <w:rFonts w:hint="eastAsia" w:cs="宋体"/>
                      <w:color w:val="auto"/>
                      <w:kern w:val="0"/>
                      <w:sz w:val="18"/>
                      <w:szCs w:val="18"/>
                      <w:highlight w:val="none"/>
                      <w:lang w:eastAsia="zh-CN" w:bidi="ar"/>
                    </w:rPr>
                    <w:t>、</w:t>
                  </w:r>
                  <w:r>
                    <w:rPr>
                      <w:rFonts w:hint="eastAsia" w:cs="宋体"/>
                      <w:color w:val="auto"/>
                      <w:kern w:val="0"/>
                      <w:sz w:val="18"/>
                      <w:szCs w:val="18"/>
                      <w:highlight w:val="none"/>
                      <w:lang w:val="en-US" w:eastAsia="zh-CN" w:bidi="ar"/>
                    </w:rPr>
                    <w:t>离心浇铸</w:t>
                  </w:r>
                </w:p>
              </w:tc>
              <w:tc>
                <w:tcPr>
                  <w:tcW w:w="822" w:type="dxa"/>
                  <w:vMerge w:val="restart"/>
                  <w:tcBorders>
                    <w:top w:val="single" w:color="auto" w:sz="4" w:space="0"/>
                    <w:left w:val="single" w:color="auto" w:sz="4" w:space="0"/>
                    <w:right w:val="single" w:color="auto" w:sz="4" w:space="0"/>
                  </w:tcBorders>
                  <w:shd w:val="clear" w:color="auto" w:fill="auto"/>
                  <w:noWrap/>
                  <w:vAlign w:val="center"/>
                </w:tcPr>
                <w:p w14:paraId="564964BB">
                  <w:pPr>
                    <w:widowControl/>
                    <w:spacing w:line="240" w:lineRule="auto"/>
                    <w:jc w:val="center"/>
                    <w:textAlignment w:val="center"/>
                    <w:rPr>
                      <w:rFonts w:cs="宋体"/>
                      <w:color w:val="auto"/>
                      <w:kern w:val="0"/>
                      <w:sz w:val="18"/>
                      <w:szCs w:val="18"/>
                      <w:highlight w:val="none"/>
                      <w:lang w:bidi="ar"/>
                    </w:rPr>
                  </w:pPr>
                  <w:r>
                    <w:rPr>
                      <w:rFonts w:hint="eastAsia" w:cs="宋体"/>
                      <w:color w:val="auto"/>
                      <w:sz w:val="18"/>
                      <w:szCs w:val="18"/>
                      <w:highlight w:val="none"/>
                      <w:lang w:val="en-US" w:eastAsia="zh-CN"/>
                    </w:rPr>
                    <w:t>有组织</w:t>
                  </w: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5EC50">
                  <w:pPr>
                    <w:widowControl/>
                    <w:spacing w:line="240" w:lineRule="auto"/>
                    <w:jc w:val="center"/>
                    <w:rPr>
                      <w:rFonts w:cs="宋体"/>
                      <w:color w:val="auto"/>
                      <w:sz w:val="18"/>
                      <w:szCs w:val="18"/>
                      <w:highlight w:val="none"/>
                    </w:rPr>
                  </w:pPr>
                  <w:r>
                    <w:rPr>
                      <w:rFonts w:hint="eastAsia" w:cs="宋体"/>
                      <w:color w:val="auto"/>
                      <w:kern w:val="0"/>
                      <w:sz w:val="18"/>
                      <w:szCs w:val="18"/>
                      <w:highlight w:val="none"/>
                      <w:lang w:val="en-US" w:eastAsia="zh-CN" w:bidi="ar"/>
                    </w:rPr>
                    <w:t>颗粒物</w:t>
                  </w:r>
                </w:p>
              </w:tc>
              <w:tc>
                <w:tcPr>
                  <w:tcW w:w="1084" w:type="dxa"/>
                  <w:vMerge w:val="restart"/>
                  <w:tcBorders>
                    <w:top w:val="single" w:color="auto" w:sz="4" w:space="0"/>
                    <w:left w:val="single" w:color="auto" w:sz="4" w:space="0"/>
                    <w:right w:val="single" w:color="auto" w:sz="4" w:space="0"/>
                  </w:tcBorders>
                  <w:shd w:val="clear" w:color="auto" w:fill="auto"/>
                  <w:noWrap/>
                  <w:vAlign w:val="center"/>
                </w:tcPr>
                <w:p w14:paraId="3E4DB7B0">
                  <w:pPr>
                    <w:widowControl/>
                    <w:spacing w:line="240" w:lineRule="auto"/>
                    <w:jc w:val="center"/>
                    <w:textAlignment w:val="center"/>
                    <w:rPr>
                      <w:rFonts w:hint="default" w:eastAsia="宋体" w:cs="宋体"/>
                      <w:color w:val="auto"/>
                      <w:sz w:val="18"/>
                      <w:szCs w:val="18"/>
                      <w:highlight w:val="none"/>
                      <w:lang w:val="en-US" w:eastAsia="zh-CN"/>
                    </w:rPr>
                  </w:pPr>
                  <w:r>
                    <w:rPr>
                      <w:rFonts w:hint="eastAsia" w:cs="宋体"/>
                      <w:color w:val="auto"/>
                      <w:sz w:val="18"/>
                      <w:szCs w:val="18"/>
                      <w:highlight w:val="none"/>
                    </w:rPr>
                    <w:t>DA0</w:t>
                  </w:r>
                  <w:r>
                    <w:rPr>
                      <w:rFonts w:hint="eastAsia" w:cs="宋体"/>
                      <w:color w:val="auto"/>
                      <w:sz w:val="18"/>
                      <w:szCs w:val="18"/>
                      <w:highlight w:val="none"/>
                      <w:lang w:val="en-US" w:eastAsia="zh-CN"/>
                    </w:rPr>
                    <w:t>28</w:t>
                  </w:r>
                </w:p>
                <w:p w14:paraId="41758B7D">
                  <w:pPr>
                    <w:widowControl/>
                    <w:spacing w:line="240" w:lineRule="auto"/>
                    <w:jc w:val="center"/>
                    <w:rPr>
                      <w:rFonts w:cs="宋体"/>
                      <w:color w:val="auto"/>
                      <w:sz w:val="18"/>
                      <w:szCs w:val="18"/>
                      <w:highlight w:val="none"/>
                    </w:rPr>
                  </w:pPr>
                  <w:r>
                    <w:rPr>
                      <w:rFonts w:hint="eastAsia" w:cs="宋体"/>
                      <w:color w:val="auto"/>
                      <w:sz w:val="18"/>
                      <w:szCs w:val="18"/>
                      <w:highlight w:val="none"/>
                    </w:rPr>
                    <w:t>（高15m）</w:t>
                  </w:r>
                </w:p>
              </w:tc>
              <w:tc>
                <w:tcPr>
                  <w:tcW w:w="843" w:type="dxa"/>
                  <w:vMerge w:val="restart"/>
                  <w:tcBorders>
                    <w:top w:val="single" w:color="auto" w:sz="4" w:space="0"/>
                    <w:left w:val="single" w:color="auto" w:sz="4" w:space="0"/>
                    <w:right w:val="single" w:color="auto" w:sz="4" w:space="0"/>
                  </w:tcBorders>
                  <w:shd w:val="clear" w:color="auto" w:fill="auto"/>
                  <w:noWrap/>
                  <w:vAlign w:val="center"/>
                </w:tcPr>
                <w:p w14:paraId="50546617">
                  <w:pPr>
                    <w:widowControl/>
                    <w:spacing w:line="240" w:lineRule="auto"/>
                    <w:jc w:val="center"/>
                    <w:textAlignment w:val="center"/>
                    <w:rPr>
                      <w:rFonts w:hint="default"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22000</w:t>
                  </w:r>
                </w:p>
              </w:tc>
              <w:tc>
                <w:tcPr>
                  <w:tcW w:w="8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BBD482">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6.487</w:t>
                  </w:r>
                </w:p>
              </w:tc>
              <w:tc>
                <w:tcPr>
                  <w:tcW w:w="8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F7A528">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1.351</w:t>
                  </w:r>
                </w:p>
              </w:tc>
              <w:tc>
                <w:tcPr>
                  <w:tcW w:w="10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18E1AF">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61.409</w:t>
                  </w:r>
                </w:p>
              </w:tc>
              <w:tc>
                <w:tcPr>
                  <w:tcW w:w="1113" w:type="dxa"/>
                  <w:tcBorders>
                    <w:top w:val="single" w:color="auto" w:sz="4" w:space="0"/>
                    <w:left w:val="single" w:color="auto" w:sz="4" w:space="0"/>
                    <w:bottom w:val="single" w:color="auto" w:sz="4" w:space="0"/>
                    <w:right w:val="single" w:color="auto" w:sz="4" w:space="0"/>
                  </w:tcBorders>
                  <w:shd w:val="clear" w:color="auto" w:fill="auto"/>
                  <w:vAlign w:val="center"/>
                </w:tcPr>
                <w:p w14:paraId="5B7D8A24">
                  <w:pPr>
                    <w:widowControl/>
                    <w:spacing w:line="240" w:lineRule="auto"/>
                    <w:jc w:val="center"/>
                    <w:rPr>
                      <w:rFonts w:cs="宋体"/>
                      <w:color w:val="auto"/>
                      <w:sz w:val="18"/>
                      <w:szCs w:val="18"/>
                      <w:highlight w:val="none"/>
                    </w:rPr>
                  </w:pPr>
                  <w:r>
                    <w:rPr>
                      <w:rFonts w:hint="eastAsia" w:ascii="Times New Roman" w:hAnsi="Times New Roman" w:eastAsia="宋体" w:cs="宋体"/>
                      <w:i w:val="0"/>
                      <w:iCs w:val="0"/>
                      <w:color w:val="auto"/>
                      <w:kern w:val="0"/>
                      <w:sz w:val="18"/>
                      <w:szCs w:val="18"/>
                      <w:highlight w:val="none"/>
                      <w:u w:val="none"/>
                      <w:lang w:val="en-US" w:eastAsia="zh-CN" w:bidi="ar"/>
                    </w:rPr>
                    <w:t>集气罩+</w:t>
                  </w:r>
                  <w:r>
                    <w:rPr>
                      <w:rFonts w:hint="eastAsia" w:cs="宋体"/>
                      <w:i w:val="0"/>
                      <w:iCs w:val="0"/>
                      <w:color w:val="auto"/>
                      <w:kern w:val="0"/>
                      <w:sz w:val="18"/>
                      <w:szCs w:val="18"/>
                      <w:highlight w:val="none"/>
                      <w:u w:val="none"/>
                      <w:lang w:val="en-US" w:eastAsia="zh-CN" w:bidi="ar"/>
                    </w:rPr>
                    <w:t>袋式除尘</w:t>
                  </w:r>
                  <w:r>
                    <w:rPr>
                      <w:rFonts w:hint="eastAsia" w:ascii="Times New Roman" w:hAnsi="Times New Roman" w:eastAsia="宋体" w:cs="宋体"/>
                      <w:i w:val="0"/>
                      <w:iCs w:val="0"/>
                      <w:color w:val="auto"/>
                      <w:kern w:val="0"/>
                      <w:sz w:val="18"/>
                      <w:szCs w:val="18"/>
                      <w:highlight w:val="none"/>
                      <w:u w:val="none"/>
                      <w:lang w:val="en-US" w:eastAsia="zh-CN" w:bidi="ar"/>
                    </w:rPr>
                    <w:t>装置</w:t>
                  </w:r>
                </w:p>
              </w:tc>
              <w:tc>
                <w:tcPr>
                  <w:tcW w:w="76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43A38CD">
                  <w:pPr>
                    <w:widowControl/>
                    <w:spacing w:line="240" w:lineRule="auto"/>
                    <w:jc w:val="center"/>
                    <w:textAlignment w:val="center"/>
                    <w:rPr>
                      <w:rFonts w:hint="default"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4800</w:t>
                  </w:r>
                </w:p>
              </w:tc>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403C4D">
                  <w:pPr>
                    <w:widowControl/>
                    <w:spacing w:line="240" w:lineRule="auto"/>
                    <w:jc w:val="center"/>
                    <w:rPr>
                      <w:rFonts w:cs="宋体"/>
                      <w:color w:val="auto"/>
                      <w:sz w:val="18"/>
                      <w:szCs w:val="18"/>
                      <w:highlight w:val="none"/>
                    </w:rPr>
                  </w:pPr>
                  <w:r>
                    <w:rPr>
                      <w:color w:val="auto"/>
                      <w:kern w:val="0"/>
                      <w:sz w:val="18"/>
                      <w:szCs w:val="18"/>
                      <w:highlight w:val="none"/>
                      <w:lang w:bidi="ar"/>
                    </w:rPr>
                    <w:t>9</w:t>
                  </w:r>
                  <w:r>
                    <w:rPr>
                      <w:rFonts w:hint="eastAsia"/>
                      <w:color w:val="auto"/>
                      <w:kern w:val="0"/>
                      <w:sz w:val="18"/>
                      <w:szCs w:val="18"/>
                      <w:highlight w:val="none"/>
                      <w:lang w:bidi="ar"/>
                    </w:rPr>
                    <w:t>0</w:t>
                  </w:r>
                  <w:r>
                    <w:rPr>
                      <w:color w:val="auto"/>
                      <w:kern w:val="0"/>
                      <w:sz w:val="18"/>
                      <w:szCs w:val="18"/>
                      <w:highlight w:val="none"/>
                      <w:lang w:bidi="ar"/>
                    </w:rPr>
                    <w:t>%</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2E6421">
                  <w:pPr>
                    <w:widowControl/>
                    <w:spacing w:line="240" w:lineRule="auto"/>
                    <w:jc w:val="center"/>
                    <w:textAlignment w:val="center"/>
                    <w:rPr>
                      <w:rFonts w:hint="eastAsia"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98%</w:t>
                  </w:r>
                </w:p>
              </w:tc>
              <w:tc>
                <w:tcPr>
                  <w:tcW w:w="76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59AF39A">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0.130</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2FF8">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0.027</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4FB1">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1.227</w:t>
                  </w:r>
                </w:p>
              </w:tc>
              <w:tc>
                <w:tcPr>
                  <w:tcW w:w="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BDCFC">
                  <w:pPr>
                    <w:widowControl/>
                    <w:spacing w:line="240" w:lineRule="auto"/>
                    <w:jc w:val="center"/>
                    <w:textAlignment w:val="center"/>
                    <w:rPr>
                      <w:rFonts w:hint="eastAsia" w:cs="宋体"/>
                      <w:color w:val="auto"/>
                      <w:kern w:val="0"/>
                      <w:sz w:val="18"/>
                      <w:szCs w:val="18"/>
                      <w:highlight w:val="none"/>
                      <w:lang w:bidi="ar"/>
                    </w:rPr>
                  </w:pPr>
                  <w:r>
                    <w:rPr>
                      <w:rFonts w:hint="eastAsia" w:cs="宋体"/>
                      <w:color w:val="auto"/>
                      <w:kern w:val="0"/>
                      <w:sz w:val="18"/>
                      <w:szCs w:val="18"/>
                      <w:highlight w:val="none"/>
                      <w:lang w:val="en-US" w:eastAsia="zh-CN" w:bidi="ar"/>
                    </w:rPr>
                    <w:t>达标</w:t>
                  </w:r>
                </w:p>
              </w:tc>
            </w:tr>
            <w:tr w14:paraId="61A5220A">
              <w:tblPrEx>
                <w:tblCellMar>
                  <w:top w:w="0" w:type="dxa"/>
                  <w:left w:w="108" w:type="dxa"/>
                  <w:bottom w:w="0" w:type="dxa"/>
                  <w:right w:w="108" w:type="dxa"/>
                </w:tblCellMar>
              </w:tblPrEx>
              <w:trPr>
                <w:trHeight w:val="340" w:hRule="atLeast"/>
              </w:trPr>
              <w:tc>
                <w:tcPr>
                  <w:tcW w:w="973" w:type="dxa"/>
                  <w:vMerge w:val="continue"/>
                  <w:tcBorders>
                    <w:left w:val="single" w:color="auto" w:sz="4" w:space="0"/>
                    <w:right w:val="single" w:color="auto" w:sz="4" w:space="0"/>
                  </w:tcBorders>
                  <w:shd w:val="clear" w:color="auto" w:fill="auto"/>
                  <w:noWrap/>
                  <w:vAlign w:val="center"/>
                </w:tcPr>
                <w:p w14:paraId="7CCBE4D4">
                  <w:pPr>
                    <w:widowControl/>
                    <w:spacing w:line="240" w:lineRule="auto"/>
                    <w:jc w:val="center"/>
                    <w:rPr>
                      <w:rFonts w:hint="default" w:cs="宋体"/>
                      <w:color w:val="auto"/>
                      <w:sz w:val="18"/>
                      <w:szCs w:val="18"/>
                      <w:highlight w:val="none"/>
                      <w:lang w:val="en-US" w:eastAsia="zh-CN"/>
                    </w:rPr>
                  </w:pPr>
                </w:p>
              </w:tc>
              <w:tc>
                <w:tcPr>
                  <w:tcW w:w="822" w:type="dxa"/>
                  <w:vMerge w:val="continue"/>
                  <w:tcBorders>
                    <w:left w:val="single" w:color="auto" w:sz="4" w:space="0"/>
                    <w:right w:val="single" w:color="auto" w:sz="4" w:space="0"/>
                  </w:tcBorders>
                  <w:shd w:val="clear" w:color="auto" w:fill="auto"/>
                  <w:noWrap/>
                  <w:vAlign w:val="center"/>
                </w:tcPr>
                <w:p w14:paraId="7EDDC341">
                  <w:pPr>
                    <w:widowControl/>
                    <w:spacing w:line="240" w:lineRule="auto"/>
                    <w:jc w:val="center"/>
                    <w:textAlignment w:val="center"/>
                    <w:rPr>
                      <w:rFonts w:hint="eastAsia" w:cs="宋体"/>
                      <w:color w:val="auto"/>
                      <w:sz w:val="18"/>
                      <w:szCs w:val="18"/>
                      <w:highlight w:val="none"/>
                      <w:lang w:val="en-US" w:eastAsia="zh-CN"/>
                    </w:rPr>
                  </w:pP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5A4677">
                  <w:pPr>
                    <w:widowControl/>
                    <w:spacing w:line="240" w:lineRule="auto"/>
                    <w:jc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氯化氢</w:t>
                  </w:r>
                </w:p>
              </w:tc>
              <w:tc>
                <w:tcPr>
                  <w:tcW w:w="1084" w:type="dxa"/>
                  <w:vMerge w:val="continue"/>
                  <w:tcBorders>
                    <w:left w:val="single" w:color="auto" w:sz="4" w:space="0"/>
                    <w:right w:val="single" w:color="auto" w:sz="4" w:space="0"/>
                  </w:tcBorders>
                  <w:shd w:val="clear" w:color="auto" w:fill="auto"/>
                  <w:noWrap/>
                  <w:vAlign w:val="center"/>
                </w:tcPr>
                <w:p w14:paraId="08F3F37F">
                  <w:pPr>
                    <w:widowControl/>
                    <w:spacing w:line="240" w:lineRule="auto"/>
                    <w:jc w:val="center"/>
                    <w:rPr>
                      <w:rFonts w:hint="eastAsia" w:cs="宋体"/>
                      <w:color w:val="auto"/>
                      <w:sz w:val="18"/>
                      <w:szCs w:val="18"/>
                      <w:highlight w:val="none"/>
                    </w:rPr>
                  </w:pPr>
                </w:p>
              </w:tc>
              <w:tc>
                <w:tcPr>
                  <w:tcW w:w="843" w:type="dxa"/>
                  <w:vMerge w:val="continue"/>
                  <w:tcBorders>
                    <w:left w:val="single" w:color="auto" w:sz="4" w:space="0"/>
                    <w:right w:val="single" w:color="auto" w:sz="4" w:space="0"/>
                  </w:tcBorders>
                  <w:shd w:val="clear" w:color="auto" w:fill="auto"/>
                  <w:noWrap/>
                  <w:vAlign w:val="center"/>
                </w:tcPr>
                <w:p w14:paraId="63EACB74">
                  <w:pPr>
                    <w:widowControl/>
                    <w:spacing w:line="240" w:lineRule="auto"/>
                    <w:jc w:val="center"/>
                    <w:textAlignment w:val="center"/>
                    <w:rPr>
                      <w:rFonts w:hint="eastAsia"/>
                      <w:color w:val="auto"/>
                      <w:kern w:val="0"/>
                      <w:sz w:val="18"/>
                      <w:szCs w:val="18"/>
                      <w:highlight w:val="none"/>
                      <w:lang w:val="en-US" w:eastAsia="zh-CN" w:bidi="ar"/>
                    </w:rPr>
                  </w:pPr>
                </w:p>
              </w:tc>
              <w:tc>
                <w:tcPr>
                  <w:tcW w:w="8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AA0FA1">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0.002</w:t>
                  </w:r>
                </w:p>
              </w:tc>
              <w:tc>
                <w:tcPr>
                  <w:tcW w:w="8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572DC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0.0004 </w:t>
                  </w:r>
                </w:p>
              </w:tc>
              <w:tc>
                <w:tcPr>
                  <w:tcW w:w="10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8ACCDF">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0.010 </w:t>
                  </w:r>
                </w:p>
              </w:tc>
              <w:tc>
                <w:tcPr>
                  <w:tcW w:w="1113" w:type="dxa"/>
                  <w:tcBorders>
                    <w:top w:val="single" w:color="auto" w:sz="4" w:space="0"/>
                    <w:left w:val="single" w:color="auto" w:sz="4" w:space="0"/>
                    <w:bottom w:val="single" w:color="auto" w:sz="4" w:space="0"/>
                    <w:right w:val="single" w:color="auto" w:sz="4" w:space="0"/>
                  </w:tcBorders>
                  <w:shd w:val="clear" w:color="auto" w:fill="auto"/>
                  <w:vAlign w:val="center"/>
                </w:tcPr>
                <w:p w14:paraId="3A105498">
                  <w:pPr>
                    <w:widowControl/>
                    <w:spacing w:line="240" w:lineRule="auto"/>
                    <w:jc w:val="center"/>
                    <w:rPr>
                      <w:rFonts w:hint="default" w:ascii="Times New Roman" w:hAnsi="Times New Roman" w:eastAsia="宋体" w:cs="宋体"/>
                      <w:i w:val="0"/>
                      <w:iCs w:val="0"/>
                      <w:color w:val="auto"/>
                      <w:kern w:val="0"/>
                      <w:sz w:val="18"/>
                      <w:szCs w:val="18"/>
                      <w:highlight w:val="none"/>
                      <w:u w:val="none"/>
                      <w:lang w:val="en-US" w:eastAsia="zh-CN" w:bidi="ar"/>
                    </w:rPr>
                  </w:pPr>
                  <w:r>
                    <w:rPr>
                      <w:rFonts w:hint="eastAsia" w:cs="宋体"/>
                      <w:i w:val="0"/>
                      <w:iCs w:val="0"/>
                      <w:color w:val="auto"/>
                      <w:kern w:val="0"/>
                      <w:sz w:val="18"/>
                      <w:szCs w:val="18"/>
                      <w:highlight w:val="none"/>
                      <w:u w:val="none"/>
                      <w:lang w:val="en-US" w:eastAsia="zh-CN" w:bidi="ar"/>
                    </w:rPr>
                    <w:t>/</w:t>
                  </w:r>
                </w:p>
              </w:tc>
              <w:tc>
                <w:tcPr>
                  <w:tcW w:w="761"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2DD2250">
                  <w:pPr>
                    <w:widowControl/>
                    <w:spacing w:line="240" w:lineRule="auto"/>
                    <w:jc w:val="center"/>
                    <w:textAlignment w:val="center"/>
                    <w:rPr>
                      <w:rFonts w:hint="eastAsia"/>
                      <w:color w:val="auto"/>
                      <w:kern w:val="0"/>
                      <w:sz w:val="18"/>
                      <w:szCs w:val="18"/>
                      <w:highlight w:val="none"/>
                      <w:lang w:val="en-US" w:eastAsia="zh-CN" w:bidi="ar"/>
                    </w:rPr>
                  </w:pPr>
                </w:p>
              </w:tc>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4A44AF">
                  <w:pPr>
                    <w:widowControl/>
                    <w:spacing w:line="240" w:lineRule="auto"/>
                    <w:jc w:val="center"/>
                    <w:rPr>
                      <w:rFonts w:hint="eastAsia"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83E527">
                  <w:pPr>
                    <w:widowControl/>
                    <w:spacing w:line="240" w:lineRule="auto"/>
                    <w:jc w:val="center"/>
                    <w:textAlignment w:val="center"/>
                    <w:rPr>
                      <w:rFonts w:hint="eastAsia"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w:t>
                  </w:r>
                </w:p>
              </w:tc>
              <w:tc>
                <w:tcPr>
                  <w:tcW w:w="76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11765AF">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0.002</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15DF0">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0.0004 </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597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0.010 </w:t>
                  </w:r>
                </w:p>
              </w:tc>
              <w:tc>
                <w:tcPr>
                  <w:tcW w:w="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72FF3">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达标</w:t>
                  </w:r>
                </w:p>
              </w:tc>
            </w:tr>
            <w:tr w14:paraId="47E4EDA3">
              <w:tblPrEx>
                <w:tblCellMar>
                  <w:top w:w="0" w:type="dxa"/>
                  <w:left w:w="108" w:type="dxa"/>
                  <w:bottom w:w="0" w:type="dxa"/>
                  <w:right w:w="108" w:type="dxa"/>
                </w:tblCellMar>
              </w:tblPrEx>
              <w:trPr>
                <w:trHeight w:val="340" w:hRule="atLeast"/>
              </w:trPr>
              <w:tc>
                <w:tcPr>
                  <w:tcW w:w="973" w:type="dxa"/>
                  <w:vMerge w:val="continue"/>
                  <w:tcBorders>
                    <w:left w:val="single" w:color="auto" w:sz="4" w:space="0"/>
                    <w:bottom w:val="single" w:color="auto" w:sz="4" w:space="0"/>
                    <w:right w:val="single" w:color="auto" w:sz="4" w:space="0"/>
                  </w:tcBorders>
                  <w:shd w:val="clear" w:color="auto" w:fill="auto"/>
                  <w:noWrap/>
                  <w:vAlign w:val="center"/>
                </w:tcPr>
                <w:p w14:paraId="4E86086A">
                  <w:pPr>
                    <w:widowControl/>
                    <w:spacing w:line="240" w:lineRule="auto"/>
                    <w:jc w:val="center"/>
                    <w:rPr>
                      <w:rFonts w:hint="default" w:cs="宋体"/>
                      <w:color w:val="auto"/>
                      <w:sz w:val="18"/>
                      <w:szCs w:val="18"/>
                      <w:highlight w:val="none"/>
                      <w:lang w:val="en-US" w:eastAsia="zh-CN"/>
                    </w:rPr>
                  </w:pPr>
                </w:p>
              </w:tc>
              <w:tc>
                <w:tcPr>
                  <w:tcW w:w="822" w:type="dxa"/>
                  <w:vMerge w:val="continue"/>
                  <w:tcBorders>
                    <w:left w:val="single" w:color="auto" w:sz="4" w:space="0"/>
                    <w:bottom w:val="single" w:color="auto" w:sz="4" w:space="0"/>
                    <w:right w:val="single" w:color="auto" w:sz="4" w:space="0"/>
                  </w:tcBorders>
                  <w:shd w:val="clear" w:color="auto" w:fill="auto"/>
                  <w:noWrap/>
                  <w:vAlign w:val="center"/>
                </w:tcPr>
                <w:p w14:paraId="788A9532">
                  <w:pPr>
                    <w:widowControl/>
                    <w:spacing w:line="240" w:lineRule="auto"/>
                    <w:jc w:val="center"/>
                    <w:textAlignment w:val="center"/>
                    <w:rPr>
                      <w:rFonts w:hint="eastAsia" w:cs="宋体"/>
                      <w:color w:val="auto"/>
                      <w:sz w:val="18"/>
                      <w:szCs w:val="18"/>
                      <w:highlight w:val="none"/>
                      <w:lang w:val="en-US" w:eastAsia="zh-CN"/>
                    </w:rPr>
                  </w:pP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8DAC64">
                  <w:pPr>
                    <w:widowControl/>
                    <w:spacing w:line="240" w:lineRule="auto"/>
                    <w:jc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氟化物</w:t>
                  </w:r>
                </w:p>
              </w:tc>
              <w:tc>
                <w:tcPr>
                  <w:tcW w:w="1084" w:type="dxa"/>
                  <w:vMerge w:val="continue"/>
                  <w:tcBorders>
                    <w:left w:val="single" w:color="auto" w:sz="4" w:space="0"/>
                    <w:bottom w:val="single" w:color="auto" w:sz="4" w:space="0"/>
                    <w:right w:val="single" w:color="auto" w:sz="4" w:space="0"/>
                  </w:tcBorders>
                  <w:shd w:val="clear" w:color="auto" w:fill="auto"/>
                  <w:noWrap/>
                  <w:vAlign w:val="center"/>
                </w:tcPr>
                <w:p w14:paraId="6E010450">
                  <w:pPr>
                    <w:widowControl/>
                    <w:spacing w:line="240" w:lineRule="auto"/>
                    <w:jc w:val="center"/>
                    <w:rPr>
                      <w:rFonts w:hint="eastAsia" w:cs="宋体"/>
                      <w:color w:val="auto"/>
                      <w:sz w:val="18"/>
                      <w:szCs w:val="18"/>
                      <w:highlight w:val="none"/>
                    </w:rPr>
                  </w:pPr>
                </w:p>
              </w:tc>
              <w:tc>
                <w:tcPr>
                  <w:tcW w:w="843" w:type="dxa"/>
                  <w:vMerge w:val="continue"/>
                  <w:tcBorders>
                    <w:left w:val="single" w:color="auto" w:sz="4" w:space="0"/>
                    <w:bottom w:val="single" w:color="auto" w:sz="4" w:space="0"/>
                    <w:right w:val="single" w:color="auto" w:sz="4" w:space="0"/>
                  </w:tcBorders>
                  <w:shd w:val="clear" w:color="auto" w:fill="auto"/>
                  <w:noWrap/>
                  <w:vAlign w:val="center"/>
                </w:tcPr>
                <w:p w14:paraId="632D7372">
                  <w:pPr>
                    <w:widowControl/>
                    <w:spacing w:line="240" w:lineRule="auto"/>
                    <w:jc w:val="center"/>
                    <w:textAlignment w:val="center"/>
                    <w:rPr>
                      <w:rFonts w:hint="eastAsia"/>
                      <w:color w:val="auto"/>
                      <w:kern w:val="0"/>
                      <w:sz w:val="18"/>
                      <w:szCs w:val="18"/>
                      <w:highlight w:val="none"/>
                      <w:lang w:val="en-US" w:eastAsia="zh-CN" w:bidi="ar"/>
                    </w:rPr>
                  </w:pPr>
                </w:p>
              </w:tc>
              <w:tc>
                <w:tcPr>
                  <w:tcW w:w="8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A723C7">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0.003</w:t>
                  </w:r>
                </w:p>
              </w:tc>
              <w:tc>
                <w:tcPr>
                  <w:tcW w:w="8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6B6E90">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0.0006 </w:t>
                  </w:r>
                </w:p>
              </w:tc>
              <w:tc>
                <w:tcPr>
                  <w:tcW w:w="10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C3CBE7">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0.015 </w:t>
                  </w:r>
                </w:p>
              </w:tc>
              <w:tc>
                <w:tcPr>
                  <w:tcW w:w="1113" w:type="dxa"/>
                  <w:tcBorders>
                    <w:top w:val="single" w:color="auto" w:sz="4" w:space="0"/>
                    <w:left w:val="single" w:color="auto" w:sz="4" w:space="0"/>
                    <w:bottom w:val="single" w:color="auto" w:sz="4" w:space="0"/>
                    <w:right w:val="single" w:color="auto" w:sz="4" w:space="0"/>
                  </w:tcBorders>
                  <w:shd w:val="clear" w:color="auto" w:fill="auto"/>
                  <w:vAlign w:val="center"/>
                </w:tcPr>
                <w:p w14:paraId="25FB5408">
                  <w:pPr>
                    <w:widowControl/>
                    <w:spacing w:line="240" w:lineRule="auto"/>
                    <w:jc w:val="center"/>
                    <w:rPr>
                      <w:rFonts w:hint="default" w:ascii="Times New Roman" w:hAnsi="Times New Roman" w:eastAsia="宋体" w:cs="宋体"/>
                      <w:i w:val="0"/>
                      <w:iCs w:val="0"/>
                      <w:color w:val="auto"/>
                      <w:kern w:val="0"/>
                      <w:sz w:val="18"/>
                      <w:szCs w:val="18"/>
                      <w:highlight w:val="none"/>
                      <w:u w:val="none"/>
                      <w:lang w:val="en-US" w:eastAsia="zh-CN" w:bidi="ar"/>
                    </w:rPr>
                  </w:pPr>
                  <w:r>
                    <w:rPr>
                      <w:rFonts w:hint="eastAsia" w:cs="宋体"/>
                      <w:i w:val="0"/>
                      <w:iCs w:val="0"/>
                      <w:color w:val="auto"/>
                      <w:kern w:val="0"/>
                      <w:sz w:val="18"/>
                      <w:szCs w:val="18"/>
                      <w:highlight w:val="none"/>
                      <w:u w:val="none"/>
                      <w:lang w:val="en-US" w:eastAsia="zh-CN" w:bidi="ar"/>
                    </w:rPr>
                    <w:t>/</w:t>
                  </w:r>
                </w:p>
              </w:tc>
              <w:tc>
                <w:tcPr>
                  <w:tcW w:w="761"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A0F6A5E">
                  <w:pPr>
                    <w:widowControl/>
                    <w:spacing w:line="240" w:lineRule="auto"/>
                    <w:jc w:val="center"/>
                    <w:textAlignment w:val="center"/>
                    <w:rPr>
                      <w:rFonts w:hint="eastAsia"/>
                      <w:color w:val="auto"/>
                      <w:kern w:val="0"/>
                      <w:sz w:val="18"/>
                      <w:szCs w:val="18"/>
                      <w:highlight w:val="none"/>
                      <w:lang w:val="en-US" w:eastAsia="zh-CN" w:bidi="ar"/>
                    </w:rPr>
                  </w:pPr>
                </w:p>
              </w:tc>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DAF871">
                  <w:pPr>
                    <w:widowControl/>
                    <w:spacing w:line="240" w:lineRule="auto"/>
                    <w:jc w:val="center"/>
                    <w:rPr>
                      <w:rFonts w:hint="eastAsia"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58C9B7">
                  <w:pPr>
                    <w:widowControl/>
                    <w:spacing w:line="240" w:lineRule="auto"/>
                    <w:jc w:val="center"/>
                    <w:textAlignment w:val="center"/>
                    <w:rPr>
                      <w:rFonts w:hint="eastAsia"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w:t>
                  </w:r>
                </w:p>
              </w:tc>
              <w:tc>
                <w:tcPr>
                  <w:tcW w:w="762"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2CBC579C">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0.003</w:t>
                  </w:r>
                </w:p>
              </w:tc>
              <w:tc>
                <w:tcPr>
                  <w:tcW w:w="84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08CFABA">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0.0006 </w:t>
                  </w:r>
                </w:p>
              </w:tc>
              <w:tc>
                <w:tcPr>
                  <w:tcW w:w="89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B5069FE">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0.015 </w:t>
                  </w:r>
                </w:p>
              </w:tc>
              <w:tc>
                <w:tcPr>
                  <w:tcW w:w="62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E3145C3">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达标</w:t>
                  </w:r>
                </w:p>
              </w:tc>
            </w:tr>
            <w:tr w14:paraId="7D854053">
              <w:tblPrEx>
                <w:tblCellMar>
                  <w:top w:w="0" w:type="dxa"/>
                  <w:left w:w="108" w:type="dxa"/>
                  <w:bottom w:w="0" w:type="dxa"/>
                  <w:right w:w="108" w:type="dxa"/>
                </w:tblCellMar>
              </w:tblPrEx>
              <w:trPr>
                <w:trHeight w:val="340" w:hRule="atLeast"/>
              </w:trPr>
              <w:tc>
                <w:tcPr>
                  <w:tcW w:w="973" w:type="dxa"/>
                  <w:vMerge w:val="restart"/>
                  <w:tcBorders>
                    <w:top w:val="single" w:color="auto" w:sz="4" w:space="0"/>
                    <w:left w:val="single" w:color="auto" w:sz="4" w:space="0"/>
                    <w:right w:val="single" w:color="auto" w:sz="4" w:space="0"/>
                  </w:tcBorders>
                  <w:shd w:val="clear" w:color="auto" w:fill="auto"/>
                  <w:noWrap/>
                  <w:vAlign w:val="center"/>
                </w:tcPr>
                <w:p w14:paraId="6446D0C8">
                  <w:pPr>
                    <w:widowControl/>
                    <w:spacing w:line="240" w:lineRule="auto"/>
                    <w:jc w:val="center"/>
                    <w:rPr>
                      <w:rFonts w:cs="宋体"/>
                      <w:color w:val="auto"/>
                      <w:sz w:val="18"/>
                      <w:szCs w:val="18"/>
                      <w:highlight w:val="none"/>
                    </w:rPr>
                  </w:pPr>
                  <w:r>
                    <w:rPr>
                      <w:rFonts w:hint="eastAsia" w:cs="宋体"/>
                      <w:color w:val="auto"/>
                      <w:sz w:val="18"/>
                      <w:szCs w:val="18"/>
                      <w:highlight w:val="none"/>
                    </w:rPr>
                    <w:t>生产车间</w:t>
                  </w:r>
                </w:p>
              </w:tc>
              <w:tc>
                <w:tcPr>
                  <w:tcW w:w="822" w:type="dxa"/>
                  <w:vMerge w:val="restart"/>
                  <w:tcBorders>
                    <w:top w:val="single" w:color="auto" w:sz="4" w:space="0"/>
                    <w:left w:val="single" w:color="auto" w:sz="4" w:space="0"/>
                    <w:right w:val="single" w:color="auto" w:sz="4" w:space="0"/>
                  </w:tcBorders>
                  <w:shd w:val="clear" w:color="auto" w:fill="auto"/>
                  <w:noWrap/>
                  <w:vAlign w:val="center"/>
                </w:tcPr>
                <w:p w14:paraId="06FA043B">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无组织</w:t>
                  </w: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C717EF">
                  <w:pPr>
                    <w:widowControl/>
                    <w:spacing w:line="240" w:lineRule="auto"/>
                    <w:jc w:val="center"/>
                    <w:rPr>
                      <w:rFonts w:hint="eastAsia"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颗粒物</w:t>
                  </w:r>
                </w:p>
              </w:tc>
              <w:tc>
                <w:tcPr>
                  <w:tcW w:w="108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CFF4FC">
                  <w:pPr>
                    <w:widowControl/>
                    <w:spacing w:line="240" w:lineRule="auto"/>
                    <w:jc w:val="center"/>
                    <w:rPr>
                      <w:rFonts w:cs="宋体"/>
                      <w:color w:val="auto"/>
                      <w:sz w:val="18"/>
                      <w:szCs w:val="18"/>
                      <w:highlight w:val="none"/>
                    </w:rPr>
                  </w:pPr>
                  <w:r>
                    <w:rPr>
                      <w:rFonts w:hint="eastAsia" w:cs="宋体"/>
                      <w:color w:val="auto"/>
                      <w:sz w:val="18"/>
                      <w:szCs w:val="18"/>
                      <w:highlight w:val="none"/>
                    </w:rPr>
                    <w:t>/</w:t>
                  </w:r>
                </w:p>
              </w:tc>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71A00A">
                  <w:pPr>
                    <w:widowControl/>
                    <w:spacing w:line="240" w:lineRule="auto"/>
                    <w:jc w:val="center"/>
                    <w:textAlignment w:val="center"/>
                    <w:rPr>
                      <w:rFonts w:hint="default"/>
                      <w:color w:val="auto"/>
                      <w:kern w:val="0"/>
                      <w:sz w:val="18"/>
                      <w:szCs w:val="18"/>
                      <w:highlight w:val="none"/>
                      <w:lang w:val="en-US" w:eastAsia="zh-CN" w:bidi="ar"/>
                    </w:rPr>
                  </w:pPr>
                  <w:r>
                    <w:rPr>
                      <w:rFonts w:hint="eastAsia"/>
                      <w:color w:val="auto"/>
                      <w:kern w:val="0"/>
                      <w:sz w:val="18"/>
                      <w:szCs w:val="18"/>
                      <w:highlight w:val="none"/>
                      <w:lang w:val="en-US" w:eastAsia="zh-CN" w:bidi="ar"/>
                    </w:rPr>
                    <w:t>/</w:t>
                  </w:r>
                </w:p>
              </w:tc>
              <w:tc>
                <w:tcPr>
                  <w:tcW w:w="8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14E173">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0.833</w:t>
                  </w:r>
                </w:p>
              </w:tc>
              <w:tc>
                <w:tcPr>
                  <w:tcW w:w="8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BF327F">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0.174</w:t>
                  </w:r>
                </w:p>
              </w:tc>
              <w:tc>
                <w:tcPr>
                  <w:tcW w:w="10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F71D09">
                  <w:pPr>
                    <w:widowControl/>
                    <w:spacing w:line="240" w:lineRule="auto"/>
                    <w:jc w:val="center"/>
                    <w:textAlignment w:val="center"/>
                    <w:rPr>
                      <w:rFonts w:hint="eastAsia"/>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1113" w:type="dxa"/>
                  <w:vMerge w:val="restart"/>
                  <w:tcBorders>
                    <w:top w:val="single" w:color="auto" w:sz="4" w:space="0"/>
                    <w:left w:val="single" w:color="auto" w:sz="4" w:space="0"/>
                    <w:right w:val="single" w:color="auto" w:sz="4" w:space="0"/>
                  </w:tcBorders>
                  <w:shd w:val="clear" w:color="auto" w:fill="auto"/>
                  <w:vAlign w:val="center"/>
                </w:tcPr>
                <w:p w14:paraId="27B09BA9">
                  <w:pPr>
                    <w:widowControl/>
                    <w:spacing w:line="240" w:lineRule="auto"/>
                    <w:jc w:val="center"/>
                    <w:rPr>
                      <w:rFonts w:cs="宋体"/>
                      <w:color w:val="auto"/>
                      <w:sz w:val="18"/>
                      <w:szCs w:val="18"/>
                      <w:highlight w:val="none"/>
                    </w:rPr>
                  </w:pPr>
                  <w:r>
                    <w:rPr>
                      <w:rFonts w:hint="eastAsia" w:cs="宋体"/>
                      <w:color w:val="auto"/>
                      <w:sz w:val="18"/>
                      <w:szCs w:val="18"/>
                      <w:highlight w:val="none"/>
                    </w:rPr>
                    <w:t>加强各环节密闭，增加废气收集效率</w:t>
                  </w:r>
                </w:p>
              </w:tc>
              <w:tc>
                <w:tcPr>
                  <w:tcW w:w="7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C04DE3">
                  <w:pPr>
                    <w:widowControl/>
                    <w:spacing w:line="240" w:lineRule="auto"/>
                    <w:jc w:val="center"/>
                    <w:textAlignment w:val="center"/>
                    <w:rPr>
                      <w:rFonts w:hint="eastAsia" w:ascii="Times New Roman" w:hAnsi="Times New Roman" w:eastAsia="宋体" w:cs="Times New Roman"/>
                      <w:color w:val="auto"/>
                      <w:kern w:val="0"/>
                      <w:sz w:val="18"/>
                      <w:szCs w:val="18"/>
                      <w:highlight w:val="none"/>
                      <w:lang w:val="en-US" w:eastAsia="zh-CN" w:bidi="ar"/>
                    </w:rPr>
                  </w:pPr>
                  <w:r>
                    <w:rPr>
                      <w:rFonts w:hint="eastAsia"/>
                      <w:color w:val="auto"/>
                      <w:kern w:val="0"/>
                      <w:sz w:val="18"/>
                      <w:szCs w:val="18"/>
                      <w:highlight w:val="none"/>
                      <w:lang w:bidi="ar"/>
                    </w:rPr>
                    <w:t>/</w:t>
                  </w:r>
                </w:p>
              </w:tc>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672A08">
                  <w:pPr>
                    <w:widowControl/>
                    <w:spacing w:line="240" w:lineRule="auto"/>
                    <w:jc w:val="center"/>
                    <w:rPr>
                      <w:rFonts w:ascii="Times New Roman" w:hAnsi="Times New Roman" w:eastAsia="宋体" w:cs="宋体"/>
                      <w:color w:val="auto"/>
                      <w:kern w:val="2"/>
                      <w:sz w:val="18"/>
                      <w:szCs w:val="18"/>
                      <w:highlight w:val="none"/>
                      <w:lang w:val="en-US" w:eastAsia="zh-CN" w:bidi="ar-SA"/>
                    </w:rPr>
                  </w:pPr>
                  <w:r>
                    <w:rPr>
                      <w:rFonts w:hint="eastAsia" w:cs="宋体"/>
                      <w:color w:val="auto"/>
                      <w:sz w:val="18"/>
                      <w:szCs w:val="18"/>
                      <w:highlight w:val="none"/>
                    </w:rPr>
                    <w:t>/</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7670CB">
                  <w:pPr>
                    <w:widowControl/>
                    <w:spacing w:line="240" w:lineRule="auto"/>
                    <w:jc w:val="center"/>
                    <w:textAlignment w:val="center"/>
                    <w:rPr>
                      <w:rFonts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rPr>
                    <w:t>/</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7334E">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0.833</w:t>
                  </w:r>
                </w:p>
              </w:tc>
              <w:tc>
                <w:tcPr>
                  <w:tcW w:w="8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40CC28">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0.174</w:t>
                  </w:r>
                </w:p>
              </w:tc>
              <w:tc>
                <w:tcPr>
                  <w:tcW w:w="8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E9AB02">
                  <w:pPr>
                    <w:widowControl/>
                    <w:spacing w:line="240" w:lineRule="auto"/>
                    <w:jc w:val="center"/>
                    <w:textAlignment w:val="center"/>
                    <w:rPr>
                      <w:rFonts w:hint="eastAsia" w:ascii="Times New Roman" w:hAnsi="Times New Roman" w:eastAsia="宋体" w:cs="Times New Roman"/>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6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CC1826">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r>
            <w:tr w14:paraId="3206045D">
              <w:tblPrEx>
                <w:tblCellMar>
                  <w:top w:w="0" w:type="dxa"/>
                  <w:left w:w="108" w:type="dxa"/>
                  <w:bottom w:w="0" w:type="dxa"/>
                  <w:right w:w="108" w:type="dxa"/>
                </w:tblCellMar>
              </w:tblPrEx>
              <w:trPr>
                <w:trHeight w:val="340" w:hRule="atLeast"/>
              </w:trPr>
              <w:tc>
                <w:tcPr>
                  <w:tcW w:w="973" w:type="dxa"/>
                  <w:vMerge w:val="continue"/>
                  <w:tcBorders>
                    <w:left w:val="single" w:color="auto" w:sz="4" w:space="0"/>
                    <w:right w:val="single" w:color="auto" w:sz="4" w:space="0"/>
                  </w:tcBorders>
                  <w:shd w:val="clear" w:color="auto" w:fill="auto"/>
                  <w:noWrap/>
                  <w:vAlign w:val="center"/>
                </w:tcPr>
                <w:p w14:paraId="09FDD993">
                  <w:pPr>
                    <w:widowControl/>
                    <w:spacing w:line="240" w:lineRule="auto"/>
                    <w:jc w:val="center"/>
                    <w:rPr>
                      <w:rFonts w:hint="eastAsia" w:cs="宋体"/>
                      <w:color w:val="auto"/>
                      <w:sz w:val="18"/>
                      <w:szCs w:val="18"/>
                      <w:highlight w:val="none"/>
                    </w:rPr>
                  </w:pPr>
                </w:p>
              </w:tc>
              <w:tc>
                <w:tcPr>
                  <w:tcW w:w="822" w:type="dxa"/>
                  <w:vMerge w:val="continue"/>
                  <w:tcBorders>
                    <w:left w:val="single" w:color="auto" w:sz="4" w:space="0"/>
                    <w:right w:val="single" w:color="auto" w:sz="4" w:space="0"/>
                  </w:tcBorders>
                  <w:shd w:val="clear" w:color="auto" w:fill="auto"/>
                  <w:noWrap/>
                  <w:vAlign w:val="center"/>
                </w:tcPr>
                <w:p w14:paraId="6205251A">
                  <w:pPr>
                    <w:widowControl/>
                    <w:spacing w:line="240" w:lineRule="auto"/>
                    <w:jc w:val="center"/>
                    <w:textAlignment w:val="center"/>
                    <w:rPr>
                      <w:rFonts w:hint="eastAsia" w:cs="宋体"/>
                      <w:color w:val="auto"/>
                      <w:kern w:val="0"/>
                      <w:sz w:val="18"/>
                      <w:szCs w:val="18"/>
                      <w:highlight w:val="none"/>
                      <w:lang w:bidi="ar"/>
                    </w:rPr>
                  </w:pP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583B0">
                  <w:pPr>
                    <w:widowControl/>
                    <w:spacing w:line="240" w:lineRule="auto"/>
                    <w:jc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二氧化硫</w:t>
                  </w:r>
                </w:p>
              </w:tc>
              <w:tc>
                <w:tcPr>
                  <w:tcW w:w="108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969619">
                  <w:pPr>
                    <w:widowControl/>
                    <w:spacing w:line="240" w:lineRule="auto"/>
                    <w:jc w:val="center"/>
                    <w:textAlignment w:val="center"/>
                    <w:rPr>
                      <w:rFonts w:hint="eastAsia" w:cs="宋体"/>
                      <w:color w:val="auto"/>
                      <w:sz w:val="18"/>
                      <w:szCs w:val="18"/>
                      <w:highlight w:val="none"/>
                    </w:rPr>
                  </w:pPr>
                  <w:r>
                    <w:rPr>
                      <w:rFonts w:hint="eastAsia"/>
                      <w:color w:val="auto"/>
                      <w:kern w:val="0"/>
                      <w:sz w:val="18"/>
                      <w:szCs w:val="18"/>
                      <w:highlight w:val="none"/>
                      <w:lang w:bidi="ar"/>
                    </w:rPr>
                    <w:t>/</w:t>
                  </w:r>
                </w:p>
              </w:tc>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26656E">
                  <w:pPr>
                    <w:widowControl/>
                    <w:spacing w:line="240" w:lineRule="auto"/>
                    <w:jc w:val="center"/>
                    <w:rPr>
                      <w:rFonts w:hint="eastAsia"/>
                      <w:color w:val="auto"/>
                      <w:kern w:val="0"/>
                      <w:sz w:val="18"/>
                      <w:szCs w:val="18"/>
                      <w:highlight w:val="none"/>
                      <w:lang w:val="en-US" w:eastAsia="zh-CN" w:bidi="ar"/>
                    </w:rPr>
                  </w:pPr>
                  <w:r>
                    <w:rPr>
                      <w:rFonts w:hint="eastAsia" w:cs="宋体"/>
                      <w:color w:val="auto"/>
                      <w:sz w:val="18"/>
                      <w:szCs w:val="18"/>
                      <w:highlight w:val="none"/>
                    </w:rPr>
                    <w:t>/</w:t>
                  </w:r>
                </w:p>
              </w:tc>
              <w:tc>
                <w:tcPr>
                  <w:tcW w:w="8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E5C0FA">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0.156</w:t>
                  </w:r>
                </w:p>
              </w:tc>
              <w:tc>
                <w:tcPr>
                  <w:tcW w:w="8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EC20FD">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0.033 </w:t>
                  </w:r>
                </w:p>
              </w:tc>
              <w:tc>
                <w:tcPr>
                  <w:tcW w:w="10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32A756">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1113" w:type="dxa"/>
                  <w:vMerge w:val="continue"/>
                  <w:tcBorders>
                    <w:left w:val="single" w:color="auto" w:sz="4" w:space="0"/>
                    <w:right w:val="single" w:color="auto" w:sz="4" w:space="0"/>
                  </w:tcBorders>
                  <w:shd w:val="clear" w:color="auto" w:fill="auto"/>
                  <w:vAlign w:val="center"/>
                </w:tcPr>
                <w:p w14:paraId="437F0A25">
                  <w:pPr>
                    <w:widowControl/>
                    <w:spacing w:line="240" w:lineRule="auto"/>
                    <w:jc w:val="center"/>
                    <w:rPr>
                      <w:rFonts w:hint="eastAsia" w:cs="宋体"/>
                      <w:color w:val="auto"/>
                      <w:sz w:val="18"/>
                      <w:szCs w:val="18"/>
                      <w:highlight w:val="none"/>
                    </w:rPr>
                  </w:pPr>
                </w:p>
              </w:tc>
              <w:tc>
                <w:tcPr>
                  <w:tcW w:w="7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8FA329">
                  <w:pPr>
                    <w:widowControl/>
                    <w:spacing w:line="240" w:lineRule="auto"/>
                    <w:jc w:val="center"/>
                    <w:textAlignment w:val="center"/>
                    <w:rPr>
                      <w:rFonts w:hint="eastAsia"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w:t>
                  </w:r>
                </w:p>
              </w:tc>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FBB017">
                  <w:pPr>
                    <w:widowControl/>
                    <w:spacing w:line="240" w:lineRule="auto"/>
                    <w:jc w:val="center"/>
                    <w:textAlignment w:val="center"/>
                    <w:rPr>
                      <w:rFonts w:hint="eastAsia" w:cs="宋体"/>
                      <w:color w:val="auto"/>
                      <w:sz w:val="18"/>
                      <w:szCs w:val="18"/>
                      <w:highlight w:val="none"/>
                    </w:rPr>
                  </w:pPr>
                  <w:r>
                    <w:rPr>
                      <w:rFonts w:hint="eastAsia"/>
                      <w:color w:val="auto"/>
                      <w:kern w:val="0"/>
                      <w:sz w:val="18"/>
                      <w:szCs w:val="18"/>
                      <w:highlight w:val="none"/>
                      <w:lang w:bidi="ar"/>
                    </w:rPr>
                    <w:t>/</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F10FB4">
                  <w:pPr>
                    <w:widowControl/>
                    <w:spacing w:line="240" w:lineRule="auto"/>
                    <w:jc w:val="center"/>
                    <w:rPr>
                      <w:rFonts w:hint="eastAsia"/>
                      <w:color w:val="auto"/>
                      <w:sz w:val="18"/>
                      <w:szCs w:val="18"/>
                      <w:highlight w:val="none"/>
                    </w:rPr>
                  </w:pPr>
                  <w:r>
                    <w:rPr>
                      <w:rFonts w:hint="eastAsia" w:cs="宋体"/>
                      <w:color w:val="auto"/>
                      <w:sz w:val="18"/>
                      <w:szCs w:val="18"/>
                      <w:highlight w:val="none"/>
                    </w:rPr>
                    <w:t>/</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E67295">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0.156</w:t>
                  </w:r>
                </w:p>
              </w:tc>
              <w:tc>
                <w:tcPr>
                  <w:tcW w:w="8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B79B34">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0.033 </w:t>
                  </w:r>
                </w:p>
              </w:tc>
              <w:tc>
                <w:tcPr>
                  <w:tcW w:w="8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8F61C">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6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AAF644">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r>
            <w:tr w14:paraId="75EB2A76">
              <w:tblPrEx>
                <w:tblCellMar>
                  <w:top w:w="0" w:type="dxa"/>
                  <w:left w:w="108" w:type="dxa"/>
                  <w:bottom w:w="0" w:type="dxa"/>
                  <w:right w:w="108" w:type="dxa"/>
                </w:tblCellMar>
              </w:tblPrEx>
              <w:trPr>
                <w:trHeight w:val="340" w:hRule="atLeast"/>
              </w:trPr>
              <w:tc>
                <w:tcPr>
                  <w:tcW w:w="973" w:type="dxa"/>
                  <w:vMerge w:val="continue"/>
                  <w:tcBorders>
                    <w:left w:val="single" w:color="auto" w:sz="4" w:space="0"/>
                    <w:bottom w:val="single" w:color="auto" w:sz="4" w:space="0"/>
                    <w:right w:val="single" w:color="auto" w:sz="4" w:space="0"/>
                  </w:tcBorders>
                  <w:shd w:val="clear" w:color="auto" w:fill="auto"/>
                  <w:noWrap/>
                  <w:vAlign w:val="center"/>
                </w:tcPr>
                <w:p w14:paraId="13BD43AD">
                  <w:pPr>
                    <w:widowControl/>
                    <w:spacing w:line="240" w:lineRule="auto"/>
                    <w:jc w:val="center"/>
                    <w:rPr>
                      <w:rFonts w:hint="eastAsia" w:cs="宋体"/>
                      <w:color w:val="auto"/>
                      <w:sz w:val="18"/>
                      <w:szCs w:val="18"/>
                      <w:highlight w:val="none"/>
                    </w:rPr>
                  </w:pPr>
                </w:p>
              </w:tc>
              <w:tc>
                <w:tcPr>
                  <w:tcW w:w="822" w:type="dxa"/>
                  <w:vMerge w:val="continue"/>
                  <w:tcBorders>
                    <w:left w:val="single" w:color="auto" w:sz="4" w:space="0"/>
                    <w:bottom w:val="single" w:color="auto" w:sz="4" w:space="0"/>
                    <w:right w:val="single" w:color="auto" w:sz="4" w:space="0"/>
                  </w:tcBorders>
                  <w:shd w:val="clear" w:color="auto" w:fill="auto"/>
                  <w:noWrap/>
                  <w:vAlign w:val="center"/>
                </w:tcPr>
                <w:p w14:paraId="769AE2DB">
                  <w:pPr>
                    <w:widowControl/>
                    <w:spacing w:line="240" w:lineRule="auto"/>
                    <w:jc w:val="center"/>
                    <w:textAlignment w:val="center"/>
                    <w:rPr>
                      <w:rFonts w:hint="eastAsia" w:cs="宋体"/>
                      <w:color w:val="auto"/>
                      <w:kern w:val="0"/>
                      <w:sz w:val="18"/>
                      <w:szCs w:val="18"/>
                      <w:highlight w:val="none"/>
                      <w:lang w:bidi="ar"/>
                    </w:rPr>
                  </w:pPr>
                </w:p>
              </w:tc>
              <w:tc>
                <w:tcPr>
                  <w:tcW w:w="9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ED0323">
                  <w:pPr>
                    <w:widowControl/>
                    <w:spacing w:line="240" w:lineRule="auto"/>
                    <w:jc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氮氧化物</w:t>
                  </w:r>
                </w:p>
              </w:tc>
              <w:tc>
                <w:tcPr>
                  <w:tcW w:w="108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0504A5">
                  <w:pPr>
                    <w:widowControl/>
                    <w:spacing w:line="240" w:lineRule="auto"/>
                    <w:jc w:val="center"/>
                    <w:textAlignment w:val="center"/>
                    <w:rPr>
                      <w:rFonts w:hint="eastAsia" w:cs="宋体"/>
                      <w:color w:val="auto"/>
                      <w:sz w:val="18"/>
                      <w:szCs w:val="18"/>
                      <w:highlight w:val="none"/>
                    </w:rPr>
                  </w:pPr>
                  <w:r>
                    <w:rPr>
                      <w:rFonts w:hint="eastAsia"/>
                      <w:color w:val="auto"/>
                      <w:kern w:val="0"/>
                      <w:sz w:val="18"/>
                      <w:szCs w:val="18"/>
                      <w:highlight w:val="none"/>
                      <w:lang w:bidi="ar"/>
                    </w:rPr>
                    <w:t>/</w:t>
                  </w:r>
                </w:p>
              </w:tc>
              <w:tc>
                <w:tcPr>
                  <w:tcW w:w="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477EB5">
                  <w:pPr>
                    <w:widowControl/>
                    <w:spacing w:line="240" w:lineRule="auto"/>
                    <w:jc w:val="center"/>
                    <w:rPr>
                      <w:rFonts w:hint="eastAsia"/>
                      <w:color w:val="auto"/>
                      <w:kern w:val="0"/>
                      <w:sz w:val="18"/>
                      <w:szCs w:val="18"/>
                      <w:highlight w:val="none"/>
                      <w:lang w:val="en-US" w:eastAsia="zh-CN" w:bidi="ar"/>
                    </w:rPr>
                  </w:pPr>
                  <w:r>
                    <w:rPr>
                      <w:rFonts w:hint="eastAsia" w:cs="宋体"/>
                      <w:color w:val="auto"/>
                      <w:sz w:val="18"/>
                      <w:szCs w:val="18"/>
                      <w:highlight w:val="none"/>
                    </w:rPr>
                    <w:t>/</w:t>
                  </w:r>
                </w:p>
              </w:tc>
              <w:tc>
                <w:tcPr>
                  <w:tcW w:w="8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367B09">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729</w:t>
                  </w:r>
                </w:p>
              </w:tc>
              <w:tc>
                <w:tcPr>
                  <w:tcW w:w="8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AD8C77">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152</w:t>
                  </w:r>
                  <w:r>
                    <w:rPr>
                      <w:rFonts w:hint="eastAsia" w:ascii="Times New Roman" w:hAnsi="Times New Roman" w:eastAsia="宋体" w:cs="宋体"/>
                      <w:color w:val="auto"/>
                      <w:kern w:val="0"/>
                      <w:sz w:val="18"/>
                      <w:szCs w:val="18"/>
                      <w:highlight w:val="none"/>
                      <w:lang w:val="en-US" w:eastAsia="zh-CN" w:bidi="ar"/>
                    </w:rPr>
                    <w:t xml:space="preserve"> </w:t>
                  </w:r>
                </w:p>
              </w:tc>
              <w:tc>
                <w:tcPr>
                  <w:tcW w:w="10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2646FD">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1113" w:type="dxa"/>
                  <w:vMerge w:val="continue"/>
                  <w:tcBorders>
                    <w:left w:val="single" w:color="auto" w:sz="4" w:space="0"/>
                    <w:bottom w:val="single" w:color="auto" w:sz="4" w:space="0"/>
                    <w:right w:val="single" w:color="auto" w:sz="4" w:space="0"/>
                  </w:tcBorders>
                  <w:shd w:val="clear" w:color="auto" w:fill="auto"/>
                  <w:vAlign w:val="center"/>
                </w:tcPr>
                <w:p w14:paraId="507A00F7">
                  <w:pPr>
                    <w:widowControl/>
                    <w:spacing w:line="240" w:lineRule="auto"/>
                    <w:jc w:val="center"/>
                    <w:rPr>
                      <w:rFonts w:hint="eastAsia" w:cs="宋体"/>
                      <w:color w:val="auto"/>
                      <w:sz w:val="18"/>
                      <w:szCs w:val="18"/>
                      <w:highlight w:val="none"/>
                    </w:rPr>
                  </w:pPr>
                </w:p>
              </w:tc>
              <w:tc>
                <w:tcPr>
                  <w:tcW w:w="7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A1AE7A">
                  <w:pPr>
                    <w:widowControl/>
                    <w:spacing w:line="240" w:lineRule="auto"/>
                    <w:jc w:val="center"/>
                    <w:textAlignment w:val="center"/>
                    <w:rPr>
                      <w:rFonts w:hint="eastAsia"/>
                      <w:color w:val="auto"/>
                      <w:kern w:val="0"/>
                      <w:sz w:val="18"/>
                      <w:szCs w:val="18"/>
                      <w:highlight w:val="none"/>
                      <w:lang w:bidi="ar"/>
                    </w:rPr>
                  </w:pPr>
                  <w:r>
                    <w:rPr>
                      <w:rFonts w:hint="eastAsia"/>
                      <w:color w:val="auto"/>
                      <w:kern w:val="0"/>
                      <w:sz w:val="18"/>
                      <w:szCs w:val="18"/>
                      <w:highlight w:val="none"/>
                      <w:lang w:bidi="ar"/>
                    </w:rPr>
                    <w:t>/</w:t>
                  </w:r>
                </w:p>
              </w:tc>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4D8495">
                  <w:pPr>
                    <w:widowControl/>
                    <w:spacing w:line="240" w:lineRule="auto"/>
                    <w:jc w:val="center"/>
                    <w:rPr>
                      <w:rFonts w:hint="eastAsia" w:cs="宋体"/>
                      <w:color w:val="auto"/>
                      <w:sz w:val="18"/>
                      <w:szCs w:val="18"/>
                      <w:highlight w:val="none"/>
                    </w:rPr>
                  </w:pPr>
                  <w:r>
                    <w:rPr>
                      <w:rFonts w:hint="eastAsia" w:cs="宋体"/>
                      <w:color w:val="auto"/>
                      <w:sz w:val="18"/>
                      <w:szCs w:val="18"/>
                      <w:highlight w:val="none"/>
                    </w:rPr>
                    <w:t>/</w:t>
                  </w:r>
                </w:p>
              </w:tc>
              <w:tc>
                <w:tcPr>
                  <w:tcW w:w="7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4C2341">
                  <w:pPr>
                    <w:widowControl/>
                    <w:spacing w:line="240" w:lineRule="auto"/>
                    <w:jc w:val="center"/>
                    <w:textAlignment w:val="center"/>
                    <w:rPr>
                      <w:rFonts w:hint="eastAsia"/>
                      <w:color w:val="auto"/>
                      <w:sz w:val="18"/>
                      <w:szCs w:val="18"/>
                      <w:highlight w:val="none"/>
                    </w:rPr>
                  </w:pPr>
                  <w:r>
                    <w:rPr>
                      <w:rFonts w:hint="eastAsia"/>
                      <w:color w:val="auto"/>
                      <w:kern w:val="0"/>
                      <w:sz w:val="18"/>
                      <w:szCs w:val="18"/>
                      <w:highlight w:val="none"/>
                      <w:lang w:bidi="ar"/>
                    </w:rPr>
                    <w:t>/</w:t>
                  </w:r>
                </w:p>
              </w:tc>
              <w:tc>
                <w:tcPr>
                  <w:tcW w:w="7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56C46">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729</w:t>
                  </w:r>
                </w:p>
              </w:tc>
              <w:tc>
                <w:tcPr>
                  <w:tcW w:w="8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A3F2B4">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152</w:t>
                  </w:r>
                  <w:r>
                    <w:rPr>
                      <w:rFonts w:hint="eastAsia" w:ascii="Times New Roman" w:hAnsi="Times New Roman" w:eastAsia="宋体" w:cs="宋体"/>
                      <w:color w:val="auto"/>
                      <w:kern w:val="0"/>
                      <w:sz w:val="18"/>
                      <w:szCs w:val="18"/>
                      <w:highlight w:val="none"/>
                      <w:lang w:val="en-US" w:eastAsia="zh-CN" w:bidi="ar"/>
                    </w:rPr>
                    <w:t xml:space="preserve"> </w:t>
                  </w:r>
                </w:p>
              </w:tc>
              <w:tc>
                <w:tcPr>
                  <w:tcW w:w="8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BD07BB">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c>
                <w:tcPr>
                  <w:tcW w:w="62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6D87D3">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w:t>
                  </w:r>
                </w:p>
              </w:tc>
            </w:tr>
          </w:tbl>
          <w:p w14:paraId="4966D726">
            <w:pPr>
              <w:pStyle w:val="417"/>
              <w:rPr>
                <w:rFonts w:hint="eastAsia" w:ascii="黑体" w:hAnsi="黑体" w:eastAsia="黑体"/>
                <w:b w:val="0"/>
                <w:color w:val="auto"/>
                <w:sz w:val="24"/>
                <w:szCs w:val="24"/>
                <w:highlight w:val="none"/>
              </w:rPr>
            </w:pPr>
            <w:r>
              <w:rPr>
                <w:rFonts w:ascii="黑体" w:hAnsi="黑体" w:eastAsia="黑体"/>
                <w:b w:val="0"/>
                <w:color w:val="auto"/>
                <w:sz w:val="24"/>
                <w:szCs w:val="24"/>
                <w:highlight w:val="none"/>
              </w:rPr>
              <w:t>表</w:t>
            </w:r>
            <w:r>
              <w:rPr>
                <w:rFonts w:eastAsia="黑体" w:cs="Times New Roman"/>
                <w:b w:val="0"/>
                <w:color w:val="auto"/>
                <w:sz w:val="24"/>
                <w:szCs w:val="24"/>
                <w:highlight w:val="none"/>
              </w:rPr>
              <w:t>4-</w:t>
            </w:r>
            <w:r>
              <w:rPr>
                <w:rFonts w:hint="eastAsia" w:eastAsia="黑体" w:cs="Times New Roman"/>
                <w:b w:val="0"/>
                <w:color w:val="auto"/>
                <w:sz w:val="24"/>
                <w:szCs w:val="24"/>
                <w:highlight w:val="none"/>
                <w:lang w:val="en-US" w:eastAsia="zh-CN"/>
              </w:rPr>
              <w:t>5</w:t>
            </w:r>
            <w:r>
              <w:rPr>
                <w:rFonts w:hint="eastAsia" w:eastAsia="黑体" w:cs="Times New Roman"/>
                <w:b w:val="0"/>
                <w:color w:val="auto"/>
                <w:sz w:val="24"/>
                <w:szCs w:val="24"/>
                <w:highlight w:val="none"/>
              </w:rPr>
              <w:t xml:space="preserve"> </w:t>
            </w:r>
            <w:r>
              <w:rPr>
                <w:rFonts w:ascii="黑体" w:hAnsi="黑体" w:eastAsia="黑体"/>
                <w:b w:val="0"/>
                <w:color w:val="auto"/>
                <w:sz w:val="24"/>
                <w:szCs w:val="24"/>
                <w:highlight w:val="none"/>
              </w:rPr>
              <w:t xml:space="preserve"> </w:t>
            </w:r>
            <w:r>
              <w:rPr>
                <w:rFonts w:hint="eastAsia" w:ascii="黑体" w:hAnsi="黑体" w:eastAsia="黑体"/>
                <w:b w:val="0"/>
                <w:color w:val="auto"/>
                <w:sz w:val="24"/>
                <w:szCs w:val="24"/>
                <w:highlight w:val="none"/>
              </w:rPr>
              <w:t>拟建项目</w:t>
            </w:r>
            <w:r>
              <w:rPr>
                <w:rFonts w:ascii="黑体" w:hAnsi="黑体" w:eastAsia="黑体"/>
                <w:b w:val="0"/>
                <w:color w:val="auto"/>
                <w:sz w:val="24"/>
                <w:szCs w:val="24"/>
                <w:highlight w:val="none"/>
              </w:rPr>
              <w:t>废气</w:t>
            </w:r>
            <w:r>
              <w:rPr>
                <w:rFonts w:hint="eastAsia" w:ascii="黑体" w:hAnsi="黑体" w:eastAsia="黑体"/>
                <w:b w:val="0"/>
                <w:color w:val="auto"/>
                <w:sz w:val="24"/>
                <w:szCs w:val="24"/>
                <w:highlight w:val="none"/>
              </w:rPr>
              <w:t>排放口基本情况</w:t>
            </w:r>
            <w:r>
              <w:rPr>
                <w:rFonts w:ascii="黑体" w:hAnsi="黑体" w:eastAsia="黑体"/>
                <w:b w:val="0"/>
                <w:color w:val="auto"/>
                <w:sz w:val="24"/>
                <w:szCs w:val="24"/>
                <w:highlight w:val="none"/>
              </w:rPr>
              <w:t>一览表</w:t>
            </w:r>
          </w:p>
          <w:tbl>
            <w:tblPr>
              <w:tblStyle w:val="69"/>
              <w:tblW w:w="4997" w:type="pct"/>
              <w:tblInd w:w="0" w:type="dxa"/>
              <w:tblLayout w:type="fixed"/>
              <w:tblCellMar>
                <w:top w:w="0" w:type="dxa"/>
                <w:left w:w="108" w:type="dxa"/>
                <w:bottom w:w="0" w:type="dxa"/>
                <w:right w:w="108" w:type="dxa"/>
              </w:tblCellMar>
            </w:tblPr>
            <w:tblGrid>
              <w:gridCol w:w="1165"/>
              <w:gridCol w:w="855"/>
              <w:gridCol w:w="877"/>
              <w:gridCol w:w="784"/>
              <w:gridCol w:w="623"/>
              <w:gridCol w:w="704"/>
              <w:gridCol w:w="577"/>
              <w:gridCol w:w="2836"/>
              <w:gridCol w:w="1768"/>
              <w:gridCol w:w="796"/>
              <w:gridCol w:w="1590"/>
              <w:gridCol w:w="1188"/>
            </w:tblGrid>
            <w:tr w14:paraId="48F46888">
              <w:tblPrEx>
                <w:tblCellMar>
                  <w:top w:w="0" w:type="dxa"/>
                  <w:left w:w="108" w:type="dxa"/>
                  <w:bottom w:w="0" w:type="dxa"/>
                  <w:right w:w="108" w:type="dxa"/>
                </w:tblCellMar>
              </w:tblPrEx>
              <w:trPr>
                <w:trHeight w:val="340" w:hRule="atLeast"/>
              </w:trPr>
              <w:tc>
                <w:tcPr>
                  <w:tcW w:w="423" w:type="pct"/>
                  <w:vMerge w:val="restart"/>
                  <w:tcBorders>
                    <w:top w:val="single" w:color="000000" w:sz="4" w:space="0"/>
                    <w:left w:val="single" w:color="000000" w:sz="4" w:space="0"/>
                    <w:right w:val="single" w:color="000000" w:sz="4" w:space="0"/>
                  </w:tcBorders>
                  <w:shd w:val="clear" w:color="auto" w:fill="auto"/>
                  <w:vAlign w:val="center"/>
                </w:tcPr>
                <w:p w14:paraId="4E959DC4">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排放口编号</w:t>
                  </w:r>
                </w:p>
              </w:tc>
              <w:tc>
                <w:tcPr>
                  <w:tcW w:w="310" w:type="pct"/>
                  <w:vMerge w:val="restart"/>
                  <w:tcBorders>
                    <w:top w:val="single" w:color="000000" w:sz="4" w:space="0"/>
                    <w:left w:val="single" w:color="000000" w:sz="4" w:space="0"/>
                    <w:right w:val="single" w:color="000000" w:sz="4" w:space="0"/>
                  </w:tcBorders>
                  <w:shd w:val="clear" w:color="auto" w:fill="auto"/>
                  <w:vAlign w:val="center"/>
                </w:tcPr>
                <w:p w14:paraId="06215F29">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排放口类型</w:t>
                  </w:r>
                </w:p>
              </w:tc>
              <w:tc>
                <w:tcPr>
                  <w:tcW w:w="60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04BD5">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排放口地理坐标</w:t>
                  </w:r>
                </w:p>
              </w:tc>
              <w:tc>
                <w:tcPr>
                  <w:tcW w:w="69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2AA250">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排放口参数</w:t>
                  </w:r>
                </w:p>
              </w:tc>
              <w:tc>
                <w:tcPr>
                  <w:tcW w:w="167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AFEA1">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排放标准</w:t>
                  </w:r>
                </w:p>
              </w:tc>
              <w:tc>
                <w:tcPr>
                  <w:tcW w:w="129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7658DE">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自行监测要求</w:t>
                  </w:r>
                </w:p>
              </w:tc>
            </w:tr>
            <w:tr w14:paraId="1054B6EA">
              <w:tblPrEx>
                <w:tblCellMar>
                  <w:top w:w="0" w:type="dxa"/>
                  <w:left w:w="108" w:type="dxa"/>
                  <w:bottom w:w="0" w:type="dxa"/>
                  <w:right w:w="108" w:type="dxa"/>
                </w:tblCellMar>
              </w:tblPrEx>
              <w:trPr>
                <w:trHeight w:val="340" w:hRule="atLeast"/>
              </w:trPr>
              <w:tc>
                <w:tcPr>
                  <w:tcW w:w="423" w:type="pct"/>
                  <w:vMerge w:val="continue"/>
                  <w:tcBorders>
                    <w:left w:val="single" w:color="000000" w:sz="4" w:space="0"/>
                    <w:bottom w:val="single" w:color="000000" w:sz="4" w:space="0"/>
                    <w:right w:val="single" w:color="000000" w:sz="4" w:space="0"/>
                  </w:tcBorders>
                  <w:shd w:val="clear" w:color="auto" w:fill="auto"/>
                  <w:vAlign w:val="center"/>
                </w:tcPr>
                <w:p w14:paraId="7BA3AB47">
                  <w:pPr>
                    <w:widowControl/>
                    <w:spacing w:line="240" w:lineRule="auto"/>
                    <w:jc w:val="center"/>
                    <w:textAlignment w:val="center"/>
                    <w:rPr>
                      <w:rFonts w:cs="宋体"/>
                      <w:color w:val="auto"/>
                      <w:sz w:val="18"/>
                      <w:szCs w:val="18"/>
                      <w:highlight w:val="none"/>
                    </w:rPr>
                  </w:pPr>
                </w:p>
              </w:tc>
              <w:tc>
                <w:tcPr>
                  <w:tcW w:w="310" w:type="pct"/>
                  <w:vMerge w:val="continue"/>
                  <w:tcBorders>
                    <w:left w:val="single" w:color="000000" w:sz="4" w:space="0"/>
                    <w:bottom w:val="single" w:color="000000" w:sz="4" w:space="0"/>
                    <w:right w:val="single" w:color="000000" w:sz="4" w:space="0"/>
                  </w:tcBorders>
                  <w:shd w:val="clear" w:color="auto" w:fill="auto"/>
                  <w:vAlign w:val="center"/>
                </w:tcPr>
                <w:p w14:paraId="32089A9C">
                  <w:pPr>
                    <w:widowControl/>
                    <w:spacing w:line="240" w:lineRule="auto"/>
                    <w:jc w:val="center"/>
                    <w:textAlignment w:val="center"/>
                    <w:rPr>
                      <w:color w:val="auto"/>
                      <w:sz w:val="18"/>
                      <w:szCs w:val="18"/>
                      <w:highlight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3B211">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经度</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CA69C">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纬度</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D2F53">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高度m</w:t>
                  </w:r>
                </w:p>
              </w:tc>
              <w:tc>
                <w:tcPr>
                  <w:tcW w:w="2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4E0DC">
                  <w:pPr>
                    <w:widowControl/>
                    <w:spacing w:line="240" w:lineRule="auto"/>
                    <w:jc w:val="center"/>
                    <w:textAlignment w:val="center"/>
                    <w:rPr>
                      <w:color w:val="auto"/>
                      <w:sz w:val="18"/>
                      <w:szCs w:val="18"/>
                      <w:highlight w:val="none"/>
                    </w:rPr>
                  </w:pPr>
                  <w:r>
                    <w:rPr>
                      <w:rFonts w:hint="eastAsia"/>
                      <w:color w:val="auto"/>
                      <w:sz w:val="18"/>
                      <w:szCs w:val="18"/>
                      <w:highlight w:val="none"/>
                    </w:rPr>
                    <w:t>内径m</w:t>
                  </w:r>
                </w:p>
              </w:tc>
              <w:tc>
                <w:tcPr>
                  <w:tcW w:w="2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BC62E">
                  <w:pPr>
                    <w:widowControl/>
                    <w:spacing w:line="240" w:lineRule="auto"/>
                    <w:jc w:val="center"/>
                    <w:textAlignment w:val="center"/>
                    <w:rPr>
                      <w:color w:val="auto"/>
                      <w:sz w:val="18"/>
                      <w:szCs w:val="18"/>
                      <w:highlight w:val="none"/>
                    </w:rPr>
                  </w:pPr>
                  <w:r>
                    <w:rPr>
                      <w:rFonts w:hint="eastAsia"/>
                      <w:color w:val="auto"/>
                      <w:sz w:val="18"/>
                      <w:szCs w:val="18"/>
                      <w:highlight w:val="none"/>
                    </w:rPr>
                    <w:t>温度℃</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033CC">
                  <w:pPr>
                    <w:widowControl/>
                    <w:spacing w:line="240" w:lineRule="auto"/>
                    <w:jc w:val="center"/>
                    <w:textAlignment w:val="center"/>
                    <w:rPr>
                      <w:rFonts w:cs="宋体"/>
                      <w:color w:val="auto"/>
                      <w:sz w:val="18"/>
                      <w:szCs w:val="18"/>
                      <w:highlight w:val="none"/>
                    </w:rPr>
                  </w:pPr>
                  <w:r>
                    <w:rPr>
                      <w:rFonts w:hint="eastAsia" w:cs="宋体"/>
                      <w:color w:val="auto"/>
                      <w:kern w:val="0"/>
                      <w:sz w:val="18"/>
                      <w:szCs w:val="18"/>
                      <w:highlight w:val="none"/>
                      <w:lang w:bidi="ar"/>
                    </w:rPr>
                    <w:t>标准名称</w:t>
                  </w: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5BFDA">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限值mg/m</w:t>
                  </w:r>
                  <w:r>
                    <w:rPr>
                      <w:rFonts w:hint="eastAsia" w:cs="宋体"/>
                      <w:color w:val="auto"/>
                      <w:kern w:val="0"/>
                      <w:sz w:val="18"/>
                      <w:szCs w:val="18"/>
                      <w:highlight w:val="none"/>
                      <w:vertAlign w:val="superscript"/>
                      <w:lang w:bidi="ar"/>
                    </w:rPr>
                    <w:t>3</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0F48E">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监测点位</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9FCBE">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监测因子</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C3E38">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监测频次</w:t>
                  </w:r>
                </w:p>
              </w:tc>
            </w:tr>
            <w:tr w14:paraId="7718DF11">
              <w:tblPrEx>
                <w:tblCellMar>
                  <w:top w:w="0" w:type="dxa"/>
                  <w:left w:w="108" w:type="dxa"/>
                  <w:bottom w:w="0" w:type="dxa"/>
                  <w:right w:w="108" w:type="dxa"/>
                </w:tblCellMar>
              </w:tblPrEx>
              <w:trPr>
                <w:trHeight w:val="34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286F7">
                  <w:pPr>
                    <w:widowControl/>
                    <w:spacing w:line="240" w:lineRule="auto"/>
                    <w:jc w:val="center"/>
                    <w:textAlignment w:val="center"/>
                    <w:rPr>
                      <w:rFonts w:hint="default" w:eastAsia="宋体"/>
                      <w:color w:val="auto"/>
                      <w:kern w:val="0"/>
                      <w:sz w:val="18"/>
                      <w:szCs w:val="18"/>
                      <w:highlight w:val="none"/>
                      <w:lang w:val="en-US" w:eastAsia="zh-CN" w:bidi="ar"/>
                    </w:rPr>
                  </w:pPr>
                  <w:r>
                    <w:rPr>
                      <w:rFonts w:hint="eastAsia"/>
                      <w:color w:val="auto"/>
                      <w:kern w:val="0"/>
                      <w:sz w:val="18"/>
                      <w:szCs w:val="18"/>
                      <w:highlight w:val="none"/>
                      <w:lang w:bidi="ar"/>
                    </w:rPr>
                    <w:t>D</w:t>
                  </w:r>
                  <w:r>
                    <w:rPr>
                      <w:color w:val="auto"/>
                      <w:kern w:val="0"/>
                      <w:sz w:val="18"/>
                      <w:szCs w:val="18"/>
                      <w:highlight w:val="none"/>
                      <w:lang w:bidi="ar"/>
                    </w:rPr>
                    <w:t>A0</w:t>
                  </w:r>
                  <w:r>
                    <w:rPr>
                      <w:rFonts w:hint="eastAsia"/>
                      <w:color w:val="auto"/>
                      <w:kern w:val="0"/>
                      <w:sz w:val="18"/>
                      <w:szCs w:val="18"/>
                      <w:highlight w:val="none"/>
                      <w:lang w:val="en-US" w:eastAsia="zh-CN" w:bidi="ar"/>
                    </w:rPr>
                    <w:t>28</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E643C">
                  <w:pPr>
                    <w:widowControl/>
                    <w:spacing w:line="240" w:lineRule="auto"/>
                    <w:jc w:val="center"/>
                    <w:textAlignment w:val="center"/>
                    <w:rPr>
                      <w:color w:val="auto"/>
                      <w:sz w:val="18"/>
                      <w:szCs w:val="18"/>
                      <w:highlight w:val="none"/>
                    </w:rPr>
                  </w:pPr>
                  <w:r>
                    <w:rPr>
                      <w:rFonts w:hint="eastAsia"/>
                      <w:color w:val="auto"/>
                      <w:sz w:val="18"/>
                      <w:szCs w:val="18"/>
                      <w:highlight w:val="none"/>
                    </w:rPr>
                    <w:t>一般排放口</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7D7D1">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118.</w:t>
                  </w:r>
                  <w:r>
                    <w:rPr>
                      <w:rFonts w:hint="eastAsia" w:cs="宋体"/>
                      <w:color w:val="auto"/>
                      <w:sz w:val="18"/>
                      <w:szCs w:val="18"/>
                      <w:highlight w:val="none"/>
                      <w:lang w:val="en-US" w:eastAsia="zh-CN"/>
                    </w:rPr>
                    <w:t>654875</w:t>
                  </w:r>
                  <w:r>
                    <w:rPr>
                      <w:rFonts w:hint="eastAsia" w:cs="宋体"/>
                      <w:color w:val="auto"/>
                      <w:sz w:val="18"/>
                      <w:szCs w:val="18"/>
                      <w:highlight w:val="none"/>
                    </w:rPr>
                    <w:t>°</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7707F">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30.</w:t>
                  </w:r>
                  <w:r>
                    <w:rPr>
                      <w:rFonts w:hint="eastAsia" w:cs="宋体"/>
                      <w:color w:val="auto"/>
                      <w:sz w:val="18"/>
                      <w:szCs w:val="18"/>
                      <w:highlight w:val="none"/>
                      <w:lang w:val="en-US" w:eastAsia="zh-CN"/>
                    </w:rPr>
                    <w:t>719043</w:t>
                  </w:r>
                  <w:r>
                    <w:rPr>
                      <w:rFonts w:hint="eastAsia" w:cs="宋体"/>
                      <w:color w:val="auto"/>
                      <w:sz w:val="18"/>
                      <w:szCs w:val="18"/>
                      <w:highlight w:val="none"/>
                    </w:rPr>
                    <w:t>°</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519CA">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15</w:t>
                  </w:r>
                </w:p>
              </w:tc>
              <w:tc>
                <w:tcPr>
                  <w:tcW w:w="2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5B126">
                  <w:pPr>
                    <w:widowControl/>
                    <w:spacing w:line="240" w:lineRule="auto"/>
                    <w:jc w:val="center"/>
                    <w:textAlignment w:val="center"/>
                    <w:rPr>
                      <w:rFonts w:hint="default" w:eastAsia="宋体"/>
                      <w:color w:val="auto"/>
                      <w:sz w:val="18"/>
                      <w:szCs w:val="18"/>
                      <w:highlight w:val="none"/>
                      <w:lang w:val="en-US" w:eastAsia="zh-CN"/>
                    </w:rPr>
                  </w:pPr>
                  <w:r>
                    <w:rPr>
                      <w:rFonts w:hint="eastAsia"/>
                      <w:color w:val="auto"/>
                      <w:sz w:val="18"/>
                      <w:szCs w:val="18"/>
                      <w:highlight w:val="none"/>
                    </w:rPr>
                    <w:t>0.</w:t>
                  </w:r>
                  <w:r>
                    <w:rPr>
                      <w:rFonts w:hint="eastAsia"/>
                      <w:color w:val="auto"/>
                      <w:sz w:val="18"/>
                      <w:szCs w:val="18"/>
                      <w:highlight w:val="none"/>
                      <w:lang w:val="en-US" w:eastAsia="zh-CN"/>
                    </w:rPr>
                    <w:t>36</w:t>
                  </w:r>
                </w:p>
              </w:tc>
              <w:tc>
                <w:tcPr>
                  <w:tcW w:w="2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243F4">
                  <w:pPr>
                    <w:widowControl/>
                    <w:spacing w:line="240" w:lineRule="auto"/>
                    <w:jc w:val="center"/>
                    <w:textAlignment w:val="center"/>
                    <w:rPr>
                      <w:color w:val="auto"/>
                      <w:sz w:val="18"/>
                      <w:szCs w:val="18"/>
                      <w:highlight w:val="none"/>
                    </w:rPr>
                  </w:pPr>
                  <w:r>
                    <w:rPr>
                      <w:rFonts w:hint="eastAsia"/>
                      <w:color w:val="auto"/>
                      <w:sz w:val="18"/>
                      <w:szCs w:val="18"/>
                      <w:highlight w:val="none"/>
                    </w:rPr>
                    <w:t>30</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0DB84">
                  <w:pPr>
                    <w:widowControl/>
                    <w:spacing w:line="240" w:lineRule="auto"/>
                    <w:jc w:val="center"/>
                    <w:textAlignment w:val="center"/>
                    <w:rPr>
                      <w:rFonts w:hint="eastAsia" w:eastAsia="宋体"/>
                      <w:color w:val="auto"/>
                      <w:sz w:val="18"/>
                      <w:szCs w:val="18"/>
                      <w:lang w:eastAsia="zh-CN"/>
                    </w:rPr>
                  </w:pPr>
                  <w:r>
                    <w:rPr>
                      <w:rFonts w:hint="eastAsia" w:eastAsia="宋体"/>
                      <w:color w:val="auto"/>
                      <w:sz w:val="18"/>
                      <w:szCs w:val="18"/>
                      <w:lang w:eastAsia="zh-CN"/>
                    </w:rPr>
                    <w:t>《铸造工业大气污染物排放标准》（GB39726-2020）表1；</w:t>
                  </w:r>
                </w:p>
                <w:p w14:paraId="713DD0ED">
                  <w:pPr>
                    <w:widowControl/>
                    <w:spacing w:line="240" w:lineRule="auto"/>
                    <w:jc w:val="center"/>
                    <w:textAlignment w:val="center"/>
                    <w:rPr>
                      <w:rFonts w:hint="eastAsia" w:eastAsia="宋体" w:cs="宋体"/>
                      <w:color w:val="auto"/>
                      <w:sz w:val="18"/>
                      <w:szCs w:val="18"/>
                      <w:highlight w:val="none"/>
                      <w:lang w:eastAsia="zh-CN"/>
                    </w:rPr>
                  </w:pPr>
                  <w:r>
                    <w:rPr>
                      <w:rFonts w:hint="eastAsia" w:eastAsia="宋体"/>
                      <w:color w:val="auto"/>
                      <w:sz w:val="18"/>
                      <w:szCs w:val="18"/>
                      <w:lang w:eastAsia="zh-CN"/>
                    </w:rPr>
                    <w:t>《大气污染物综合排放标准》（GB 16297-1996）表2</w:t>
                  </w: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9B031">
                  <w:pPr>
                    <w:widowControl/>
                    <w:spacing w:line="240" w:lineRule="auto"/>
                    <w:jc w:val="center"/>
                    <w:textAlignment w:val="center"/>
                    <w:rPr>
                      <w:rFonts w:hint="eastAsia" w:cs="宋体"/>
                      <w:color w:val="auto"/>
                      <w:kern w:val="0"/>
                      <w:sz w:val="18"/>
                      <w:szCs w:val="18"/>
                      <w:highlight w:val="none"/>
                      <w:vertAlign w:val="baseline"/>
                      <w:lang w:eastAsia="zh-CN" w:bidi="ar"/>
                    </w:rPr>
                  </w:pPr>
                  <w:r>
                    <w:rPr>
                      <w:rFonts w:hint="eastAsia" w:cs="宋体"/>
                      <w:color w:val="auto"/>
                      <w:kern w:val="0"/>
                      <w:sz w:val="18"/>
                      <w:szCs w:val="18"/>
                      <w:highlight w:val="none"/>
                      <w:vertAlign w:val="baseline"/>
                      <w:lang w:eastAsia="zh-CN" w:bidi="ar"/>
                    </w:rPr>
                    <w:t>颗粒物</w:t>
                  </w:r>
                  <w:r>
                    <w:rPr>
                      <w:rFonts w:hint="eastAsia" w:cs="宋体"/>
                      <w:color w:val="auto"/>
                      <w:kern w:val="0"/>
                      <w:sz w:val="18"/>
                      <w:szCs w:val="18"/>
                      <w:highlight w:val="none"/>
                      <w:lang w:val="en-US" w:eastAsia="zh-CN" w:bidi="ar"/>
                    </w:rPr>
                    <w:t>：30</w:t>
                  </w:r>
                  <w:r>
                    <w:rPr>
                      <w:rFonts w:hint="eastAsia" w:cs="宋体"/>
                      <w:color w:val="auto"/>
                      <w:kern w:val="0"/>
                      <w:sz w:val="18"/>
                      <w:szCs w:val="18"/>
                      <w:highlight w:val="none"/>
                      <w:vertAlign w:val="baseline"/>
                      <w:lang w:eastAsia="zh-CN" w:bidi="ar"/>
                    </w:rPr>
                    <w:t>；</w:t>
                  </w:r>
                </w:p>
                <w:p w14:paraId="2DF46AA9">
                  <w:pPr>
                    <w:widowControl/>
                    <w:spacing w:line="240" w:lineRule="auto"/>
                    <w:jc w:val="center"/>
                    <w:textAlignment w:val="center"/>
                    <w:rPr>
                      <w:rFonts w:hint="eastAsia" w:cs="宋体"/>
                      <w:color w:val="auto"/>
                      <w:kern w:val="0"/>
                      <w:sz w:val="18"/>
                      <w:szCs w:val="18"/>
                      <w:highlight w:val="none"/>
                      <w:vertAlign w:val="baseline"/>
                      <w:lang w:eastAsia="zh-CN" w:bidi="ar"/>
                    </w:rPr>
                  </w:pPr>
                  <w:r>
                    <w:rPr>
                      <w:rFonts w:hint="eastAsia" w:cs="宋体"/>
                      <w:color w:val="auto"/>
                      <w:kern w:val="0"/>
                      <w:sz w:val="18"/>
                      <w:szCs w:val="18"/>
                      <w:highlight w:val="none"/>
                      <w:vertAlign w:val="baseline"/>
                      <w:lang w:eastAsia="zh-CN" w:bidi="ar"/>
                    </w:rPr>
                    <w:t>氯化氢</w:t>
                  </w:r>
                  <w:r>
                    <w:rPr>
                      <w:rFonts w:hint="eastAsia" w:cs="宋体"/>
                      <w:color w:val="auto"/>
                      <w:kern w:val="0"/>
                      <w:sz w:val="18"/>
                      <w:szCs w:val="18"/>
                      <w:highlight w:val="none"/>
                      <w:lang w:val="en-US" w:eastAsia="zh-CN" w:bidi="ar"/>
                    </w:rPr>
                    <w:t>：100</w:t>
                  </w:r>
                  <w:r>
                    <w:rPr>
                      <w:rFonts w:hint="eastAsia" w:cs="宋体"/>
                      <w:color w:val="auto"/>
                      <w:kern w:val="0"/>
                      <w:sz w:val="18"/>
                      <w:szCs w:val="18"/>
                      <w:highlight w:val="none"/>
                      <w:vertAlign w:val="baseline"/>
                      <w:lang w:eastAsia="zh-CN" w:bidi="ar"/>
                    </w:rPr>
                    <w:t>；</w:t>
                  </w:r>
                </w:p>
                <w:p w14:paraId="74089FF4">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vertAlign w:val="baseline"/>
                      <w:lang w:eastAsia="zh-CN" w:bidi="ar"/>
                    </w:rPr>
                    <w:t>氟化物</w:t>
                  </w:r>
                  <w:r>
                    <w:rPr>
                      <w:rFonts w:hint="eastAsia" w:cs="宋体"/>
                      <w:color w:val="auto"/>
                      <w:kern w:val="0"/>
                      <w:sz w:val="18"/>
                      <w:szCs w:val="18"/>
                      <w:highlight w:val="none"/>
                      <w:lang w:val="en-US" w:eastAsia="zh-CN" w:bidi="ar"/>
                    </w:rPr>
                    <w:t>：9</w:t>
                  </w:r>
                  <w:r>
                    <w:rPr>
                      <w:rFonts w:hint="eastAsia" w:cs="宋体"/>
                      <w:color w:val="auto"/>
                      <w:kern w:val="0"/>
                      <w:sz w:val="18"/>
                      <w:szCs w:val="18"/>
                      <w:highlight w:val="none"/>
                      <w:vertAlign w:val="baseline"/>
                      <w:lang w:eastAsia="zh-CN" w:bidi="ar"/>
                    </w:rPr>
                    <w:t>；</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3B86">
                  <w:pPr>
                    <w:widowControl/>
                    <w:spacing w:line="240" w:lineRule="auto"/>
                    <w:jc w:val="center"/>
                    <w:textAlignment w:val="center"/>
                    <w:rPr>
                      <w:rFonts w:hint="default" w:eastAsia="宋体" w:cs="宋体"/>
                      <w:color w:val="auto"/>
                      <w:kern w:val="0"/>
                      <w:sz w:val="18"/>
                      <w:szCs w:val="18"/>
                      <w:highlight w:val="none"/>
                      <w:lang w:val="en-US" w:eastAsia="zh-CN" w:bidi="ar"/>
                    </w:rPr>
                  </w:pPr>
                  <w:r>
                    <w:rPr>
                      <w:rFonts w:hint="eastAsia" w:cs="宋体"/>
                      <w:color w:val="auto"/>
                      <w:kern w:val="0"/>
                      <w:sz w:val="18"/>
                      <w:szCs w:val="18"/>
                      <w:highlight w:val="none"/>
                      <w:lang w:bidi="ar"/>
                    </w:rPr>
                    <w:t>DA0</w:t>
                  </w:r>
                  <w:r>
                    <w:rPr>
                      <w:rFonts w:hint="eastAsia" w:cs="宋体"/>
                      <w:color w:val="auto"/>
                      <w:kern w:val="0"/>
                      <w:sz w:val="18"/>
                      <w:szCs w:val="18"/>
                      <w:highlight w:val="none"/>
                      <w:lang w:val="en-US" w:eastAsia="zh-CN" w:bidi="ar"/>
                    </w:rPr>
                    <w:t>28</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2EB53">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vertAlign w:val="baseline"/>
                      <w:lang w:eastAsia="zh-CN" w:bidi="ar"/>
                    </w:rPr>
                    <w:t>颗粒物、氯化氢、氟化物</w:t>
                  </w:r>
                  <w:r>
                    <w:rPr>
                      <w:rFonts w:hint="eastAsia" w:cs="宋体"/>
                      <w:color w:val="auto"/>
                      <w:kern w:val="0"/>
                      <w:sz w:val="18"/>
                      <w:szCs w:val="18"/>
                      <w:highlight w:val="none"/>
                      <w:lang w:bidi="ar"/>
                    </w:rPr>
                    <w:t>排放浓度、排放速率</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2F13A">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1次/年</w:t>
                  </w:r>
                </w:p>
              </w:tc>
            </w:tr>
            <w:tr w14:paraId="6B3E7D54">
              <w:tblPrEx>
                <w:tblCellMar>
                  <w:top w:w="0" w:type="dxa"/>
                  <w:left w:w="108" w:type="dxa"/>
                  <w:bottom w:w="0" w:type="dxa"/>
                  <w:right w:w="108" w:type="dxa"/>
                </w:tblCellMar>
              </w:tblPrEx>
              <w:trPr>
                <w:trHeight w:val="34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D931">
                  <w:pPr>
                    <w:widowControl/>
                    <w:spacing w:line="240" w:lineRule="auto"/>
                    <w:jc w:val="center"/>
                    <w:textAlignment w:val="center"/>
                    <w:rPr>
                      <w:color w:val="auto"/>
                      <w:kern w:val="0"/>
                      <w:sz w:val="18"/>
                      <w:szCs w:val="18"/>
                      <w:highlight w:val="none"/>
                      <w:lang w:bidi="ar"/>
                    </w:rPr>
                  </w:pPr>
                  <w:r>
                    <w:rPr>
                      <w:rFonts w:hint="eastAsia"/>
                      <w:color w:val="auto"/>
                      <w:kern w:val="0"/>
                      <w:sz w:val="18"/>
                      <w:szCs w:val="18"/>
                      <w:highlight w:val="none"/>
                      <w:lang w:bidi="ar"/>
                    </w:rPr>
                    <w:t>厂界</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E106F">
                  <w:pPr>
                    <w:widowControl/>
                    <w:spacing w:line="240" w:lineRule="auto"/>
                    <w:jc w:val="center"/>
                    <w:textAlignment w:val="center"/>
                    <w:rPr>
                      <w:color w:val="auto"/>
                      <w:sz w:val="18"/>
                      <w:szCs w:val="18"/>
                      <w:highlight w:val="none"/>
                    </w:rPr>
                  </w:pPr>
                  <w:r>
                    <w:rPr>
                      <w:rFonts w:hint="eastAsia"/>
                      <w:color w:val="auto"/>
                      <w:sz w:val="18"/>
                      <w:szCs w:val="18"/>
                      <w:highlight w:val="none"/>
                    </w:rPr>
                    <w:t>/</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3DE5C">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36E3E">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51574">
                  <w:pPr>
                    <w:widowControl/>
                    <w:spacing w:line="240" w:lineRule="auto"/>
                    <w:jc w:val="center"/>
                    <w:textAlignment w:val="center"/>
                    <w:rPr>
                      <w:rFonts w:cs="宋体"/>
                      <w:color w:val="auto"/>
                      <w:sz w:val="18"/>
                      <w:szCs w:val="18"/>
                      <w:highlight w:val="none"/>
                    </w:rPr>
                  </w:pPr>
                  <w:r>
                    <w:rPr>
                      <w:rFonts w:hint="eastAsia" w:cs="宋体"/>
                      <w:color w:val="auto"/>
                      <w:sz w:val="18"/>
                      <w:szCs w:val="18"/>
                      <w:highlight w:val="none"/>
                    </w:rPr>
                    <w:t>/</w:t>
                  </w:r>
                </w:p>
              </w:tc>
              <w:tc>
                <w:tcPr>
                  <w:tcW w:w="2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4CE5">
                  <w:pPr>
                    <w:widowControl/>
                    <w:spacing w:line="240" w:lineRule="auto"/>
                    <w:jc w:val="center"/>
                    <w:textAlignment w:val="center"/>
                    <w:rPr>
                      <w:color w:val="auto"/>
                      <w:sz w:val="18"/>
                      <w:szCs w:val="18"/>
                      <w:highlight w:val="none"/>
                    </w:rPr>
                  </w:pPr>
                  <w:r>
                    <w:rPr>
                      <w:rFonts w:hint="eastAsia"/>
                      <w:color w:val="auto"/>
                      <w:sz w:val="18"/>
                      <w:szCs w:val="18"/>
                      <w:highlight w:val="none"/>
                    </w:rPr>
                    <w:t>/</w:t>
                  </w:r>
                </w:p>
              </w:tc>
              <w:tc>
                <w:tcPr>
                  <w:tcW w:w="2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499A5">
                  <w:pPr>
                    <w:widowControl/>
                    <w:spacing w:line="240" w:lineRule="auto"/>
                    <w:jc w:val="center"/>
                    <w:textAlignment w:val="center"/>
                    <w:rPr>
                      <w:color w:val="auto"/>
                      <w:sz w:val="18"/>
                      <w:szCs w:val="18"/>
                      <w:highlight w:val="none"/>
                    </w:rPr>
                  </w:pPr>
                  <w:r>
                    <w:rPr>
                      <w:rFonts w:hint="eastAsia"/>
                      <w:color w:val="auto"/>
                      <w:sz w:val="18"/>
                      <w:szCs w:val="18"/>
                      <w:highlight w:val="none"/>
                    </w:rPr>
                    <w:t>/</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BC172">
                  <w:pPr>
                    <w:widowControl/>
                    <w:spacing w:line="240" w:lineRule="auto"/>
                    <w:jc w:val="center"/>
                    <w:textAlignment w:val="center"/>
                    <w:rPr>
                      <w:rFonts w:cs="宋体"/>
                      <w:color w:val="auto"/>
                      <w:sz w:val="18"/>
                      <w:szCs w:val="18"/>
                      <w:highlight w:val="none"/>
                    </w:rPr>
                  </w:pPr>
                  <w:r>
                    <w:rPr>
                      <w:rFonts w:hint="eastAsia"/>
                      <w:color w:val="auto"/>
                      <w:sz w:val="18"/>
                      <w:szCs w:val="18"/>
                      <w:highlight w:val="none"/>
                    </w:rPr>
                    <w:t>《大气污染物综合排放标准》（GB 16297-1996）</w:t>
                  </w:r>
                  <w:r>
                    <w:rPr>
                      <w:rFonts w:hint="eastAsia"/>
                      <w:color w:val="auto"/>
                      <w:sz w:val="18"/>
                      <w:szCs w:val="18"/>
                      <w:highlight w:val="none"/>
                      <w:lang w:eastAsia="zh-CN"/>
                    </w:rPr>
                    <w:t>、</w:t>
                  </w:r>
                  <w:r>
                    <w:rPr>
                      <w:rFonts w:hint="eastAsia"/>
                      <w:color w:val="auto"/>
                      <w:sz w:val="18"/>
                      <w:szCs w:val="18"/>
                      <w:highlight w:val="none"/>
                    </w:rPr>
                    <w:t>《恶臭污染物排放标准》(GB14554-93) 表1 中无组织排放标准</w:t>
                  </w: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BA6C4">
                  <w:pPr>
                    <w:widowControl/>
                    <w:spacing w:line="240" w:lineRule="auto"/>
                    <w:jc w:val="center"/>
                    <w:textAlignment w:val="center"/>
                    <w:rPr>
                      <w:rFonts w:hint="eastAsia" w:cs="宋体"/>
                      <w:color w:val="auto"/>
                      <w:kern w:val="0"/>
                      <w:sz w:val="18"/>
                      <w:szCs w:val="18"/>
                      <w:highlight w:val="none"/>
                      <w:vertAlign w:val="baseline"/>
                      <w:lang w:eastAsia="zh-CN" w:bidi="ar"/>
                    </w:rPr>
                  </w:pPr>
                  <w:r>
                    <w:rPr>
                      <w:rFonts w:hint="eastAsia" w:cs="宋体"/>
                      <w:color w:val="auto"/>
                      <w:kern w:val="0"/>
                      <w:sz w:val="18"/>
                      <w:szCs w:val="18"/>
                      <w:highlight w:val="none"/>
                      <w:lang w:val="en-US" w:eastAsia="zh-CN" w:bidi="ar"/>
                    </w:rPr>
                    <w:t>颗粒物：1.0</w:t>
                  </w:r>
                  <w:r>
                    <w:rPr>
                      <w:rFonts w:hint="eastAsia" w:cs="宋体"/>
                      <w:color w:val="auto"/>
                      <w:kern w:val="0"/>
                      <w:sz w:val="18"/>
                      <w:szCs w:val="18"/>
                      <w:highlight w:val="none"/>
                      <w:vertAlign w:val="baseline"/>
                      <w:lang w:eastAsia="zh-CN" w:bidi="ar"/>
                    </w:rPr>
                    <w:t>；</w:t>
                  </w:r>
                </w:p>
                <w:p w14:paraId="0BD3FD3F">
                  <w:pPr>
                    <w:widowControl/>
                    <w:spacing w:line="240" w:lineRule="auto"/>
                    <w:jc w:val="center"/>
                    <w:textAlignment w:val="center"/>
                    <w:rPr>
                      <w:rFonts w:hint="eastAsia" w:cs="宋体"/>
                      <w:color w:val="auto"/>
                      <w:kern w:val="0"/>
                      <w:sz w:val="18"/>
                      <w:szCs w:val="18"/>
                      <w:highlight w:val="none"/>
                      <w:vertAlign w:val="baseline"/>
                      <w:lang w:eastAsia="zh-CN" w:bidi="ar"/>
                    </w:rPr>
                  </w:pPr>
                  <w:r>
                    <w:rPr>
                      <w:rFonts w:hint="eastAsia" w:cs="宋体"/>
                      <w:color w:val="auto"/>
                      <w:kern w:val="0"/>
                      <w:sz w:val="18"/>
                      <w:szCs w:val="18"/>
                      <w:highlight w:val="none"/>
                      <w:vertAlign w:val="baseline"/>
                      <w:lang w:eastAsia="zh-CN" w:bidi="ar"/>
                    </w:rPr>
                    <w:t>二氧化硫</w:t>
                  </w:r>
                  <w:r>
                    <w:rPr>
                      <w:rFonts w:hint="eastAsia" w:cs="宋体"/>
                      <w:color w:val="auto"/>
                      <w:kern w:val="0"/>
                      <w:sz w:val="18"/>
                      <w:szCs w:val="18"/>
                      <w:highlight w:val="none"/>
                      <w:lang w:val="en-US" w:eastAsia="zh-CN" w:bidi="ar"/>
                    </w:rPr>
                    <w:t>：0.4</w:t>
                  </w:r>
                  <w:r>
                    <w:rPr>
                      <w:rFonts w:hint="eastAsia" w:cs="宋体"/>
                      <w:color w:val="auto"/>
                      <w:kern w:val="0"/>
                      <w:sz w:val="18"/>
                      <w:szCs w:val="18"/>
                      <w:highlight w:val="none"/>
                      <w:vertAlign w:val="baseline"/>
                      <w:lang w:eastAsia="zh-CN" w:bidi="ar"/>
                    </w:rPr>
                    <w:t>；</w:t>
                  </w:r>
                </w:p>
                <w:p w14:paraId="27EF0F59">
                  <w:pPr>
                    <w:widowControl/>
                    <w:spacing w:line="240" w:lineRule="auto"/>
                    <w:jc w:val="center"/>
                    <w:textAlignment w:val="center"/>
                    <w:rPr>
                      <w:rFonts w:hint="eastAsia" w:cs="宋体"/>
                      <w:color w:val="auto"/>
                      <w:kern w:val="0"/>
                      <w:sz w:val="18"/>
                      <w:szCs w:val="18"/>
                      <w:highlight w:val="none"/>
                      <w:vertAlign w:val="baseline"/>
                      <w:lang w:eastAsia="zh-CN" w:bidi="ar"/>
                    </w:rPr>
                  </w:pPr>
                  <w:r>
                    <w:rPr>
                      <w:rFonts w:hint="eastAsia" w:cs="宋体"/>
                      <w:color w:val="auto"/>
                      <w:kern w:val="0"/>
                      <w:sz w:val="18"/>
                      <w:szCs w:val="18"/>
                      <w:highlight w:val="none"/>
                      <w:vertAlign w:val="baseline"/>
                      <w:lang w:eastAsia="zh-CN" w:bidi="ar"/>
                    </w:rPr>
                    <w:t>氮氧化物</w:t>
                  </w:r>
                  <w:r>
                    <w:rPr>
                      <w:rFonts w:hint="eastAsia" w:cs="宋体"/>
                      <w:color w:val="auto"/>
                      <w:kern w:val="0"/>
                      <w:sz w:val="18"/>
                      <w:szCs w:val="18"/>
                      <w:highlight w:val="none"/>
                      <w:lang w:val="en-US" w:eastAsia="zh-CN" w:bidi="ar"/>
                    </w:rPr>
                    <w:t>：0.12</w:t>
                  </w:r>
                  <w:r>
                    <w:rPr>
                      <w:rFonts w:hint="eastAsia" w:cs="宋体"/>
                      <w:color w:val="auto"/>
                      <w:kern w:val="0"/>
                      <w:sz w:val="18"/>
                      <w:szCs w:val="18"/>
                      <w:highlight w:val="none"/>
                      <w:vertAlign w:val="baseline"/>
                      <w:lang w:eastAsia="zh-CN" w:bidi="ar"/>
                    </w:rPr>
                    <w:t>；</w:t>
                  </w:r>
                </w:p>
                <w:p w14:paraId="0DB20AAC">
                  <w:pPr>
                    <w:widowControl/>
                    <w:spacing w:line="240" w:lineRule="auto"/>
                    <w:jc w:val="center"/>
                    <w:textAlignment w:val="center"/>
                    <w:rPr>
                      <w:rFonts w:hint="default" w:eastAsia="宋体" w:cs="宋体"/>
                      <w:color w:val="auto"/>
                      <w:kern w:val="0"/>
                      <w:sz w:val="18"/>
                      <w:szCs w:val="18"/>
                      <w:highlight w:val="none"/>
                      <w:vertAlign w:val="baseline"/>
                      <w:lang w:val="en-US" w:eastAsia="zh-CN" w:bidi="ar"/>
                    </w:rPr>
                  </w:pPr>
                  <w:r>
                    <w:rPr>
                      <w:rFonts w:hint="eastAsia" w:cs="宋体"/>
                      <w:color w:val="auto"/>
                      <w:kern w:val="0"/>
                      <w:sz w:val="18"/>
                      <w:szCs w:val="18"/>
                      <w:highlight w:val="none"/>
                      <w:vertAlign w:val="baseline"/>
                      <w:lang w:val="en-US" w:eastAsia="zh-CN" w:bidi="ar"/>
                    </w:rPr>
                    <w:t>氨：4.0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86FCD">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厂界四</w:t>
                  </w:r>
                </w:p>
                <w:p w14:paraId="1238E04A">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周</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04D7E">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val="en-US" w:eastAsia="zh-CN" w:bidi="ar"/>
                    </w:rPr>
                    <w:t>颗粒物、</w:t>
                  </w:r>
                  <w:r>
                    <w:rPr>
                      <w:rFonts w:hint="eastAsia" w:cs="宋体"/>
                      <w:color w:val="auto"/>
                      <w:kern w:val="0"/>
                      <w:sz w:val="18"/>
                      <w:szCs w:val="18"/>
                      <w:highlight w:val="none"/>
                      <w:vertAlign w:val="baseline"/>
                      <w:lang w:eastAsia="zh-CN" w:bidi="ar"/>
                    </w:rPr>
                    <w:t>二氧化硫、氮氧化物</w:t>
                  </w:r>
                  <w:r>
                    <w:rPr>
                      <w:rFonts w:hint="eastAsia" w:cs="宋体"/>
                      <w:color w:val="auto"/>
                      <w:kern w:val="0"/>
                      <w:sz w:val="18"/>
                      <w:szCs w:val="18"/>
                      <w:highlight w:val="none"/>
                      <w:lang w:eastAsia="zh-CN" w:bidi="ar"/>
                    </w:rPr>
                    <w:t>、</w:t>
                  </w:r>
                  <w:r>
                    <w:rPr>
                      <w:rFonts w:hint="eastAsia" w:cs="宋体"/>
                      <w:color w:val="auto"/>
                      <w:kern w:val="0"/>
                      <w:sz w:val="18"/>
                      <w:szCs w:val="18"/>
                      <w:highlight w:val="none"/>
                      <w:vertAlign w:val="baseline"/>
                      <w:lang w:val="en-US" w:eastAsia="zh-CN" w:bidi="ar"/>
                    </w:rPr>
                    <w:t>氨排放浓度</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32629">
                  <w:pPr>
                    <w:widowControl/>
                    <w:spacing w:line="240" w:lineRule="auto"/>
                    <w:jc w:val="center"/>
                    <w:textAlignment w:val="center"/>
                    <w:rPr>
                      <w:rFonts w:cs="宋体"/>
                      <w:color w:val="auto"/>
                      <w:kern w:val="0"/>
                      <w:sz w:val="18"/>
                      <w:szCs w:val="18"/>
                      <w:highlight w:val="none"/>
                      <w:lang w:bidi="ar"/>
                    </w:rPr>
                  </w:pPr>
                  <w:r>
                    <w:rPr>
                      <w:rFonts w:hint="eastAsia" w:cs="宋体"/>
                      <w:color w:val="auto"/>
                      <w:kern w:val="0"/>
                      <w:sz w:val="18"/>
                      <w:szCs w:val="18"/>
                      <w:highlight w:val="none"/>
                      <w:lang w:bidi="ar"/>
                    </w:rPr>
                    <w:t>1次/年</w:t>
                  </w:r>
                </w:p>
              </w:tc>
            </w:tr>
            <w:tr w14:paraId="64214798">
              <w:tblPrEx>
                <w:tblCellMar>
                  <w:top w:w="0" w:type="dxa"/>
                  <w:left w:w="108" w:type="dxa"/>
                  <w:bottom w:w="0" w:type="dxa"/>
                  <w:right w:w="108" w:type="dxa"/>
                </w:tblCellMar>
              </w:tblPrEx>
              <w:trPr>
                <w:trHeight w:val="340" w:hRule="atLeast"/>
              </w:trPr>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06D22">
                  <w:pPr>
                    <w:widowControl/>
                    <w:spacing w:line="240" w:lineRule="auto"/>
                    <w:jc w:val="center"/>
                    <w:textAlignment w:val="center"/>
                    <w:rPr>
                      <w:rFonts w:hint="default" w:eastAsia="宋体"/>
                      <w:color w:val="auto"/>
                      <w:kern w:val="0"/>
                      <w:sz w:val="18"/>
                      <w:szCs w:val="18"/>
                      <w:highlight w:val="none"/>
                      <w:lang w:val="en-US" w:eastAsia="zh-CN" w:bidi="ar"/>
                    </w:rPr>
                  </w:pPr>
                  <w:r>
                    <w:rPr>
                      <w:rFonts w:hint="eastAsia"/>
                      <w:color w:val="auto"/>
                      <w:kern w:val="0"/>
                      <w:sz w:val="18"/>
                      <w:szCs w:val="18"/>
                      <w:highlight w:val="none"/>
                      <w:lang w:val="en-US" w:eastAsia="zh-CN" w:bidi="ar"/>
                    </w:rPr>
                    <w:t>厂区内</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247EC">
                  <w:pPr>
                    <w:widowControl/>
                    <w:spacing w:line="240" w:lineRule="auto"/>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rPr>
                    <w:t>/</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8933B">
                  <w:pPr>
                    <w:widowControl/>
                    <w:spacing w:line="240" w:lineRule="auto"/>
                    <w:jc w:val="center"/>
                    <w:textAlignment w:val="center"/>
                    <w:rPr>
                      <w:rFonts w:hint="eastAsia" w:ascii="Times New Roman" w:hAnsi="Times New Roman" w:eastAsia="宋体" w:cs="宋体"/>
                      <w:color w:val="auto"/>
                      <w:kern w:val="2"/>
                      <w:sz w:val="18"/>
                      <w:szCs w:val="18"/>
                      <w:highlight w:val="none"/>
                      <w:lang w:val="en-US" w:eastAsia="zh-CN" w:bidi="ar-SA"/>
                    </w:rPr>
                  </w:pPr>
                  <w:r>
                    <w:rPr>
                      <w:rFonts w:hint="eastAsia" w:cs="宋体"/>
                      <w:color w:val="auto"/>
                      <w:sz w:val="18"/>
                      <w:szCs w:val="18"/>
                      <w:highlight w:val="none"/>
                    </w:rPr>
                    <w:t>/</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31ADB">
                  <w:pPr>
                    <w:widowControl/>
                    <w:spacing w:line="240" w:lineRule="auto"/>
                    <w:jc w:val="center"/>
                    <w:textAlignment w:val="center"/>
                    <w:rPr>
                      <w:rFonts w:hint="eastAsia" w:ascii="Times New Roman" w:hAnsi="Times New Roman" w:eastAsia="宋体" w:cs="宋体"/>
                      <w:color w:val="auto"/>
                      <w:kern w:val="2"/>
                      <w:sz w:val="18"/>
                      <w:szCs w:val="18"/>
                      <w:highlight w:val="none"/>
                      <w:lang w:val="en-US" w:eastAsia="zh-CN" w:bidi="ar-SA"/>
                    </w:rPr>
                  </w:pPr>
                  <w:r>
                    <w:rPr>
                      <w:rFonts w:hint="eastAsia" w:cs="宋体"/>
                      <w:color w:val="auto"/>
                      <w:sz w:val="18"/>
                      <w:szCs w:val="18"/>
                      <w:highlight w:val="none"/>
                    </w:rPr>
                    <w:t>/</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49E96">
                  <w:pPr>
                    <w:widowControl/>
                    <w:spacing w:line="240" w:lineRule="auto"/>
                    <w:jc w:val="center"/>
                    <w:textAlignment w:val="center"/>
                    <w:rPr>
                      <w:rFonts w:hint="eastAsia" w:ascii="Times New Roman" w:hAnsi="Times New Roman" w:eastAsia="宋体" w:cs="宋体"/>
                      <w:color w:val="auto"/>
                      <w:kern w:val="2"/>
                      <w:sz w:val="18"/>
                      <w:szCs w:val="18"/>
                      <w:highlight w:val="none"/>
                      <w:lang w:val="en-US" w:eastAsia="zh-CN" w:bidi="ar-SA"/>
                    </w:rPr>
                  </w:pPr>
                  <w:r>
                    <w:rPr>
                      <w:rFonts w:hint="eastAsia" w:cs="宋体"/>
                      <w:color w:val="auto"/>
                      <w:sz w:val="18"/>
                      <w:szCs w:val="18"/>
                      <w:highlight w:val="none"/>
                    </w:rPr>
                    <w:t>/</w:t>
                  </w:r>
                </w:p>
              </w:tc>
              <w:tc>
                <w:tcPr>
                  <w:tcW w:w="2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25C61">
                  <w:pPr>
                    <w:widowControl/>
                    <w:spacing w:line="240" w:lineRule="auto"/>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rPr>
                    <w:t>/</w:t>
                  </w:r>
                </w:p>
              </w:tc>
              <w:tc>
                <w:tcPr>
                  <w:tcW w:w="2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6EAAE">
                  <w:pPr>
                    <w:widowControl/>
                    <w:spacing w:line="240" w:lineRule="auto"/>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rPr>
                    <w:t>/</w:t>
                  </w:r>
                </w:p>
              </w:tc>
              <w:tc>
                <w:tcPr>
                  <w:tcW w:w="10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6CC17">
                  <w:pPr>
                    <w:widowControl/>
                    <w:spacing w:line="240" w:lineRule="auto"/>
                    <w:jc w:val="center"/>
                    <w:textAlignment w:val="center"/>
                    <w:rPr>
                      <w:rFonts w:hint="eastAsia"/>
                      <w:color w:val="auto"/>
                      <w:sz w:val="18"/>
                      <w:szCs w:val="18"/>
                      <w:highlight w:val="none"/>
                    </w:rPr>
                  </w:pPr>
                  <w:r>
                    <w:rPr>
                      <w:rFonts w:hint="eastAsia" w:eastAsia="宋体"/>
                      <w:color w:val="auto"/>
                      <w:sz w:val="18"/>
                      <w:szCs w:val="18"/>
                      <w:lang w:eastAsia="zh-CN"/>
                    </w:rPr>
                    <w:t>《铸造工业大气污染物排放标准》（GB39726-2020）</w:t>
                  </w:r>
                  <w:r>
                    <w:rPr>
                      <w:rFonts w:hint="eastAsia"/>
                      <w:color w:val="auto"/>
                      <w:sz w:val="18"/>
                      <w:szCs w:val="18"/>
                      <w:lang w:val="en-US" w:eastAsia="zh-CN"/>
                    </w:rPr>
                    <w:t>附录A.</w:t>
                  </w:r>
                  <w:r>
                    <w:rPr>
                      <w:rFonts w:hint="eastAsia" w:eastAsia="宋体"/>
                      <w:color w:val="auto"/>
                      <w:sz w:val="18"/>
                      <w:szCs w:val="18"/>
                      <w:lang w:eastAsia="zh-CN"/>
                    </w:rPr>
                    <w:t>1</w:t>
                  </w:r>
                </w:p>
              </w:tc>
              <w:tc>
                <w:tcPr>
                  <w:tcW w:w="6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67D4A">
                  <w:pPr>
                    <w:widowControl/>
                    <w:spacing w:line="240" w:lineRule="auto"/>
                    <w:jc w:val="center"/>
                    <w:textAlignment w:val="center"/>
                    <w:rPr>
                      <w:rFonts w:hint="eastAsia" w:cs="宋体"/>
                      <w:color w:val="auto"/>
                      <w:kern w:val="0"/>
                      <w:sz w:val="18"/>
                      <w:szCs w:val="18"/>
                      <w:highlight w:val="none"/>
                      <w:vertAlign w:val="baseline"/>
                      <w:lang w:val="en-US" w:eastAsia="zh-CN" w:bidi="ar"/>
                    </w:rPr>
                  </w:pPr>
                  <w:r>
                    <w:rPr>
                      <w:rFonts w:hint="eastAsia" w:cs="宋体"/>
                      <w:color w:val="auto"/>
                      <w:kern w:val="0"/>
                      <w:sz w:val="18"/>
                      <w:szCs w:val="18"/>
                      <w:highlight w:val="none"/>
                      <w:lang w:val="en-US" w:eastAsia="zh-CN" w:bidi="ar"/>
                    </w:rPr>
                    <w:t>颗粒物：5.0</w:t>
                  </w:r>
                  <w:r>
                    <w:rPr>
                      <w:rFonts w:hint="eastAsia" w:cs="宋体"/>
                      <w:color w:val="auto"/>
                      <w:kern w:val="0"/>
                      <w:sz w:val="18"/>
                      <w:szCs w:val="18"/>
                      <w:highlight w:val="none"/>
                      <w:vertAlign w:val="baseline"/>
                      <w:lang w:eastAsia="zh-CN" w:bidi="ar"/>
                    </w:rPr>
                    <w:t>；</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669D7">
                  <w:pPr>
                    <w:widowControl/>
                    <w:spacing w:line="240" w:lineRule="auto"/>
                    <w:jc w:val="center"/>
                    <w:textAlignment w:val="center"/>
                    <w:rPr>
                      <w:rFonts w:hint="default"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厂区内厂房外</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7A6D8">
                  <w:pPr>
                    <w:widowControl/>
                    <w:spacing w:line="240" w:lineRule="auto"/>
                    <w:jc w:val="center"/>
                    <w:textAlignment w:val="center"/>
                    <w:rPr>
                      <w:rFonts w:hint="default"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颗粒物</w:t>
                  </w:r>
                </w:p>
              </w:tc>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D232E">
                  <w:pPr>
                    <w:widowControl/>
                    <w:spacing w:line="240" w:lineRule="auto"/>
                    <w:jc w:val="center"/>
                    <w:textAlignment w:val="center"/>
                    <w:rPr>
                      <w:rFonts w:hint="eastAsia" w:cs="宋体"/>
                      <w:color w:val="auto"/>
                      <w:kern w:val="0"/>
                      <w:sz w:val="18"/>
                      <w:szCs w:val="18"/>
                      <w:highlight w:val="none"/>
                      <w:lang w:bidi="ar"/>
                    </w:rPr>
                  </w:pPr>
                  <w:r>
                    <w:rPr>
                      <w:rFonts w:hint="eastAsia" w:cs="宋体"/>
                      <w:color w:val="auto"/>
                      <w:kern w:val="0"/>
                      <w:sz w:val="18"/>
                      <w:szCs w:val="18"/>
                      <w:highlight w:val="none"/>
                      <w:lang w:bidi="ar"/>
                    </w:rPr>
                    <w:t>1次/年</w:t>
                  </w:r>
                </w:p>
              </w:tc>
            </w:tr>
          </w:tbl>
          <w:p w14:paraId="7442AB12">
            <w:pPr>
              <w:pStyle w:val="402"/>
              <w:widowControl w:val="0"/>
              <w:ind w:firstLine="0" w:firstLineChars="0"/>
              <w:rPr>
                <w:color w:val="auto"/>
                <w:highlight w:val="none"/>
              </w:rPr>
            </w:pPr>
          </w:p>
        </w:tc>
      </w:tr>
    </w:tbl>
    <w:p w14:paraId="43AAC705">
      <w:pPr>
        <w:spacing w:line="500" w:lineRule="exact"/>
        <w:jc w:val="center"/>
        <w:rPr>
          <w:bCs/>
          <w:color w:val="auto"/>
          <w:szCs w:val="24"/>
        </w:rPr>
        <w:sectPr>
          <w:pgSz w:w="16840" w:h="11907" w:orient="landscape"/>
          <w:pgMar w:top="1247" w:right="1247" w:bottom="1134" w:left="1134" w:header="680" w:footer="680" w:gutter="0"/>
          <w:cols w:space="720" w:num="1"/>
          <w:docGrid w:linePitch="286" w:charSpace="0"/>
        </w:sectPr>
      </w:pP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9284"/>
      </w:tblGrid>
      <w:tr w14:paraId="0374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235" w:type="pct"/>
            <w:tcBorders>
              <w:bottom w:val="single" w:color="auto" w:sz="4" w:space="0"/>
            </w:tcBorders>
            <w:vAlign w:val="center"/>
          </w:tcPr>
          <w:p w14:paraId="63F3B369">
            <w:pPr>
              <w:spacing w:line="500" w:lineRule="exact"/>
              <w:jc w:val="center"/>
              <w:outlineLvl w:val="0"/>
              <w:rPr>
                <w:bCs/>
                <w:color w:val="auto"/>
                <w:szCs w:val="24"/>
              </w:rPr>
            </w:pPr>
            <w:bookmarkStart w:id="69" w:name="_Toc31096"/>
            <w:bookmarkStart w:id="70" w:name="_Toc4698"/>
            <w:r>
              <w:rPr>
                <w:rFonts w:hint="eastAsia"/>
                <w:bCs/>
                <w:color w:val="auto"/>
                <w:szCs w:val="24"/>
              </w:rPr>
              <w:t>运营期环境影响和保护措施</w:t>
            </w:r>
            <w:bookmarkEnd w:id="69"/>
            <w:bookmarkEnd w:id="70"/>
          </w:p>
        </w:tc>
        <w:tc>
          <w:tcPr>
            <w:tcW w:w="4764" w:type="pct"/>
            <w:tcBorders>
              <w:bottom w:val="single" w:color="auto" w:sz="4" w:space="0"/>
            </w:tcBorders>
          </w:tcPr>
          <w:p w14:paraId="40F3642C">
            <w:pPr>
              <w:rPr>
                <w:b/>
                <w:bCs/>
                <w:color w:val="auto"/>
                <w:szCs w:val="24"/>
              </w:rPr>
            </w:pPr>
            <w:r>
              <w:rPr>
                <w:rFonts w:hint="eastAsia"/>
                <w:b/>
                <w:bCs/>
                <w:color w:val="auto"/>
                <w:szCs w:val="24"/>
              </w:rPr>
              <w:t>2、废气处理方案可行性</w:t>
            </w:r>
            <w:r>
              <w:rPr>
                <w:rFonts w:hint="eastAsia"/>
                <w:b/>
                <w:bCs/>
                <w:color w:val="auto"/>
                <w:szCs w:val="24"/>
                <w:lang w:val="en-US" w:eastAsia="zh-CN"/>
              </w:rPr>
              <w:t>及合理性</w:t>
            </w:r>
            <w:r>
              <w:rPr>
                <w:rFonts w:hint="eastAsia"/>
                <w:b/>
                <w:bCs/>
                <w:color w:val="auto"/>
                <w:szCs w:val="24"/>
              </w:rPr>
              <w:t>分析</w:t>
            </w:r>
          </w:p>
          <w:p w14:paraId="15B01E1A">
            <w:pPr>
              <w:ind w:firstLine="480" w:firstLineChars="200"/>
              <w:rPr>
                <w:rFonts w:hint="default" w:eastAsia="宋体"/>
                <w:color w:val="auto"/>
                <w:lang w:val="en-US" w:eastAsia="zh-CN"/>
              </w:rPr>
            </w:pPr>
            <w:r>
              <w:rPr>
                <w:rFonts w:hint="eastAsia"/>
                <w:color w:val="auto"/>
                <w:lang w:val="en-US" w:eastAsia="zh-CN"/>
              </w:rPr>
              <w:t>（1）有组织废气处理方案：</w:t>
            </w:r>
          </w:p>
          <w:p w14:paraId="7562021F">
            <w:pPr>
              <w:ind w:firstLine="480" w:firstLineChars="200"/>
              <w:rPr>
                <w:color w:val="auto"/>
              </w:rPr>
            </w:pPr>
            <w:r>
              <w:rPr>
                <w:rFonts w:hint="eastAsia"/>
                <w:color w:val="auto"/>
              </w:rPr>
              <w:t>结合《铸造工业大气污染防治可行技术指南</w:t>
            </w:r>
            <w:r>
              <w:rPr>
                <w:rFonts w:hint="eastAsia"/>
                <w:color w:val="auto"/>
                <w:lang w:eastAsia="zh-CN"/>
              </w:rPr>
              <w:t>（</w:t>
            </w:r>
            <w:r>
              <w:rPr>
                <w:rFonts w:hint="eastAsia"/>
                <w:color w:val="auto"/>
              </w:rPr>
              <w:t>HJ 1292-2023</w:t>
            </w:r>
            <w:r>
              <w:rPr>
                <w:rFonts w:hint="eastAsia"/>
                <w:color w:val="auto"/>
                <w:lang w:eastAsia="zh-CN"/>
              </w:rPr>
              <w:t>）</w:t>
            </w:r>
            <w:r>
              <w:rPr>
                <w:rFonts w:hint="eastAsia"/>
                <w:color w:val="auto"/>
              </w:rPr>
              <w:t xml:space="preserve">》《排污许可证申请与核发技术规范 </w:t>
            </w:r>
            <w:r>
              <w:rPr>
                <w:rFonts w:hint="eastAsia"/>
                <w:color w:val="auto"/>
                <w:lang w:val="en-US" w:eastAsia="zh-CN"/>
              </w:rPr>
              <w:t>工业炉窑</w:t>
            </w:r>
            <w:r>
              <w:rPr>
                <w:rFonts w:hint="eastAsia"/>
                <w:color w:val="auto"/>
              </w:rPr>
              <w:t>（HJ112</w:t>
            </w:r>
            <w:r>
              <w:rPr>
                <w:rFonts w:hint="eastAsia"/>
                <w:color w:val="auto"/>
                <w:lang w:val="en-US" w:eastAsia="zh-CN"/>
              </w:rPr>
              <w:t>1</w:t>
            </w:r>
            <w:r>
              <w:rPr>
                <w:rFonts w:hint="eastAsia"/>
                <w:color w:val="auto"/>
              </w:rPr>
              <w:t>- 2020）》中“排污单位废气产污环节名称、污染物项目、排放形式及污染治理设施表”，</w:t>
            </w:r>
            <w:r>
              <w:rPr>
                <w:rFonts w:hint="eastAsia"/>
                <w:color w:val="auto"/>
                <w:lang w:val="en-US" w:eastAsia="zh-CN"/>
              </w:rPr>
              <w:t>其他有色金属合金熔化炉熔化</w:t>
            </w:r>
            <w:r>
              <w:rPr>
                <w:rFonts w:hint="eastAsia"/>
                <w:color w:val="auto"/>
              </w:rPr>
              <w:t>工序主要污染物为</w:t>
            </w:r>
            <w:r>
              <w:rPr>
                <w:rFonts w:hint="eastAsia"/>
                <w:color w:val="auto"/>
                <w:lang w:val="en-US" w:eastAsia="zh-CN"/>
              </w:rPr>
              <w:t>颗粒物、二氧化硫、氮氧化物</w:t>
            </w:r>
            <w:r>
              <w:rPr>
                <w:rFonts w:hint="eastAsia"/>
                <w:color w:val="auto"/>
              </w:rPr>
              <w:t>。本项目拟采取的废气处理措施与可行技术对比见下表。</w:t>
            </w:r>
          </w:p>
          <w:p w14:paraId="4460DBC4">
            <w:pPr>
              <w:jc w:val="center"/>
              <w:rPr>
                <w:rFonts w:eastAsia="黑体"/>
                <w:color w:val="auto"/>
              </w:rPr>
            </w:pPr>
            <w:r>
              <w:rPr>
                <w:rFonts w:hint="eastAsia" w:eastAsia="黑体"/>
                <w:color w:val="auto"/>
              </w:rPr>
              <w:t>表</w:t>
            </w:r>
            <w:r>
              <w:rPr>
                <w:rFonts w:eastAsia="黑体"/>
                <w:color w:val="auto"/>
              </w:rPr>
              <w:t>4-</w:t>
            </w:r>
            <w:r>
              <w:rPr>
                <w:rFonts w:hint="eastAsia" w:eastAsia="黑体"/>
                <w:color w:val="auto"/>
                <w:lang w:val="en-US" w:eastAsia="zh-CN"/>
              </w:rPr>
              <w:t>6</w:t>
            </w:r>
            <w:r>
              <w:rPr>
                <w:rFonts w:hint="eastAsia" w:eastAsia="黑体"/>
                <w:color w:val="auto"/>
              </w:rPr>
              <w:t xml:space="preserve"> </w:t>
            </w:r>
            <w:r>
              <w:rPr>
                <w:rFonts w:eastAsia="黑体"/>
                <w:color w:val="auto"/>
              </w:rPr>
              <w:t xml:space="preserve"> </w:t>
            </w:r>
            <w:r>
              <w:rPr>
                <w:rFonts w:hint="eastAsia" w:eastAsia="黑体"/>
                <w:color w:val="auto"/>
              </w:rPr>
              <w:t>拟采取的废气处理措施与可行技术对比表</w:t>
            </w:r>
          </w:p>
          <w:tbl>
            <w:tblPr>
              <w:tblStyle w:val="70"/>
              <w:tblW w:w="90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2128"/>
              <w:gridCol w:w="1285"/>
              <w:gridCol w:w="2592"/>
              <w:gridCol w:w="1137"/>
              <w:gridCol w:w="1512"/>
            </w:tblGrid>
            <w:tr w14:paraId="1F25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3EBFBB8D">
                  <w:pPr>
                    <w:spacing w:line="240" w:lineRule="auto"/>
                    <w:jc w:val="center"/>
                    <w:rPr>
                      <w:color w:val="auto"/>
                      <w:sz w:val="18"/>
                      <w:szCs w:val="18"/>
                    </w:rPr>
                  </w:pPr>
                  <w:r>
                    <w:rPr>
                      <w:rFonts w:hint="eastAsia"/>
                      <w:color w:val="auto"/>
                      <w:sz w:val="18"/>
                      <w:szCs w:val="18"/>
                    </w:rPr>
                    <w:t>序号</w:t>
                  </w:r>
                </w:p>
              </w:tc>
              <w:tc>
                <w:tcPr>
                  <w:tcW w:w="2128" w:type="dxa"/>
                  <w:vAlign w:val="center"/>
                </w:tcPr>
                <w:p w14:paraId="471D02C5">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适用条件</w:t>
                  </w:r>
                </w:p>
              </w:tc>
              <w:tc>
                <w:tcPr>
                  <w:tcW w:w="1285" w:type="dxa"/>
                  <w:vAlign w:val="center"/>
                </w:tcPr>
                <w:p w14:paraId="3CA653BD">
                  <w:pPr>
                    <w:spacing w:line="240" w:lineRule="auto"/>
                    <w:jc w:val="center"/>
                    <w:rPr>
                      <w:color w:val="auto"/>
                      <w:sz w:val="18"/>
                      <w:szCs w:val="18"/>
                    </w:rPr>
                  </w:pPr>
                  <w:r>
                    <w:rPr>
                      <w:rFonts w:hint="eastAsia"/>
                      <w:color w:val="auto"/>
                      <w:sz w:val="18"/>
                      <w:szCs w:val="18"/>
                    </w:rPr>
                    <w:t>主要污染因子</w:t>
                  </w:r>
                </w:p>
              </w:tc>
              <w:tc>
                <w:tcPr>
                  <w:tcW w:w="2592" w:type="dxa"/>
                  <w:vAlign w:val="center"/>
                </w:tcPr>
                <w:p w14:paraId="2F93BFF9">
                  <w:pPr>
                    <w:spacing w:line="240" w:lineRule="auto"/>
                    <w:jc w:val="center"/>
                    <w:rPr>
                      <w:color w:val="auto"/>
                      <w:sz w:val="18"/>
                      <w:szCs w:val="18"/>
                    </w:rPr>
                  </w:pPr>
                  <w:r>
                    <w:rPr>
                      <w:rFonts w:hint="eastAsia"/>
                      <w:color w:val="auto"/>
                      <w:sz w:val="18"/>
                      <w:szCs w:val="18"/>
                    </w:rPr>
                    <w:t>可行技术</w:t>
                  </w:r>
                </w:p>
              </w:tc>
              <w:tc>
                <w:tcPr>
                  <w:tcW w:w="1137" w:type="dxa"/>
                  <w:vAlign w:val="center"/>
                </w:tcPr>
                <w:p w14:paraId="040357C8">
                  <w:pPr>
                    <w:spacing w:line="240" w:lineRule="auto"/>
                    <w:jc w:val="center"/>
                    <w:rPr>
                      <w:color w:val="auto"/>
                      <w:sz w:val="18"/>
                      <w:szCs w:val="18"/>
                    </w:rPr>
                  </w:pPr>
                  <w:r>
                    <w:rPr>
                      <w:rFonts w:hint="eastAsia"/>
                      <w:color w:val="auto"/>
                      <w:sz w:val="18"/>
                      <w:szCs w:val="18"/>
                    </w:rPr>
                    <w:t>本项目拟采取的措施</w:t>
                  </w:r>
                </w:p>
              </w:tc>
              <w:tc>
                <w:tcPr>
                  <w:tcW w:w="1512" w:type="dxa"/>
                  <w:vAlign w:val="center"/>
                </w:tcPr>
                <w:p w14:paraId="2ADDA8B7">
                  <w:pPr>
                    <w:spacing w:line="240" w:lineRule="auto"/>
                    <w:jc w:val="center"/>
                    <w:rPr>
                      <w:color w:val="auto"/>
                      <w:sz w:val="18"/>
                      <w:szCs w:val="18"/>
                    </w:rPr>
                  </w:pPr>
                  <w:r>
                    <w:rPr>
                      <w:rFonts w:hint="eastAsia"/>
                      <w:color w:val="auto"/>
                      <w:sz w:val="18"/>
                      <w:szCs w:val="18"/>
                    </w:rPr>
                    <w:t>是否可行技术</w:t>
                  </w:r>
                </w:p>
              </w:tc>
            </w:tr>
            <w:tr w14:paraId="07DB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414" w:type="dxa"/>
                  <w:vAlign w:val="center"/>
                </w:tcPr>
                <w:p w14:paraId="67BA77F8">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1</w:t>
                  </w:r>
                </w:p>
              </w:tc>
              <w:tc>
                <w:tcPr>
                  <w:tcW w:w="2128" w:type="dxa"/>
                  <w:vAlign w:val="center"/>
                </w:tcPr>
                <w:p w14:paraId="10419AC8">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适用于金属熔炼（化）工序的中频感应电炉</w:t>
                  </w:r>
                </w:p>
              </w:tc>
              <w:tc>
                <w:tcPr>
                  <w:tcW w:w="1285" w:type="dxa"/>
                  <w:vAlign w:val="center"/>
                </w:tcPr>
                <w:p w14:paraId="5F25632A">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颗粒物</w:t>
                  </w:r>
                </w:p>
              </w:tc>
              <w:tc>
                <w:tcPr>
                  <w:tcW w:w="2592" w:type="dxa"/>
                  <w:vAlign w:val="center"/>
                </w:tcPr>
                <w:p w14:paraId="391DF0EC">
                  <w:pPr>
                    <w:spacing w:line="240" w:lineRule="auto"/>
                    <w:jc w:val="center"/>
                    <w:rPr>
                      <w:rFonts w:hint="eastAsia" w:eastAsia="宋体"/>
                      <w:color w:val="auto"/>
                      <w:sz w:val="18"/>
                      <w:szCs w:val="18"/>
                      <w:lang w:eastAsia="zh-CN"/>
                    </w:rPr>
                  </w:pPr>
                  <w:r>
                    <w:rPr>
                      <w:rFonts w:hint="eastAsia"/>
                      <w:color w:val="auto"/>
                      <w:sz w:val="18"/>
                      <w:szCs w:val="18"/>
                    </w:rPr>
                    <w:t>①旋风除尘技术（可选）+②袋式除尘技术/滤筒除尘技术</w:t>
                  </w:r>
                </w:p>
              </w:tc>
              <w:tc>
                <w:tcPr>
                  <w:tcW w:w="1137" w:type="dxa"/>
                  <w:vMerge w:val="restart"/>
                  <w:vAlign w:val="center"/>
                </w:tcPr>
                <w:p w14:paraId="78D47BF5">
                  <w:pPr>
                    <w:spacing w:line="240" w:lineRule="auto"/>
                    <w:jc w:val="center"/>
                    <w:rPr>
                      <w:rFonts w:hint="eastAsia" w:eastAsia="宋体"/>
                      <w:color w:val="auto"/>
                      <w:sz w:val="18"/>
                      <w:szCs w:val="18"/>
                      <w:lang w:val="en-US" w:eastAsia="zh-CN"/>
                    </w:rPr>
                  </w:pPr>
                  <w:r>
                    <w:rPr>
                      <w:rFonts w:hint="eastAsia"/>
                      <w:color w:val="auto"/>
                      <w:sz w:val="18"/>
                      <w:szCs w:val="18"/>
                    </w:rPr>
                    <w:t>袋式</w:t>
                  </w:r>
                  <w:r>
                    <w:rPr>
                      <w:rFonts w:hint="eastAsia"/>
                      <w:color w:val="auto"/>
                      <w:sz w:val="18"/>
                      <w:szCs w:val="18"/>
                      <w:lang w:val="en-US" w:eastAsia="zh-CN"/>
                    </w:rPr>
                    <w:t>除尘器，颗粒物去除率</w:t>
                  </w:r>
                  <w:r>
                    <w:rPr>
                      <w:rFonts w:hint="eastAsia"/>
                      <w:color w:val="auto"/>
                      <w:sz w:val="18"/>
                      <w:szCs w:val="18"/>
                    </w:rPr>
                    <w:t>9</w:t>
                  </w:r>
                  <w:r>
                    <w:rPr>
                      <w:rFonts w:hint="eastAsia"/>
                      <w:color w:val="auto"/>
                      <w:sz w:val="18"/>
                      <w:szCs w:val="18"/>
                      <w:lang w:val="en-US" w:eastAsia="zh-CN"/>
                    </w:rPr>
                    <w:t>8</w:t>
                  </w:r>
                  <w:r>
                    <w:rPr>
                      <w:rFonts w:hint="eastAsia"/>
                      <w:color w:val="auto"/>
                      <w:sz w:val="18"/>
                      <w:szCs w:val="18"/>
                    </w:rPr>
                    <w:t>%</w:t>
                  </w:r>
                </w:p>
              </w:tc>
              <w:tc>
                <w:tcPr>
                  <w:tcW w:w="1512" w:type="dxa"/>
                  <w:vAlign w:val="center"/>
                </w:tcPr>
                <w:p w14:paraId="34F980B5">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是</w:t>
                  </w:r>
                </w:p>
              </w:tc>
            </w:tr>
            <w:tr w14:paraId="174B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414" w:type="dxa"/>
                  <w:vAlign w:val="center"/>
                </w:tcPr>
                <w:p w14:paraId="4D0E5014">
                  <w:pPr>
                    <w:spacing w:line="240" w:lineRule="auto"/>
                    <w:jc w:val="center"/>
                    <w:rPr>
                      <w:rFonts w:hint="default"/>
                      <w:color w:val="auto"/>
                      <w:sz w:val="18"/>
                      <w:szCs w:val="18"/>
                      <w:lang w:val="en-US" w:eastAsia="zh-CN"/>
                    </w:rPr>
                  </w:pPr>
                  <w:r>
                    <w:rPr>
                      <w:rFonts w:hint="eastAsia"/>
                      <w:color w:val="auto"/>
                      <w:sz w:val="18"/>
                      <w:szCs w:val="18"/>
                      <w:lang w:val="en-US" w:eastAsia="zh-CN"/>
                    </w:rPr>
                    <w:t>2</w:t>
                  </w:r>
                </w:p>
              </w:tc>
              <w:tc>
                <w:tcPr>
                  <w:tcW w:w="2128" w:type="dxa"/>
                  <w:vAlign w:val="center"/>
                </w:tcPr>
                <w:p w14:paraId="52CC59D9">
                  <w:pPr>
                    <w:spacing w:line="240" w:lineRule="auto"/>
                    <w:jc w:val="center"/>
                    <w:rPr>
                      <w:rFonts w:hint="eastAsia"/>
                      <w:color w:val="auto"/>
                      <w:sz w:val="18"/>
                      <w:szCs w:val="18"/>
                      <w:lang w:val="en-US" w:eastAsia="zh-CN"/>
                    </w:rPr>
                  </w:pPr>
                  <w:r>
                    <w:rPr>
                      <w:rFonts w:hint="eastAsia"/>
                      <w:color w:val="auto"/>
                      <w:sz w:val="18"/>
                      <w:szCs w:val="18"/>
                      <w:lang w:val="en-US" w:eastAsia="zh-CN"/>
                    </w:rPr>
                    <w:t>适用于金属熔炼（化）工序的燃气炉，一般应用于铝合金的熔炼（化）</w:t>
                  </w:r>
                </w:p>
              </w:tc>
              <w:tc>
                <w:tcPr>
                  <w:tcW w:w="1285" w:type="dxa"/>
                  <w:vAlign w:val="center"/>
                </w:tcPr>
                <w:p w14:paraId="221561E5">
                  <w:pPr>
                    <w:spacing w:line="240" w:lineRule="auto"/>
                    <w:jc w:val="center"/>
                    <w:rPr>
                      <w:rFonts w:hint="eastAsia"/>
                      <w:color w:val="auto"/>
                      <w:sz w:val="18"/>
                      <w:szCs w:val="18"/>
                      <w:lang w:val="en-US" w:eastAsia="zh-CN"/>
                    </w:rPr>
                  </w:pPr>
                  <w:r>
                    <w:rPr>
                      <w:rFonts w:hint="eastAsia"/>
                      <w:color w:val="auto"/>
                      <w:sz w:val="18"/>
                      <w:szCs w:val="18"/>
                      <w:lang w:val="en-US" w:eastAsia="zh-CN"/>
                    </w:rPr>
                    <w:t>颗粒物、二氧化硫、氮氧化物</w:t>
                  </w:r>
                </w:p>
              </w:tc>
              <w:tc>
                <w:tcPr>
                  <w:tcW w:w="2592" w:type="dxa"/>
                  <w:vAlign w:val="center"/>
                </w:tcPr>
                <w:p w14:paraId="7C352FF8">
                  <w:pPr>
                    <w:spacing w:line="240" w:lineRule="auto"/>
                    <w:jc w:val="center"/>
                    <w:rPr>
                      <w:rFonts w:hint="eastAsia"/>
                      <w:color w:val="auto"/>
                      <w:sz w:val="18"/>
                      <w:szCs w:val="18"/>
                    </w:rPr>
                  </w:pPr>
                  <w:r>
                    <w:rPr>
                      <w:rFonts w:hint="eastAsia"/>
                      <w:color w:val="auto"/>
                      <w:sz w:val="18"/>
                      <w:szCs w:val="18"/>
                    </w:rPr>
                    <w:t>①旋风除尘技术（可选）+②袋式除尘技术/滤筒除尘技术</w:t>
                  </w:r>
                </w:p>
              </w:tc>
              <w:tc>
                <w:tcPr>
                  <w:tcW w:w="1137" w:type="dxa"/>
                  <w:vMerge w:val="continue"/>
                  <w:vAlign w:val="center"/>
                </w:tcPr>
                <w:p w14:paraId="7D6DE80C">
                  <w:pPr>
                    <w:spacing w:line="240" w:lineRule="auto"/>
                    <w:jc w:val="center"/>
                    <w:rPr>
                      <w:rFonts w:hint="eastAsia"/>
                      <w:color w:val="auto"/>
                      <w:sz w:val="18"/>
                      <w:szCs w:val="18"/>
                    </w:rPr>
                  </w:pPr>
                </w:p>
              </w:tc>
              <w:tc>
                <w:tcPr>
                  <w:tcW w:w="1512" w:type="dxa"/>
                  <w:vAlign w:val="center"/>
                </w:tcPr>
                <w:p w14:paraId="43C3B7DF">
                  <w:pPr>
                    <w:spacing w:line="240" w:lineRule="auto"/>
                    <w:jc w:val="center"/>
                    <w:rPr>
                      <w:rFonts w:hint="eastAsia"/>
                      <w:color w:val="auto"/>
                      <w:sz w:val="18"/>
                      <w:szCs w:val="18"/>
                      <w:lang w:val="en-US" w:eastAsia="zh-CN"/>
                    </w:rPr>
                  </w:pPr>
                  <w:r>
                    <w:rPr>
                      <w:rFonts w:hint="eastAsia"/>
                      <w:color w:val="auto"/>
                      <w:sz w:val="18"/>
                      <w:szCs w:val="18"/>
                      <w:lang w:val="en-US" w:eastAsia="zh-CN"/>
                    </w:rPr>
                    <w:t>是</w:t>
                  </w:r>
                </w:p>
              </w:tc>
            </w:tr>
            <w:tr w14:paraId="6804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414" w:type="dxa"/>
                  <w:vAlign w:val="center"/>
                </w:tcPr>
                <w:p w14:paraId="3DD5ECD1">
                  <w:pPr>
                    <w:spacing w:line="240" w:lineRule="auto"/>
                    <w:jc w:val="center"/>
                    <w:rPr>
                      <w:rFonts w:hint="default"/>
                      <w:color w:val="auto"/>
                      <w:sz w:val="18"/>
                      <w:szCs w:val="18"/>
                      <w:lang w:val="en-US" w:eastAsia="zh-CN"/>
                    </w:rPr>
                  </w:pPr>
                  <w:r>
                    <w:rPr>
                      <w:rFonts w:hint="eastAsia"/>
                      <w:color w:val="auto"/>
                      <w:sz w:val="18"/>
                      <w:szCs w:val="18"/>
                      <w:lang w:val="en-US" w:eastAsia="zh-CN"/>
                    </w:rPr>
                    <w:t>3</w:t>
                  </w:r>
                </w:p>
              </w:tc>
              <w:tc>
                <w:tcPr>
                  <w:tcW w:w="2128" w:type="dxa"/>
                  <w:vAlign w:val="center"/>
                </w:tcPr>
                <w:p w14:paraId="0BAB4EBF">
                  <w:pPr>
                    <w:spacing w:line="240" w:lineRule="auto"/>
                    <w:jc w:val="center"/>
                    <w:rPr>
                      <w:rFonts w:hint="eastAsia"/>
                      <w:color w:val="auto"/>
                      <w:sz w:val="18"/>
                      <w:szCs w:val="18"/>
                      <w:lang w:val="en-US" w:eastAsia="zh-CN"/>
                    </w:rPr>
                  </w:pPr>
                  <w:r>
                    <w:rPr>
                      <w:rFonts w:hint="eastAsia"/>
                      <w:color w:val="auto"/>
                      <w:sz w:val="18"/>
                      <w:szCs w:val="18"/>
                      <w:lang w:val="en-US" w:eastAsia="zh-CN"/>
                    </w:rPr>
                    <w:t>适用于金属熔炼（化）的金属液处理操作，如精炼、除气等，典型应用如除气机等，使用时需评估其适用性</w:t>
                  </w:r>
                </w:p>
              </w:tc>
              <w:tc>
                <w:tcPr>
                  <w:tcW w:w="1285" w:type="dxa"/>
                  <w:vAlign w:val="center"/>
                </w:tcPr>
                <w:p w14:paraId="331E8C69">
                  <w:pPr>
                    <w:spacing w:line="240" w:lineRule="auto"/>
                    <w:jc w:val="center"/>
                    <w:rPr>
                      <w:rFonts w:hint="eastAsia"/>
                      <w:color w:val="auto"/>
                      <w:sz w:val="18"/>
                      <w:szCs w:val="18"/>
                      <w:lang w:val="en-US" w:eastAsia="zh-CN"/>
                    </w:rPr>
                  </w:pPr>
                  <w:r>
                    <w:rPr>
                      <w:rFonts w:hint="eastAsia"/>
                      <w:color w:val="auto"/>
                      <w:sz w:val="18"/>
                      <w:szCs w:val="18"/>
                      <w:lang w:val="en-US" w:eastAsia="zh-CN"/>
                    </w:rPr>
                    <w:t>颗粒物</w:t>
                  </w:r>
                </w:p>
              </w:tc>
              <w:tc>
                <w:tcPr>
                  <w:tcW w:w="2592" w:type="dxa"/>
                  <w:vAlign w:val="center"/>
                </w:tcPr>
                <w:p w14:paraId="0A39BD00">
                  <w:pPr>
                    <w:spacing w:line="240" w:lineRule="auto"/>
                    <w:jc w:val="center"/>
                    <w:rPr>
                      <w:rFonts w:hint="eastAsia"/>
                      <w:color w:val="auto"/>
                      <w:sz w:val="18"/>
                      <w:szCs w:val="18"/>
                    </w:rPr>
                  </w:pPr>
                  <w:r>
                    <w:rPr>
                      <w:rFonts w:hint="eastAsia"/>
                      <w:color w:val="auto"/>
                      <w:sz w:val="18"/>
                      <w:szCs w:val="18"/>
                    </w:rPr>
                    <w:t>①旋风除尘技术（可选）+②袋式除尘技术/滤筒除尘技术</w:t>
                  </w:r>
                </w:p>
              </w:tc>
              <w:tc>
                <w:tcPr>
                  <w:tcW w:w="1137" w:type="dxa"/>
                  <w:vMerge w:val="continue"/>
                  <w:vAlign w:val="center"/>
                </w:tcPr>
                <w:p w14:paraId="2E72CEDB">
                  <w:pPr>
                    <w:spacing w:line="240" w:lineRule="auto"/>
                    <w:jc w:val="center"/>
                    <w:rPr>
                      <w:rFonts w:hint="eastAsia"/>
                      <w:color w:val="auto"/>
                      <w:sz w:val="18"/>
                      <w:szCs w:val="18"/>
                    </w:rPr>
                  </w:pPr>
                </w:p>
              </w:tc>
              <w:tc>
                <w:tcPr>
                  <w:tcW w:w="1512" w:type="dxa"/>
                  <w:vAlign w:val="center"/>
                </w:tcPr>
                <w:p w14:paraId="4C4C4671">
                  <w:pPr>
                    <w:spacing w:line="240" w:lineRule="auto"/>
                    <w:jc w:val="center"/>
                    <w:rPr>
                      <w:rFonts w:hint="eastAsia"/>
                      <w:color w:val="auto"/>
                      <w:sz w:val="18"/>
                      <w:szCs w:val="18"/>
                      <w:lang w:val="en-US" w:eastAsia="zh-CN"/>
                    </w:rPr>
                  </w:pPr>
                  <w:r>
                    <w:rPr>
                      <w:rFonts w:hint="eastAsia"/>
                      <w:color w:val="auto"/>
                      <w:sz w:val="18"/>
                      <w:szCs w:val="18"/>
                      <w:lang w:val="en-US" w:eastAsia="zh-CN"/>
                    </w:rPr>
                    <w:t>是</w:t>
                  </w:r>
                </w:p>
              </w:tc>
            </w:tr>
            <w:tr w14:paraId="441A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414" w:type="dxa"/>
                  <w:vAlign w:val="center"/>
                </w:tcPr>
                <w:p w14:paraId="4A22B6FD">
                  <w:pPr>
                    <w:spacing w:line="240" w:lineRule="auto"/>
                    <w:jc w:val="center"/>
                    <w:rPr>
                      <w:rFonts w:hint="default"/>
                      <w:color w:val="auto"/>
                      <w:sz w:val="18"/>
                      <w:szCs w:val="18"/>
                      <w:lang w:val="en-US" w:eastAsia="zh-CN"/>
                    </w:rPr>
                  </w:pPr>
                  <w:r>
                    <w:rPr>
                      <w:rFonts w:hint="eastAsia"/>
                      <w:color w:val="auto"/>
                      <w:sz w:val="18"/>
                      <w:szCs w:val="18"/>
                      <w:lang w:val="en-US" w:eastAsia="zh-CN"/>
                    </w:rPr>
                    <w:t>4</w:t>
                  </w:r>
                </w:p>
              </w:tc>
              <w:tc>
                <w:tcPr>
                  <w:tcW w:w="2128" w:type="dxa"/>
                  <w:vAlign w:val="center"/>
                </w:tcPr>
                <w:p w14:paraId="2D0C28E6">
                  <w:pPr>
                    <w:spacing w:line="240" w:lineRule="auto"/>
                    <w:jc w:val="center"/>
                    <w:rPr>
                      <w:rFonts w:hint="eastAsia"/>
                      <w:color w:val="auto"/>
                      <w:sz w:val="18"/>
                      <w:szCs w:val="18"/>
                      <w:lang w:val="en-US" w:eastAsia="zh-CN"/>
                    </w:rPr>
                  </w:pPr>
                  <w:r>
                    <w:rPr>
                      <w:rFonts w:hint="eastAsia"/>
                      <w:color w:val="auto"/>
                      <w:sz w:val="18"/>
                      <w:szCs w:val="18"/>
                      <w:lang w:val="en-US" w:eastAsia="zh-CN"/>
                    </w:rPr>
                    <w:t>适用于石墨型、金属型、离心等不使用粘结剂铸造工艺的浇注工序。</w:t>
                  </w:r>
                </w:p>
              </w:tc>
              <w:tc>
                <w:tcPr>
                  <w:tcW w:w="1285" w:type="dxa"/>
                  <w:vAlign w:val="center"/>
                </w:tcPr>
                <w:p w14:paraId="4182E0A4">
                  <w:pPr>
                    <w:spacing w:line="240" w:lineRule="auto"/>
                    <w:jc w:val="center"/>
                    <w:rPr>
                      <w:rFonts w:hint="eastAsia"/>
                      <w:color w:val="auto"/>
                      <w:sz w:val="18"/>
                      <w:szCs w:val="18"/>
                      <w:lang w:val="en-US" w:eastAsia="zh-CN"/>
                    </w:rPr>
                  </w:pPr>
                  <w:r>
                    <w:rPr>
                      <w:rFonts w:hint="eastAsia"/>
                      <w:color w:val="auto"/>
                      <w:sz w:val="18"/>
                      <w:szCs w:val="18"/>
                      <w:lang w:val="en-US" w:eastAsia="zh-CN"/>
                    </w:rPr>
                    <w:t>颗粒物</w:t>
                  </w:r>
                </w:p>
              </w:tc>
              <w:tc>
                <w:tcPr>
                  <w:tcW w:w="2592" w:type="dxa"/>
                  <w:vAlign w:val="center"/>
                </w:tcPr>
                <w:p w14:paraId="0E05BD6C">
                  <w:pPr>
                    <w:spacing w:line="240" w:lineRule="auto"/>
                    <w:jc w:val="center"/>
                    <w:rPr>
                      <w:rFonts w:hint="eastAsia"/>
                      <w:color w:val="auto"/>
                      <w:sz w:val="18"/>
                      <w:szCs w:val="18"/>
                    </w:rPr>
                  </w:pPr>
                  <w:r>
                    <w:rPr>
                      <w:rFonts w:hint="eastAsia"/>
                      <w:color w:val="auto"/>
                      <w:sz w:val="18"/>
                      <w:szCs w:val="18"/>
                    </w:rPr>
                    <w:t>①旋风除尘技术（可选）+②袋式除尘技术/滤筒除尘技术</w:t>
                  </w:r>
                </w:p>
              </w:tc>
              <w:tc>
                <w:tcPr>
                  <w:tcW w:w="1137" w:type="dxa"/>
                  <w:vMerge w:val="continue"/>
                  <w:vAlign w:val="center"/>
                </w:tcPr>
                <w:p w14:paraId="3C17D405">
                  <w:pPr>
                    <w:spacing w:line="240" w:lineRule="auto"/>
                    <w:jc w:val="center"/>
                    <w:rPr>
                      <w:rFonts w:hint="eastAsia"/>
                      <w:color w:val="auto"/>
                      <w:sz w:val="18"/>
                      <w:szCs w:val="18"/>
                    </w:rPr>
                  </w:pPr>
                </w:p>
              </w:tc>
              <w:tc>
                <w:tcPr>
                  <w:tcW w:w="1512" w:type="dxa"/>
                  <w:vAlign w:val="center"/>
                </w:tcPr>
                <w:p w14:paraId="099CFF4F">
                  <w:pPr>
                    <w:spacing w:line="240" w:lineRule="auto"/>
                    <w:jc w:val="center"/>
                    <w:rPr>
                      <w:rFonts w:hint="eastAsia"/>
                      <w:color w:val="auto"/>
                      <w:sz w:val="18"/>
                      <w:szCs w:val="18"/>
                      <w:lang w:val="en-US" w:eastAsia="zh-CN"/>
                    </w:rPr>
                  </w:pPr>
                  <w:r>
                    <w:rPr>
                      <w:rFonts w:hint="eastAsia"/>
                      <w:color w:val="auto"/>
                      <w:sz w:val="18"/>
                      <w:szCs w:val="18"/>
                      <w:lang w:val="en-US" w:eastAsia="zh-CN"/>
                    </w:rPr>
                    <w:t>是</w:t>
                  </w:r>
                </w:p>
              </w:tc>
            </w:tr>
          </w:tbl>
          <w:p w14:paraId="509040DD">
            <w:pPr>
              <w:ind w:firstLine="482" w:firstLineChars="200"/>
              <w:rPr>
                <w:rFonts w:hint="eastAsia" w:eastAsia="宋体"/>
                <w:color w:val="auto"/>
                <w:lang w:eastAsia="zh-CN"/>
              </w:rPr>
            </w:pPr>
            <w:r>
              <w:rPr>
                <w:rFonts w:hint="eastAsia"/>
                <w:b/>
                <w:bCs/>
                <w:color w:val="auto"/>
              </w:rPr>
              <w:t>废气处理装置：</w:t>
            </w:r>
          </w:p>
          <w:p w14:paraId="1B5C88AD">
            <w:pPr>
              <w:ind w:firstLine="480" w:firstLineChars="200"/>
              <w:rPr>
                <w:color w:val="auto"/>
              </w:rPr>
            </w:pPr>
            <w:r>
              <w:rPr>
                <w:rFonts w:hint="eastAsia"/>
                <w:color w:val="auto"/>
                <w:lang w:val="en-US" w:eastAsia="zh-CN"/>
              </w:rPr>
              <w:t>袋式除尘原理：袋式除尘器含尘气体由灰斗（或下部宽敞开式法兰）进入过滤室，较粗颗粒直接落入灰斗或灰仓，灰尘气体经滤袋过滤，粉尘阻留于滤袋表面，净气经袋口到净气室、由风机排入大气，当滤袋表面的粉尘不断增加，导致设备阻力上升至设定值时，时间继电器（或微差压控制器）输出信号，程控仪开始工作，逐个开启脉冲阀，使压缩空气通过喷口对滤袋进行喷吹清灰，使滤袋突然膨胀，在反向气流的作用下，附于滤袋表面的粉尘迅速脱离滤袋落入灰斗（或灰仓）内，粉尘由卸灰阀排出，全部滤袋喷吹清灰结束后，除尘器恢复正常工作；袋式除尘器正常工作时，含尘气体由进风口进入灰斗，由于气体体积的急速膨胀，一部分较粗的尘粒受惯性或自然沉降等原因落入灰斗，其余大部分尘粒随气流上升进入袋室，经滤袋过滤后，尘粒被滞留在滤袋的外侧，净化后的气体由滤袋内部进入上箱体，再由阀板孔、排风口排入大气，从而达到除尘的目的。随着过滤的不断进行，除尘器阻力也随之上升，当阻力达到一定值时，清灰控制器发出清灰命令，首先将提升阀板关闭，切断过滤气流；然后，清灰控制器向脉冲电磁阀发出信号，随着脉冲阀把用作清灰的高压逆向气流送入袋内，滤袋迅速鼓胀，并产生强烈抖动，导致滤袋外侧的粉尘抖落，达到清灰的目的。</w:t>
            </w:r>
          </w:p>
          <w:p w14:paraId="0AE360D1">
            <w:pPr>
              <w:ind w:firstLine="482" w:firstLineChars="200"/>
              <w:rPr>
                <w:rFonts w:hint="eastAsia"/>
                <w:b w:val="0"/>
                <w:bCs w:val="0"/>
                <w:color w:val="auto"/>
                <w:lang w:val="en-US" w:eastAsia="zh-CN"/>
              </w:rPr>
            </w:pPr>
            <w:r>
              <w:rPr>
                <w:rFonts w:hint="eastAsia"/>
                <w:b/>
                <w:bCs/>
                <w:color w:val="auto"/>
                <w:lang w:val="en-US" w:eastAsia="zh-CN"/>
              </w:rPr>
              <w:t>合理性：</w:t>
            </w:r>
            <w:r>
              <w:rPr>
                <w:rFonts w:hint="eastAsia"/>
                <w:b w:val="0"/>
                <w:bCs w:val="0"/>
                <w:color w:val="auto"/>
                <w:lang w:val="en-US" w:eastAsia="zh-CN"/>
              </w:rPr>
              <w:t>布袋除尘器优点：①净化效率高。符合国家和地方所规定的排放标准。②运行稳定。检修方便，检修人员在上箱体换滤袋可不与灰尘接触。③合理的利用空间，尽可能的占地面积小。④所收集的粉尘属干式，且集尘量大，清灰方便。⑤不会产生二次污染。⑥采用自动控制，是目前国内外各行各业首选的除尘设备。</w:t>
            </w:r>
          </w:p>
          <w:p w14:paraId="7BEEEAD1">
            <w:pPr>
              <w:ind w:firstLine="480" w:firstLineChars="200"/>
              <w:rPr>
                <w:rFonts w:hint="default" w:eastAsia="宋体"/>
                <w:color w:val="auto"/>
                <w:lang w:val="en-US" w:eastAsia="zh-CN"/>
              </w:rPr>
            </w:pPr>
            <w:r>
              <w:rPr>
                <w:rFonts w:hint="eastAsia"/>
                <w:b w:val="0"/>
                <w:bCs w:val="0"/>
                <w:color w:val="auto"/>
                <w:lang w:val="en-US" w:eastAsia="zh-CN"/>
              </w:rPr>
              <w:t>根据工程分析中颗粒物的排放情况，本项目颗粒物经采用布袋除尘器处理后，处理效率为98%，颗粒物排放浓度可满足</w:t>
            </w:r>
            <w:r>
              <w:rPr>
                <w:rFonts w:hint="eastAsia"/>
                <w:b w:val="0"/>
                <w:bCs/>
                <w:color w:val="auto"/>
                <w:szCs w:val="24"/>
              </w:rPr>
              <w:t>《铸造工业大气污染物排放标准》（GB39726-2020）中相应标准限值要求</w:t>
            </w:r>
            <w:r>
              <w:rPr>
                <w:rFonts w:hint="eastAsia"/>
                <w:b w:val="0"/>
                <w:bCs w:val="0"/>
                <w:color w:val="auto"/>
                <w:lang w:val="en-US" w:eastAsia="zh-CN"/>
              </w:rPr>
              <w:t>。</w:t>
            </w:r>
          </w:p>
          <w:p w14:paraId="0B18E59E">
            <w:pPr>
              <w:ind w:firstLine="480" w:firstLineChars="200"/>
              <w:rPr>
                <w:rFonts w:hint="eastAsia"/>
                <w:color w:val="auto"/>
              </w:rPr>
            </w:pPr>
            <w:r>
              <w:rPr>
                <w:rFonts w:hint="eastAsia"/>
                <w:color w:val="auto"/>
              </w:rPr>
              <w:t>综上分析，根据</w:t>
            </w:r>
            <w:r>
              <w:rPr>
                <w:rFonts w:hint="eastAsia"/>
                <w:color w:val="auto"/>
                <w:lang w:eastAsia="zh-CN"/>
              </w:rPr>
              <w:t>《</w:t>
            </w:r>
            <w:r>
              <w:rPr>
                <w:rFonts w:hint="eastAsia"/>
                <w:bCs/>
                <w:iCs/>
                <w:color w:val="auto"/>
              </w:rPr>
              <w:t xml:space="preserve">排污许可证申请与核发技术规范 </w:t>
            </w:r>
            <w:r>
              <w:rPr>
                <w:rFonts w:hint="eastAsia"/>
                <w:color w:val="auto"/>
                <w:lang w:val="en-US" w:eastAsia="zh-CN"/>
              </w:rPr>
              <w:t>金属铸造业（HJ1115-2020）</w:t>
            </w:r>
            <w:r>
              <w:rPr>
                <w:rFonts w:hint="eastAsia"/>
                <w:color w:val="auto"/>
              </w:rPr>
              <w:t>》《铸造工业大气污染防治可行技术指南</w:t>
            </w:r>
            <w:r>
              <w:rPr>
                <w:rFonts w:hint="eastAsia"/>
                <w:color w:val="auto"/>
                <w:lang w:eastAsia="zh-CN"/>
              </w:rPr>
              <w:t>（</w:t>
            </w:r>
            <w:r>
              <w:rPr>
                <w:rFonts w:hint="eastAsia"/>
                <w:color w:val="auto"/>
              </w:rPr>
              <w:t>HJ 1292-2023</w:t>
            </w:r>
            <w:r>
              <w:rPr>
                <w:rFonts w:hint="eastAsia"/>
                <w:color w:val="auto"/>
                <w:lang w:eastAsia="zh-CN"/>
              </w:rPr>
              <w:t>）</w:t>
            </w:r>
            <w:r>
              <w:rPr>
                <w:rFonts w:hint="eastAsia"/>
                <w:color w:val="auto"/>
              </w:rPr>
              <w:t>》</w:t>
            </w:r>
            <w:r>
              <w:rPr>
                <w:rFonts w:hint="eastAsia"/>
                <w:color w:val="auto"/>
                <w:lang w:val="en-US" w:eastAsia="zh-CN"/>
              </w:rPr>
              <w:t>及</w:t>
            </w:r>
            <w:r>
              <w:rPr>
                <w:rFonts w:hint="eastAsia"/>
                <w:color w:val="auto"/>
              </w:rPr>
              <w:t xml:space="preserve">《排污许可证申请与核发技术规范 </w:t>
            </w:r>
            <w:r>
              <w:rPr>
                <w:rFonts w:hint="eastAsia"/>
                <w:color w:val="auto"/>
                <w:lang w:val="en-US" w:eastAsia="zh-CN"/>
              </w:rPr>
              <w:t>工业炉窑</w:t>
            </w:r>
            <w:r>
              <w:rPr>
                <w:rFonts w:hint="eastAsia"/>
                <w:color w:val="auto"/>
              </w:rPr>
              <w:t>（HJ112</w:t>
            </w:r>
            <w:r>
              <w:rPr>
                <w:rFonts w:hint="eastAsia"/>
                <w:color w:val="auto"/>
                <w:lang w:val="en-US" w:eastAsia="zh-CN"/>
              </w:rPr>
              <w:t>1</w:t>
            </w:r>
            <w:r>
              <w:rPr>
                <w:rFonts w:hint="eastAsia"/>
                <w:color w:val="auto"/>
              </w:rPr>
              <w:t>- 2020）》中相关要求，</w:t>
            </w:r>
            <w:r>
              <w:rPr>
                <w:rFonts w:hint="eastAsia"/>
                <w:color w:val="auto"/>
                <w:lang w:val="en-US" w:eastAsia="zh-CN"/>
              </w:rPr>
              <w:t>袋式除尘器</w:t>
            </w:r>
            <w:r>
              <w:rPr>
                <w:rFonts w:hint="eastAsia"/>
                <w:color w:val="auto"/>
              </w:rPr>
              <w:t>废气治理措施可行。</w:t>
            </w:r>
          </w:p>
          <w:p w14:paraId="13E89FCC">
            <w:pPr>
              <w:numPr>
                <w:ilvl w:val="0"/>
                <w:numId w:val="27"/>
              </w:numPr>
              <w:ind w:firstLine="480" w:firstLineChars="200"/>
              <w:rPr>
                <w:rFonts w:hint="default" w:eastAsia="宋体"/>
                <w:color w:val="auto"/>
                <w:lang w:val="en-US" w:eastAsia="zh-CN"/>
              </w:rPr>
            </w:pPr>
            <w:r>
              <w:rPr>
                <w:rFonts w:hint="eastAsia"/>
                <w:color w:val="auto"/>
                <w:lang w:val="en-US" w:eastAsia="zh-CN"/>
              </w:rPr>
              <w:t>无组织控制措施：根据</w:t>
            </w:r>
            <w:r>
              <w:rPr>
                <w:rFonts w:hint="eastAsia"/>
                <w:color w:val="auto"/>
              </w:rPr>
              <w:t>《铸造工业大气污染防治可行技术指南</w:t>
            </w:r>
            <w:r>
              <w:rPr>
                <w:rFonts w:hint="eastAsia"/>
                <w:color w:val="auto"/>
                <w:lang w:eastAsia="zh-CN"/>
              </w:rPr>
              <w:t>（</w:t>
            </w:r>
            <w:r>
              <w:rPr>
                <w:rFonts w:hint="eastAsia"/>
                <w:color w:val="auto"/>
              </w:rPr>
              <w:t>HJ 1292-2023</w:t>
            </w:r>
            <w:r>
              <w:rPr>
                <w:rFonts w:hint="eastAsia"/>
                <w:color w:val="auto"/>
                <w:lang w:eastAsia="zh-CN"/>
              </w:rPr>
              <w:t>）</w:t>
            </w:r>
            <w:r>
              <w:rPr>
                <w:rFonts w:hint="eastAsia"/>
                <w:color w:val="auto"/>
              </w:rPr>
              <w:t>》</w:t>
            </w:r>
            <w:r>
              <w:rPr>
                <w:rFonts w:hint="eastAsia"/>
                <w:color w:val="auto"/>
                <w:lang w:val="en-US" w:eastAsia="zh-CN"/>
              </w:rPr>
              <w:t>中相关要求，①本项目粉状物料（除渣剂）的运输采用封闭车厢或苫盖严密。②除尘器卸灰口应采取密闭措施，铝熔炼烟尘采取袋装、罐装等密闭方式收集、存放和运输，不得直接卸落到地面。③本项目金属液转运采用转运通廊，应采用浇包包盖、覆盖、集渣覆盖层等措施减少无组织排放。④本项目铝灰渣出库入库时，转移过程中应采用封闭车厢或苫盖严密。</w:t>
            </w:r>
          </w:p>
          <w:p w14:paraId="13384BEF">
            <w:pPr>
              <w:rPr>
                <w:b/>
                <w:color w:val="auto"/>
              </w:rPr>
            </w:pPr>
            <w:r>
              <w:rPr>
                <w:rFonts w:hint="eastAsia"/>
                <w:b/>
                <w:color w:val="auto"/>
              </w:rPr>
              <w:t>3、监测要求</w:t>
            </w:r>
          </w:p>
          <w:p w14:paraId="5D578214">
            <w:pPr>
              <w:ind w:firstLine="480" w:firstLineChars="200"/>
              <w:rPr>
                <w:bCs/>
                <w:iCs/>
                <w:color w:val="auto"/>
              </w:rPr>
            </w:pPr>
            <w:r>
              <w:rPr>
                <w:rFonts w:hint="eastAsia"/>
                <w:bCs/>
                <w:iCs/>
                <w:color w:val="auto"/>
              </w:rPr>
              <w:t>本项目废气自行监测依据</w:t>
            </w:r>
            <w:r>
              <w:rPr>
                <w:rFonts w:hint="eastAsia"/>
                <w:color w:val="auto"/>
              </w:rPr>
              <w:t>《</w:t>
            </w:r>
            <w:r>
              <w:rPr>
                <w:rFonts w:hint="eastAsia"/>
                <w:bCs/>
                <w:iCs/>
                <w:color w:val="auto"/>
              </w:rPr>
              <w:t>排污单位自行监测技术指南 金属铸造工业</w:t>
            </w:r>
            <w:r>
              <w:rPr>
                <w:rFonts w:hint="eastAsia"/>
                <w:color w:val="auto"/>
                <w:lang w:val="en-US" w:eastAsia="zh-CN"/>
              </w:rPr>
              <w:t>（HJ1251-2022）</w:t>
            </w:r>
            <w:r>
              <w:rPr>
                <w:rFonts w:hint="eastAsia"/>
                <w:color w:val="auto"/>
              </w:rPr>
              <w:t>》</w:t>
            </w:r>
            <w:r>
              <w:rPr>
                <w:rFonts w:hint="eastAsia"/>
                <w:bCs/>
                <w:iCs/>
                <w:color w:val="auto"/>
              </w:rPr>
              <w:t xml:space="preserve">及《排污许可证申请与核发技术规范 </w:t>
            </w:r>
            <w:r>
              <w:rPr>
                <w:rFonts w:hint="eastAsia"/>
                <w:color w:val="auto"/>
                <w:lang w:val="en-US" w:eastAsia="zh-CN"/>
              </w:rPr>
              <w:t>工业炉窑</w:t>
            </w:r>
            <w:r>
              <w:rPr>
                <w:rFonts w:hint="eastAsia"/>
                <w:color w:val="auto"/>
              </w:rPr>
              <w:t>（HJ112</w:t>
            </w:r>
            <w:r>
              <w:rPr>
                <w:rFonts w:hint="eastAsia"/>
                <w:color w:val="auto"/>
                <w:lang w:val="en-US" w:eastAsia="zh-CN"/>
              </w:rPr>
              <w:t>1</w:t>
            </w:r>
            <w:r>
              <w:rPr>
                <w:rFonts w:hint="eastAsia"/>
                <w:color w:val="auto"/>
              </w:rPr>
              <w:t>- 2020）</w:t>
            </w:r>
            <w:r>
              <w:rPr>
                <w:rFonts w:hint="eastAsia"/>
                <w:bCs/>
                <w:iCs/>
                <w:color w:val="auto"/>
              </w:rPr>
              <w:t>》，建议单位按下表制定废气日常监测计划，本项目废气监测计划见下表：</w:t>
            </w:r>
          </w:p>
          <w:p w14:paraId="5D792322">
            <w:pPr>
              <w:jc w:val="center"/>
              <w:rPr>
                <w:rFonts w:eastAsia="黑体"/>
                <w:color w:val="auto"/>
              </w:rPr>
            </w:pPr>
            <w:r>
              <w:rPr>
                <w:rFonts w:hint="eastAsia" w:eastAsia="黑体"/>
                <w:color w:val="auto"/>
              </w:rPr>
              <w:t>表</w:t>
            </w:r>
            <w:r>
              <w:rPr>
                <w:rFonts w:eastAsia="黑体"/>
                <w:color w:val="auto"/>
              </w:rPr>
              <w:t>4-</w:t>
            </w:r>
            <w:r>
              <w:rPr>
                <w:rFonts w:hint="eastAsia" w:eastAsia="黑体"/>
                <w:color w:val="auto"/>
                <w:lang w:val="en-US" w:eastAsia="zh-CN"/>
              </w:rPr>
              <w:t>7</w:t>
            </w:r>
            <w:r>
              <w:rPr>
                <w:rFonts w:hint="eastAsia" w:eastAsia="黑体"/>
                <w:color w:val="auto"/>
              </w:rPr>
              <w:t xml:space="preserve"> </w:t>
            </w:r>
            <w:r>
              <w:rPr>
                <w:rFonts w:eastAsia="黑体"/>
                <w:color w:val="auto"/>
              </w:rPr>
              <w:t xml:space="preserve"> </w:t>
            </w:r>
            <w:r>
              <w:rPr>
                <w:rFonts w:hint="eastAsia" w:eastAsia="黑体"/>
                <w:color w:val="auto"/>
              </w:rPr>
              <w:t>废气监测计划一览表</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548"/>
              <w:gridCol w:w="1034"/>
              <w:gridCol w:w="1072"/>
              <w:gridCol w:w="4417"/>
            </w:tblGrid>
            <w:tr w14:paraId="3DDD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shd w:val="clear" w:color="auto" w:fill="auto"/>
                  <w:vAlign w:val="center"/>
                </w:tcPr>
                <w:p w14:paraId="2611AE5A">
                  <w:pPr>
                    <w:spacing w:line="240" w:lineRule="auto"/>
                    <w:jc w:val="center"/>
                    <w:rPr>
                      <w:color w:val="auto"/>
                      <w:sz w:val="18"/>
                      <w:szCs w:val="18"/>
                    </w:rPr>
                  </w:pPr>
                  <w:r>
                    <w:rPr>
                      <w:rFonts w:hint="eastAsia"/>
                      <w:color w:val="auto"/>
                      <w:sz w:val="18"/>
                      <w:szCs w:val="18"/>
                    </w:rPr>
                    <w:t>监测要求</w:t>
                  </w:r>
                </w:p>
              </w:tc>
            </w:tr>
            <w:tr w14:paraId="71F1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shd w:val="clear" w:color="auto" w:fill="auto"/>
                  <w:vAlign w:val="center"/>
                </w:tcPr>
                <w:p w14:paraId="52D01D42">
                  <w:pPr>
                    <w:spacing w:line="240" w:lineRule="auto"/>
                    <w:jc w:val="center"/>
                    <w:rPr>
                      <w:color w:val="auto"/>
                      <w:sz w:val="18"/>
                      <w:szCs w:val="18"/>
                    </w:rPr>
                  </w:pPr>
                  <w:r>
                    <w:rPr>
                      <w:rFonts w:hint="eastAsia"/>
                      <w:color w:val="auto"/>
                      <w:sz w:val="18"/>
                      <w:szCs w:val="18"/>
                    </w:rPr>
                    <w:t>监测点位</w:t>
                  </w:r>
                </w:p>
              </w:tc>
              <w:tc>
                <w:tcPr>
                  <w:tcW w:w="854" w:type="pct"/>
                  <w:shd w:val="clear" w:color="auto" w:fill="auto"/>
                  <w:vAlign w:val="center"/>
                </w:tcPr>
                <w:p w14:paraId="711A9233">
                  <w:pPr>
                    <w:spacing w:line="240" w:lineRule="auto"/>
                    <w:jc w:val="center"/>
                    <w:rPr>
                      <w:color w:val="auto"/>
                      <w:sz w:val="18"/>
                      <w:szCs w:val="18"/>
                    </w:rPr>
                  </w:pPr>
                  <w:r>
                    <w:rPr>
                      <w:rFonts w:hint="eastAsia"/>
                      <w:color w:val="auto"/>
                      <w:sz w:val="18"/>
                      <w:szCs w:val="18"/>
                    </w:rPr>
                    <w:t>监测因子</w:t>
                  </w:r>
                </w:p>
              </w:tc>
              <w:tc>
                <w:tcPr>
                  <w:tcW w:w="570" w:type="pct"/>
                  <w:shd w:val="clear" w:color="auto" w:fill="auto"/>
                  <w:vAlign w:val="center"/>
                </w:tcPr>
                <w:p w14:paraId="376E9591">
                  <w:pPr>
                    <w:spacing w:line="240" w:lineRule="auto"/>
                    <w:jc w:val="center"/>
                    <w:rPr>
                      <w:color w:val="auto"/>
                      <w:sz w:val="18"/>
                      <w:szCs w:val="18"/>
                    </w:rPr>
                  </w:pPr>
                  <w:r>
                    <w:rPr>
                      <w:rFonts w:hint="eastAsia"/>
                      <w:color w:val="auto"/>
                      <w:sz w:val="18"/>
                      <w:szCs w:val="18"/>
                    </w:rPr>
                    <w:t>监测频次</w:t>
                  </w:r>
                </w:p>
              </w:tc>
              <w:tc>
                <w:tcPr>
                  <w:tcW w:w="591" w:type="pct"/>
                  <w:shd w:val="clear" w:color="auto" w:fill="auto"/>
                  <w:noWrap/>
                  <w:vAlign w:val="center"/>
                </w:tcPr>
                <w:p w14:paraId="4AB93777">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监测内容</w:t>
                  </w:r>
                </w:p>
              </w:tc>
              <w:tc>
                <w:tcPr>
                  <w:tcW w:w="2438" w:type="pct"/>
                  <w:shd w:val="clear" w:color="auto" w:fill="auto"/>
                  <w:noWrap/>
                  <w:vAlign w:val="center"/>
                </w:tcPr>
                <w:p w14:paraId="1099CA2F">
                  <w:pPr>
                    <w:spacing w:line="240" w:lineRule="auto"/>
                    <w:jc w:val="center"/>
                    <w:rPr>
                      <w:rFonts w:hint="eastAsia"/>
                      <w:color w:val="auto"/>
                      <w:sz w:val="18"/>
                      <w:szCs w:val="18"/>
                    </w:rPr>
                  </w:pPr>
                  <w:r>
                    <w:rPr>
                      <w:rFonts w:hint="eastAsia"/>
                      <w:color w:val="auto"/>
                      <w:sz w:val="18"/>
                      <w:szCs w:val="18"/>
                    </w:rPr>
                    <w:t>执行标准</w:t>
                  </w:r>
                </w:p>
              </w:tc>
            </w:tr>
            <w:tr w14:paraId="06BD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restart"/>
                  <w:shd w:val="clear" w:color="auto" w:fill="auto"/>
                  <w:vAlign w:val="center"/>
                </w:tcPr>
                <w:p w14:paraId="7087A2E6">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DA028</w:t>
                  </w:r>
                </w:p>
              </w:tc>
              <w:tc>
                <w:tcPr>
                  <w:tcW w:w="854" w:type="pct"/>
                  <w:shd w:val="clear" w:color="auto" w:fill="auto"/>
                  <w:vAlign w:val="center"/>
                </w:tcPr>
                <w:p w14:paraId="5EAA0CB4">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颗粒物</w:t>
                  </w:r>
                </w:p>
              </w:tc>
              <w:tc>
                <w:tcPr>
                  <w:tcW w:w="570" w:type="pct"/>
                  <w:shd w:val="clear" w:color="auto" w:fill="auto"/>
                  <w:vAlign w:val="center"/>
                </w:tcPr>
                <w:p w14:paraId="2EC407C0">
                  <w:pPr>
                    <w:spacing w:line="240" w:lineRule="auto"/>
                    <w:jc w:val="center"/>
                    <w:rPr>
                      <w:rFonts w:hint="eastAsia"/>
                      <w:color w:val="auto"/>
                      <w:sz w:val="18"/>
                      <w:szCs w:val="18"/>
                    </w:rPr>
                  </w:pPr>
                  <w:r>
                    <w:rPr>
                      <w:rFonts w:hint="eastAsia"/>
                      <w:color w:val="auto"/>
                      <w:sz w:val="18"/>
                      <w:szCs w:val="18"/>
                    </w:rPr>
                    <w:t>1次/年</w:t>
                  </w:r>
                </w:p>
              </w:tc>
              <w:tc>
                <w:tcPr>
                  <w:tcW w:w="591" w:type="pct"/>
                  <w:vMerge w:val="restart"/>
                  <w:shd w:val="clear" w:color="auto" w:fill="auto"/>
                  <w:noWrap/>
                  <w:vAlign w:val="center"/>
                </w:tcPr>
                <w:p w14:paraId="34D5B954">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烟气流速，烟气温度</w:t>
                  </w:r>
                  <w:r>
                    <w:rPr>
                      <w:rFonts w:hint="eastAsia" w:cs="Times New Roman"/>
                      <w:color w:val="auto"/>
                      <w:kern w:val="2"/>
                      <w:sz w:val="18"/>
                      <w:szCs w:val="18"/>
                      <w:lang w:val="en-US" w:eastAsia="zh-CN" w:bidi="ar-SA"/>
                    </w:rPr>
                    <w:t>，</w:t>
                  </w:r>
                  <w:r>
                    <w:rPr>
                      <w:rFonts w:hint="eastAsia" w:ascii="Times New Roman" w:hAnsi="Times New Roman" w:eastAsia="宋体" w:cs="Times New Roman"/>
                      <w:color w:val="auto"/>
                      <w:kern w:val="2"/>
                      <w:sz w:val="18"/>
                      <w:szCs w:val="18"/>
                      <w:lang w:val="en-US" w:eastAsia="zh-CN" w:bidi="ar-SA"/>
                    </w:rPr>
                    <w:t>烟道截面积，烟气</w:t>
                  </w:r>
                  <w:r>
                    <w:rPr>
                      <w:rFonts w:hint="eastAsia" w:cs="Times New Roman"/>
                      <w:color w:val="auto"/>
                      <w:kern w:val="2"/>
                      <w:sz w:val="18"/>
                      <w:szCs w:val="18"/>
                      <w:lang w:val="en-US" w:eastAsia="zh-CN" w:bidi="ar-SA"/>
                    </w:rPr>
                    <w:t>量</w:t>
                  </w:r>
                  <w:r>
                    <w:rPr>
                      <w:rFonts w:hint="eastAsia" w:ascii="Times New Roman" w:hAnsi="Times New Roman" w:eastAsia="宋体" w:cs="Times New Roman"/>
                      <w:color w:val="auto"/>
                      <w:kern w:val="2"/>
                      <w:sz w:val="18"/>
                      <w:szCs w:val="18"/>
                      <w:lang w:val="en-US" w:eastAsia="zh-CN" w:bidi="ar-SA"/>
                    </w:rPr>
                    <w:t>，</w:t>
                  </w:r>
                  <w:r>
                    <w:rPr>
                      <w:rFonts w:hint="eastAsia" w:cs="Times New Roman"/>
                      <w:color w:val="auto"/>
                      <w:kern w:val="2"/>
                      <w:sz w:val="18"/>
                      <w:szCs w:val="18"/>
                      <w:lang w:val="en-US" w:eastAsia="zh-CN" w:bidi="ar-SA"/>
                    </w:rPr>
                    <w:t>氧含量</w:t>
                  </w:r>
                </w:p>
              </w:tc>
              <w:tc>
                <w:tcPr>
                  <w:tcW w:w="2438" w:type="pct"/>
                  <w:shd w:val="clear" w:color="auto" w:fill="auto"/>
                  <w:noWrap/>
                  <w:vAlign w:val="center"/>
                </w:tcPr>
                <w:p w14:paraId="34A337B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eastAsia="宋体"/>
                      <w:color w:val="auto"/>
                      <w:sz w:val="18"/>
                      <w:szCs w:val="18"/>
                      <w:lang w:eastAsia="zh-CN"/>
                    </w:rPr>
                    <w:t>《铸造工业大气污染物排放标准》（GB39726-2020）中相应标准限值</w:t>
                  </w:r>
                </w:p>
              </w:tc>
            </w:tr>
            <w:tr w14:paraId="3EFD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continue"/>
                  <w:shd w:val="clear" w:color="auto" w:fill="auto"/>
                  <w:vAlign w:val="center"/>
                </w:tcPr>
                <w:p w14:paraId="4D77772C">
                  <w:pPr>
                    <w:spacing w:line="240" w:lineRule="auto"/>
                    <w:jc w:val="center"/>
                    <w:rPr>
                      <w:rFonts w:hint="eastAsia"/>
                      <w:color w:val="auto"/>
                      <w:sz w:val="18"/>
                      <w:szCs w:val="18"/>
                      <w:lang w:val="en-US" w:eastAsia="zh-CN"/>
                    </w:rPr>
                  </w:pPr>
                </w:p>
              </w:tc>
              <w:tc>
                <w:tcPr>
                  <w:tcW w:w="854" w:type="pct"/>
                  <w:shd w:val="clear" w:color="auto" w:fill="auto"/>
                  <w:vAlign w:val="center"/>
                </w:tcPr>
                <w:p w14:paraId="5388616E">
                  <w:pPr>
                    <w:spacing w:line="240" w:lineRule="auto"/>
                    <w:jc w:val="center"/>
                    <w:rPr>
                      <w:rFonts w:hint="default"/>
                      <w:color w:val="auto"/>
                      <w:sz w:val="18"/>
                      <w:szCs w:val="18"/>
                      <w:lang w:val="en-US" w:eastAsia="zh-CN"/>
                    </w:rPr>
                  </w:pPr>
                  <w:r>
                    <w:rPr>
                      <w:rFonts w:hint="eastAsia"/>
                      <w:color w:val="auto"/>
                      <w:sz w:val="18"/>
                      <w:szCs w:val="18"/>
                      <w:lang w:val="en-US" w:eastAsia="zh-CN"/>
                    </w:rPr>
                    <w:t>氯化氢</w:t>
                  </w:r>
                </w:p>
              </w:tc>
              <w:tc>
                <w:tcPr>
                  <w:tcW w:w="570" w:type="pct"/>
                  <w:shd w:val="clear" w:color="auto" w:fill="auto"/>
                  <w:vAlign w:val="center"/>
                </w:tcPr>
                <w:p w14:paraId="52C92047">
                  <w:pPr>
                    <w:spacing w:line="240" w:lineRule="auto"/>
                    <w:jc w:val="center"/>
                    <w:rPr>
                      <w:rFonts w:hint="eastAsia"/>
                      <w:color w:val="auto"/>
                      <w:sz w:val="18"/>
                      <w:szCs w:val="18"/>
                    </w:rPr>
                  </w:pPr>
                  <w:r>
                    <w:rPr>
                      <w:rFonts w:hint="eastAsia"/>
                      <w:color w:val="auto"/>
                      <w:sz w:val="18"/>
                      <w:szCs w:val="18"/>
                    </w:rPr>
                    <w:t>1次/年</w:t>
                  </w:r>
                </w:p>
              </w:tc>
              <w:tc>
                <w:tcPr>
                  <w:tcW w:w="591" w:type="pct"/>
                  <w:vMerge w:val="continue"/>
                  <w:shd w:val="clear" w:color="auto" w:fill="auto"/>
                  <w:noWrap/>
                  <w:vAlign w:val="center"/>
                </w:tcPr>
                <w:p w14:paraId="470B18A9">
                  <w:pPr>
                    <w:spacing w:line="240" w:lineRule="auto"/>
                    <w:jc w:val="center"/>
                    <w:rPr>
                      <w:rFonts w:hint="eastAsia" w:ascii="Times New Roman" w:hAnsi="Times New Roman" w:eastAsia="宋体" w:cs="Times New Roman"/>
                      <w:color w:val="auto"/>
                      <w:kern w:val="2"/>
                      <w:sz w:val="18"/>
                      <w:szCs w:val="18"/>
                      <w:lang w:val="en-US" w:eastAsia="zh-CN" w:bidi="ar-SA"/>
                    </w:rPr>
                  </w:pPr>
                </w:p>
              </w:tc>
              <w:tc>
                <w:tcPr>
                  <w:tcW w:w="2438" w:type="pct"/>
                  <w:vMerge w:val="restart"/>
                  <w:shd w:val="clear" w:color="auto" w:fill="auto"/>
                  <w:noWrap/>
                  <w:vAlign w:val="center"/>
                </w:tcPr>
                <w:p w14:paraId="72969C16">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w:t>
                  </w:r>
                  <w:r>
                    <w:rPr>
                      <w:rFonts w:hint="eastAsia"/>
                      <w:color w:val="auto"/>
                      <w:sz w:val="18"/>
                      <w:szCs w:val="18"/>
                      <w:lang w:val="en-US" w:eastAsia="zh-CN"/>
                    </w:rPr>
                    <w:t>大气</w:t>
                  </w:r>
                  <w:r>
                    <w:rPr>
                      <w:rFonts w:hint="eastAsia"/>
                      <w:color w:val="auto"/>
                      <w:sz w:val="18"/>
                      <w:szCs w:val="18"/>
                    </w:rPr>
                    <w:t>污染物</w:t>
                  </w:r>
                  <w:r>
                    <w:rPr>
                      <w:rFonts w:hint="eastAsia"/>
                      <w:color w:val="auto"/>
                      <w:sz w:val="18"/>
                      <w:szCs w:val="18"/>
                      <w:lang w:val="en-US" w:eastAsia="zh-CN"/>
                    </w:rPr>
                    <w:t>综合</w:t>
                  </w:r>
                  <w:r>
                    <w:rPr>
                      <w:rFonts w:hint="eastAsia"/>
                      <w:color w:val="auto"/>
                      <w:sz w:val="18"/>
                      <w:szCs w:val="18"/>
                    </w:rPr>
                    <w:t>排放标准》（GB 16297-1996）表2</w:t>
                  </w:r>
                </w:p>
              </w:tc>
            </w:tr>
            <w:tr w14:paraId="09E7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continue"/>
                  <w:shd w:val="clear" w:color="auto" w:fill="auto"/>
                  <w:vAlign w:val="center"/>
                </w:tcPr>
                <w:p w14:paraId="2CED4046">
                  <w:pPr>
                    <w:spacing w:line="240" w:lineRule="auto"/>
                    <w:jc w:val="center"/>
                    <w:rPr>
                      <w:rFonts w:hint="eastAsia"/>
                      <w:color w:val="auto"/>
                      <w:sz w:val="18"/>
                      <w:szCs w:val="18"/>
                      <w:lang w:val="en-US" w:eastAsia="zh-CN"/>
                    </w:rPr>
                  </w:pPr>
                </w:p>
              </w:tc>
              <w:tc>
                <w:tcPr>
                  <w:tcW w:w="854" w:type="pct"/>
                  <w:shd w:val="clear" w:color="auto" w:fill="auto"/>
                  <w:vAlign w:val="center"/>
                </w:tcPr>
                <w:p w14:paraId="0E4DC704">
                  <w:pPr>
                    <w:spacing w:line="240" w:lineRule="auto"/>
                    <w:jc w:val="center"/>
                    <w:rPr>
                      <w:rFonts w:hint="default"/>
                      <w:color w:val="auto"/>
                      <w:sz w:val="18"/>
                      <w:szCs w:val="18"/>
                      <w:lang w:val="en-US" w:eastAsia="zh-CN"/>
                    </w:rPr>
                  </w:pPr>
                  <w:r>
                    <w:rPr>
                      <w:rFonts w:hint="eastAsia"/>
                      <w:color w:val="auto"/>
                      <w:sz w:val="18"/>
                      <w:szCs w:val="18"/>
                      <w:lang w:val="en-US" w:eastAsia="zh-CN"/>
                    </w:rPr>
                    <w:t>氟化物</w:t>
                  </w:r>
                </w:p>
              </w:tc>
              <w:tc>
                <w:tcPr>
                  <w:tcW w:w="570" w:type="pct"/>
                  <w:shd w:val="clear" w:color="auto" w:fill="auto"/>
                  <w:vAlign w:val="center"/>
                </w:tcPr>
                <w:p w14:paraId="772803D6">
                  <w:pPr>
                    <w:spacing w:line="240" w:lineRule="auto"/>
                    <w:jc w:val="center"/>
                    <w:rPr>
                      <w:rFonts w:hint="eastAsia"/>
                      <w:color w:val="auto"/>
                      <w:sz w:val="18"/>
                      <w:szCs w:val="18"/>
                    </w:rPr>
                  </w:pPr>
                  <w:r>
                    <w:rPr>
                      <w:rFonts w:hint="eastAsia"/>
                      <w:color w:val="auto"/>
                      <w:sz w:val="18"/>
                      <w:szCs w:val="18"/>
                    </w:rPr>
                    <w:t>1次/年</w:t>
                  </w:r>
                </w:p>
              </w:tc>
              <w:tc>
                <w:tcPr>
                  <w:tcW w:w="591" w:type="pct"/>
                  <w:vMerge w:val="continue"/>
                  <w:shd w:val="clear" w:color="auto" w:fill="auto"/>
                  <w:noWrap/>
                  <w:vAlign w:val="center"/>
                </w:tcPr>
                <w:p w14:paraId="5D8DD489">
                  <w:pPr>
                    <w:spacing w:line="240" w:lineRule="auto"/>
                    <w:jc w:val="center"/>
                    <w:rPr>
                      <w:rFonts w:hint="eastAsia"/>
                      <w:color w:val="auto"/>
                      <w:sz w:val="18"/>
                      <w:szCs w:val="18"/>
                    </w:rPr>
                  </w:pPr>
                </w:p>
              </w:tc>
              <w:tc>
                <w:tcPr>
                  <w:tcW w:w="2438" w:type="pct"/>
                  <w:vMerge w:val="continue"/>
                  <w:shd w:val="clear" w:color="auto" w:fill="auto"/>
                  <w:noWrap/>
                  <w:vAlign w:val="center"/>
                </w:tcPr>
                <w:p w14:paraId="5FBDA050">
                  <w:pPr>
                    <w:spacing w:line="240" w:lineRule="auto"/>
                    <w:jc w:val="center"/>
                    <w:rPr>
                      <w:rFonts w:hint="eastAsia" w:ascii="Times New Roman" w:hAnsi="Times New Roman" w:eastAsia="宋体" w:cs="Times New Roman"/>
                      <w:color w:val="auto"/>
                      <w:kern w:val="2"/>
                      <w:sz w:val="18"/>
                      <w:szCs w:val="18"/>
                      <w:lang w:val="en-US" w:eastAsia="zh-CN" w:bidi="ar-SA"/>
                    </w:rPr>
                  </w:pPr>
                </w:p>
              </w:tc>
            </w:tr>
            <w:tr w14:paraId="4B1A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restart"/>
                  <w:shd w:val="clear" w:color="auto" w:fill="auto"/>
                  <w:vAlign w:val="center"/>
                </w:tcPr>
                <w:p w14:paraId="606A2B0E">
                  <w:pPr>
                    <w:spacing w:line="240" w:lineRule="auto"/>
                    <w:jc w:val="center"/>
                    <w:rPr>
                      <w:color w:val="auto"/>
                      <w:sz w:val="18"/>
                      <w:szCs w:val="18"/>
                    </w:rPr>
                  </w:pPr>
                  <w:r>
                    <w:rPr>
                      <w:rFonts w:hint="eastAsia"/>
                      <w:color w:val="auto"/>
                      <w:sz w:val="18"/>
                      <w:szCs w:val="18"/>
                    </w:rPr>
                    <w:t>厂界</w:t>
                  </w:r>
                </w:p>
              </w:tc>
              <w:tc>
                <w:tcPr>
                  <w:tcW w:w="854" w:type="pct"/>
                  <w:shd w:val="clear" w:color="auto" w:fill="auto"/>
                  <w:vAlign w:val="center"/>
                </w:tcPr>
                <w:p w14:paraId="1E5AD572">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颗粒物</w:t>
                  </w:r>
                </w:p>
              </w:tc>
              <w:tc>
                <w:tcPr>
                  <w:tcW w:w="570" w:type="pct"/>
                  <w:shd w:val="clear" w:color="auto" w:fill="auto"/>
                  <w:vAlign w:val="center"/>
                </w:tcPr>
                <w:p w14:paraId="49B62CCC">
                  <w:pPr>
                    <w:spacing w:line="240" w:lineRule="auto"/>
                    <w:jc w:val="center"/>
                    <w:rPr>
                      <w:color w:val="auto"/>
                      <w:sz w:val="18"/>
                      <w:szCs w:val="18"/>
                    </w:rPr>
                  </w:pPr>
                  <w:r>
                    <w:rPr>
                      <w:rFonts w:hint="eastAsia"/>
                      <w:color w:val="auto"/>
                      <w:sz w:val="18"/>
                      <w:szCs w:val="18"/>
                    </w:rPr>
                    <w:t>1次/年</w:t>
                  </w:r>
                </w:p>
              </w:tc>
              <w:tc>
                <w:tcPr>
                  <w:tcW w:w="591" w:type="pct"/>
                  <w:vMerge w:val="restart"/>
                  <w:shd w:val="clear" w:color="auto" w:fill="auto"/>
                  <w:vAlign w:val="center"/>
                </w:tcPr>
                <w:p w14:paraId="378BB819">
                  <w:pPr>
                    <w:spacing w:line="240" w:lineRule="auto"/>
                    <w:jc w:val="center"/>
                    <w:rPr>
                      <w:rFonts w:hint="default" w:eastAsia="宋体"/>
                      <w:color w:val="auto"/>
                      <w:sz w:val="18"/>
                      <w:szCs w:val="18"/>
                      <w:lang w:val="en-US" w:eastAsia="zh-CN"/>
                    </w:rPr>
                  </w:pPr>
                  <w:r>
                    <w:rPr>
                      <w:rFonts w:hint="eastAsia"/>
                      <w:color w:val="auto"/>
                      <w:sz w:val="18"/>
                      <w:szCs w:val="18"/>
                    </w:rPr>
                    <w:t>温度，湿度</w:t>
                  </w:r>
                  <w:r>
                    <w:rPr>
                      <w:rFonts w:hint="eastAsia"/>
                      <w:color w:val="auto"/>
                      <w:sz w:val="18"/>
                      <w:szCs w:val="18"/>
                      <w:lang w:eastAsia="zh-CN"/>
                    </w:rPr>
                    <w:t>，</w:t>
                  </w:r>
                  <w:r>
                    <w:rPr>
                      <w:rFonts w:hint="eastAsia"/>
                      <w:color w:val="auto"/>
                      <w:sz w:val="18"/>
                      <w:szCs w:val="18"/>
                      <w:lang w:val="en-US" w:eastAsia="zh-CN"/>
                    </w:rPr>
                    <w:t>气压，风速，风向</w:t>
                  </w:r>
                </w:p>
              </w:tc>
              <w:tc>
                <w:tcPr>
                  <w:tcW w:w="2438" w:type="pct"/>
                  <w:vMerge w:val="restart"/>
                  <w:shd w:val="clear" w:color="auto" w:fill="auto"/>
                  <w:vAlign w:val="center"/>
                </w:tcPr>
                <w:p w14:paraId="37DC9CA7">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w:t>
                  </w:r>
                  <w:r>
                    <w:rPr>
                      <w:rFonts w:hint="eastAsia"/>
                      <w:color w:val="auto"/>
                      <w:sz w:val="18"/>
                      <w:szCs w:val="18"/>
                      <w:lang w:val="en-US" w:eastAsia="zh-CN"/>
                    </w:rPr>
                    <w:t>大气</w:t>
                  </w:r>
                  <w:r>
                    <w:rPr>
                      <w:rFonts w:hint="eastAsia"/>
                      <w:color w:val="auto"/>
                      <w:sz w:val="18"/>
                      <w:szCs w:val="18"/>
                    </w:rPr>
                    <w:t>污染物</w:t>
                  </w:r>
                  <w:r>
                    <w:rPr>
                      <w:rFonts w:hint="eastAsia"/>
                      <w:color w:val="auto"/>
                      <w:sz w:val="18"/>
                      <w:szCs w:val="18"/>
                      <w:lang w:val="en-US" w:eastAsia="zh-CN"/>
                    </w:rPr>
                    <w:t>综合</w:t>
                  </w:r>
                  <w:r>
                    <w:rPr>
                      <w:rFonts w:hint="eastAsia"/>
                      <w:color w:val="auto"/>
                      <w:sz w:val="18"/>
                      <w:szCs w:val="18"/>
                    </w:rPr>
                    <w:t>排放标准》（GB 16297-1996）</w:t>
                  </w:r>
                </w:p>
              </w:tc>
            </w:tr>
            <w:tr w14:paraId="202D1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continue"/>
                  <w:shd w:val="clear" w:color="auto" w:fill="auto"/>
                  <w:vAlign w:val="center"/>
                </w:tcPr>
                <w:p w14:paraId="2F0D4314">
                  <w:pPr>
                    <w:spacing w:line="240" w:lineRule="auto"/>
                    <w:jc w:val="center"/>
                    <w:rPr>
                      <w:rFonts w:hint="eastAsia"/>
                      <w:color w:val="auto"/>
                      <w:sz w:val="18"/>
                      <w:szCs w:val="18"/>
                    </w:rPr>
                  </w:pPr>
                </w:p>
              </w:tc>
              <w:tc>
                <w:tcPr>
                  <w:tcW w:w="854" w:type="pct"/>
                  <w:shd w:val="clear" w:color="auto" w:fill="auto"/>
                  <w:vAlign w:val="center"/>
                </w:tcPr>
                <w:p w14:paraId="381B3F2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二氧化硫</w:t>
                  </w:r>
                </w:p>
              </w:tc>
              <w:tc>
                <w:tcPr>
                  <w:tcW w:w="570" w:type="pct"/>
                  <w:shd w:val="clear" w:color="auto" w:fill="auto"/>
                  <w:vAlign w:val="center"/>
                </w:tcPr>
                <w:p w14:paraId="14F91E07">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1次/年</w:t>
                  </w:r>
                </w:p>
              </w:tc>
              <w:tc>
                <w:tcPr>
                  <w:tcW w:w="591" w:type="pct"/>
                  <w:vMerge w:val="continue"/>
                  <w:shd w:val="clear" w:color="auto" w:fill="auto"/>
                  <w:vAlign w:val="center"/>
                </w:tcPr>
                <w:p w14:paraId="24EBD318">
                  <w:pPr>
                    <w:spacing w:line="240" w:lineRule="auto"/>
                    <w:jc w:val="center"/>
                    <w:rPr>
                      <w:rFonts w:hint="eastAsia"/>
                      <w:color w:val="auto"/>
                      <w:sz w:val="18"/>
                      <w:szCs w:val="18"/>
                      <w:lang w:eastAsia="zh-CN"/>
                    </w:rPr>
                  </w:pPr>
                </w:p>
              </w:tc>
              <w:tc>
                <w:tcPr>
                  <w:tcW w:w="2438" w:type="pct"/>
                  <w:vMerge w:val="continue"/>
                  <w:shd w:val="clear" w:color="auto" w:fill="auto"/>
                  <w:vAlign w:val="center"/>
                </w:tcPr>
                <w:p w14:paraId="78F7EAC8">
                  <w:pPr>
                    <w:spacing w:line="240" w:lineRule="auto"/>
                    <w:jc w:val="center"/>
                    <w:rPr>
                      <w:rFonts w:hint="eastAsia" w:ascii="Times New Roman" w:hAnsi="Times New Roman" w:eastAsia="宋体" w:cs="Times New Roman"/>
                      <w:color w:val="auto"/>
                      <w:kern w:val="2"/>
                      <w:sz w:val="18"/>
                      <w:szCs w:val="18"/>
                      <w:lang w:val="en-US" w:eastAsia="zh-CN" w:bidi="ar-SA"/>
                    </w:rPr>
                  </w:pPr>
                </w:p>
              </w:tc>
            </w:tr>
            <w:tr w14:paraId="2B09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continue"/>
                  <w:shd w:val="clear" w:color="auto" w:fill="auto"/>
                  <w:vAlign w:val="center"/>
                </w:tcPr>
                <w:p w14:paraId="762909A1">
                  <w:pPr>
                    <w:spacing w:line="240" w:lineRule="auto"/>
                    <w:jc w:val="center"/>
                    <w:rPr>
                      <w:rFonts w:hint="eastAsia"/>
                      <w:color w:val="auto"/>
                      <w:sz w:val="18"/>
                      <w:szCs w:val="18"/>
                    </w:rPr>
                  </w:pPr>
                </w:p>
              </w:tc>
              <w:tc>
                <w:tcPr>
                  <w:tcW w:w="854" w:type="pct"/>
                  <w:shd w:val="clear" w:color="auto" w:fill="auto"/>
                  <w:vAlign w:val="center"/>
                </w:tcPr>
                <w:p w14:paraId="118DE7CF">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氮氧化物</w:t>
                  </w:r>
                </w:p>
              </w:tc>
              <w:tc>
                <w:tcPr>
                  <w:tcW w:w="570" w:type="pct"/>
                  <w:shd w:val="clear" w:color="auto" w:fill="auto"/>
                  <w:vAlign w:val="center"/>
                </w:tcPr>
                <w:p w14:paraId="65CBC04D">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1次/年</w:t>
                  </w:r>
                </w:p>
              </w:tc>
              <w:tc>
                <w:tcPr>
                  <w:tcW w:w="591" w:type="pct"/>
                  <w:vMerge w:val="continue"/>
                  <w:shd w:val="clear" w:color="auto" w:fill="auto"/>
                  <w:vAlign w:val="center"/>
                </w:tcPr>
                <w:p w14:paraId="5F915350">
                  <w:pPr>
                    <w:spacing w:line="240" w:lineRule="auto"/>
                    <w:jc w:val="center"/>
                    <w:rPr>
                      <w:rFonts w:hint="eastAsia"/>
                      <w:color w:val="auto"/>
                      <w:sz w:val="18"/>
                      <w:szCs w:val="18"/>
                      <w:lang w:eastAsia="zh-CN"/>
                    </w:rPr>
                  </w:pPr>
                </w:p>
              </w:tc>
              <w:tc>
                <w:tcPr>
                  <w:tcW w:w="2438" w:type="pct"/>
                  <w:vMerge w:val="continue"/>
                  <w:shd w:val="clear" w:color="auto" w:fill="auto"/>
                  <w:vAlign w:val="center"/>
                </w:tcPr>
                <w:p w14:paraId="41E48BB5">
                  <w:pPr>
                    <w:spacing w:line="240" w:lineRule="auto"/>
                    <w:jc w:val="center"/>
                    <w:rPr>
                      <w:rFonts w:hint="eastAsia" w:ascii="Times New Roman" w:hAnsi="Times New Roman" w:eastAsia="宋体" w:cs="Times New Roman"/>
                      <w:color w:val="auto"/>
                      <w:kern w:val="2"/>
                      <w:sz w:val="18"/>
                      <w:szCs w:val="18"/>
                      <w:lang w:val="en-US" w:eastAsia="zh-CN" w:bidi="ar-SA"/>
                    </w:rPr>
                  </w:pPr>
                </w:p>
              </w:tc>
            </w:tr>
            <w:tr w14:paraId="04A0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vMerge w:val="continue"/>
                  <w:shd w:val="clear" w:color="auto" w:fill="auto"/>
                  <w:vAlign w:val="center"/>
                </w:tcPr>
                <w:p w14:paraId="3C549B1C">
                  <w:pPr>
                    <w:spacing w:line="240" w:lineRule="auto"/>
                    <w:jc w:val="center"/>
                    <w:rPr>
                      <w:rFonts w:hint="eastAsia"/>
                      <w:color w:val="auto"/>
                      <w:sz w:val="18"/>
                      <w:szCs w:val="18"/>
                    </w:rPr>
                  </w:pPr>
                </w:p>
              </w:tc>
              <w:tc>
                <w:tcPr>
                  <w:tcW w:w="854" w:type="pct"/>
                  <w:shd w:val="clear" w:color="auto" w:fill="auto"/>
                  <w:vAlign w:val="center"/>
                </w:tcPr>
                <w:p w14:paraId="7474DE2A">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氨</w:t>
                  </w:r>
                </w:p>
              </w:tc>
              <w:tc>
                <w:tcPr>
                  <w:tcW w:w="570" w:type="pct"/>
                  <w:shd w:val="clear" w:color="auto" w:fill="auto"/>
                  <w:vAlign w:val="center"/>
                </w:tcPr>
                <w:p w14:paraId="6D41518F">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1次/年</w:t>
                  </w:r>
                </w:p>
              </w:tc>
              <w:tc>
                <w:tcPr>
                  <w:tcW w:w="591" w:type="pct"/>
                  <w:vMerge w:val="continue"/>
                  <w:shd w:val="clear" w:color="auto" w:fill="auto"/>
                  <w:vAlign w:val="center"/>
                </w:tcPr>
                <w:p w14:paraId="75966222">
                  <w:pPr>
                    <w:spacing w:line="240" w:lineRule="auto"/>
                    <w:jc w:val="center"/>
                    <w:rPr>
                      <w:rFonts w:hint="eastAsia" w:ascii="Times New Roman" w:hAnsi="Times New Roman" w:eastAsia="宋体" w:cs="Times New Roman"/>
                      <w:color w:val="auto"/>
                      <w:kern w:val="2"/>
                      <w:sz w:val="18"/>
                      <w:szCs w:val="18"/>
                      <w:lang w:val="en-US" w:eastAsia="zh-CN" w:bidi="ar-SA"/>
                    </w:rPr>
                  </w:pPr>
                </w:p>
              </w:tc>
              <w:tc>
                <w:tcPr>
                  <w:tcW w:w="2438" w:type="pct"/>
                  <w:shd w:val="clear" w:color="auto" w:fill="auto"/>
                  <w:vAlign w:val="center"/>
                </w:tcPr>
                <w:p w14:paraId="2ED9B76F">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eastAsia="zh-CN"/>
                    </w:rPr>
                    <w:t>《恶臭污染物排放标准》(GB14554-93) 表1 中无组织排放标准</w:t>
                  </w:r>
                </w:p>
              </w:tc>
            </w:tr>
            <w:tr w14:paraId="50AB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4" w:type="pct"/>
                  <w:shd w:val="clear" w:color="auto" w:fill="auto"/>
                  <w:vAlign w:val="center"/>
                </w:tcPr>
                <w:p w14:paraId="4739F450">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厂区内</w:t>
                  </w:r>
                </w:p>
              </w:tc>
              <w:tc>
                <w:tcPr>
                  <w:tcW w:w="854" w:type="pct"/>
                  <w:shd w:val="clear" w:color="auto" w:fill="auto"/>
                  <w:vAlign w:val="center"/>
                </w:tcPr>
                <w:p w14:paraId="579DD82A">
                  <w:pPr>
                    <w:spacing w:line="240" w:lineRule="auto"/>
                    <w:jc w:val="center"/>
                    <w:rPr>
                      <w:rFonts w:hint="default"/>
                      <w:color w:val="auto"/>
                      <w:sz w:val="18"/>
                      <w:szCs w:val="18"/>
                      <w:lang w:val="en-US" w:eastAsia="zh-CN"/>
                    </w:rPr>
                  </w:pPr>
                  <w:r>
                    <w:rPr>
                      <w:rFonts w:hint="eastAsia"/>
                      <w:color w:val="auto"/>
                      <w:sz w:val="18"/>
                      <w:szCs w:val="18"/>
                      <w:lang w:val="en-US" w:eastAsia="zh-CN"/>
                    </w:rPr>
                    <w:t>颗粒物</w:t>
                  </w:r>
                </w:p>
              </w:tc>
              <w:tc>
                <w:tcPr>
                  <w:tcW w:w="570" w:type="pct"/>
                  <w:shd w:val="clear" w:color="auto" w:fill="auto"/>
                  <w:vAlign w:val="center"/>
                </w:tcPr>
                <w:p w14:paraId="62AD0D77">
                  <w:pPr>
                    <w:spacing w:line="240" w:lineRule="auto"/>
                    <w:jc w:val="center"/>
                    <w:rPr>
                      <w:rFonts w:hint="eastAsia"/>
                      <w:color w:val="auto"/>
                      <w:sz w:val="18"/>
                      <w:szCs w:val="18"/>
                    </w:rPr>
                  </w:pPr>
                  <w:r>
                    <w:rPr>
                      <w:rFonts w:hint="eastAsia"/>
                      <w:color w:val="auto"/>
                      <w:sz w:val="18"/>
                      <w:szCs w:val="18"/>
                    </w:rPr>
                    <w:t>1次/年</w:t>
                  </w:r>
                </w:p>
              </w:tc>
              <w:tc>
                <w:tcPr>
                  <w:tcW w:w="591" w:type="pct"/>
                  <w:vMerge w:val="continue"/>
                  <w:shd w:val="clear" w:color="auto" w:fill="auto"/>
                  <w:vAlign w:val="center"/>
                </w:tcPr>
                <w:p w14:paraId="096CC9F3">
                  <w:pPr>
                    <w:spacing w:line="240" w:lineRule="auto"/>
                    <w:jc w:val="center"/>
                    <w:rPr>
                      <w:rFonts w:hint="eastAsia" w:ascii="Times New Roman" w:hAnsi="Times New Roman" w:eastAsia="宋体" w:cs="Times New Roman"/>
                      <w:color w:val="auto"/>
                      <w:kern w:val="2"/>
                      <w:sz w:val="18"/>
                      <w:szCs w:val="18"/>
                      <w:lang w:val="en-US" w:eastAsia="zh-CN" w:bidi="ar-SA"/>
                    </w:rPr>
                  </w:pPr>
                </w:p>
              </w:tc>
              <w:tc>
                <w:tcPr>
                  <w:tcW w:w="2438" w:type="pct"/>
                  <w:shd w:val="clear" w:color="auto" w:fill="auto"/>
                  <w:vAlign w:val="center"/>
                </w:tcPr>
                <w:p w14:paraId="471CAFF9">
                  <w:pPr>
                    <w:spacing w:line="240" w:lineRule="auto"/>
                    <w:jc w:val="center"/>
                    <w:rPr>
                      <w:rFonts w:hint="eastAsia"/>
                      <w:color w:val="auto"/>
                      <w:sz w:val="18"/>
                      <w:szCs w:val="18"/>
                      <w:lang w:eastAsia="zh-CN"/>
                    </w:rPr>
                  </w:pPr>
                  <w:r>
                    <w:rPr>
                      <w:rFonts w:hint="eastAsia" w:eastAsia="宋体"/>
                      <w:color w:val="auto"/>
                      <w:sz w:val="18"/>
                      <w:szCs w:val="18"/>
                      <w:lang w:eastAsia="zh-CN"/>
                    </w:rPr>
                    <w:t>《铸造工业大气污染物排放标准》（GB39726-2020）中相应标准限值</w:t>
                  </w:r>
                </w:p>
              </w:tc>
            </w:tr>
          </w:tbl>
          <w:p w14:paraId="447DF9D3">
            <w:pPr>
              <w:rPr>
                <w:b/>
                <w:color w:val="auto"/>
              </w:rPr>
            </w:pPr>
            <w:r>
              <w:rPr>
                <w:rFonts w:hint="eastAsia"/>
                <w:b/>
                <w:color w:val="auto"/>
              </w:rPr>
              <w:t>4、非正常工况</w:t>
            </w:r>
          </w:p>
          <w:p w14:paraId="63B4B7D2">
            <w:pPr>
              <w:ind w:firstLine="480" w:firstLineChars="200"/>
              <w:rPr>
                <w:color w:val="auto"/>
              </w:rPr>
            </w:pPr>
            <w:r>
              <w:rPr>
                <w:rFonts w:hint="eastAsia"/>
                <w:color w:val="auto"/>
              </w:rPr>
              <w:t>项目废气发生非正常排放原因主要为废气处理设施故障，如废气处理风机故障、除尘设备故障等。在最不利条件下，废气处理设施处理效率按0计算，废气排放详见下表。</w:t>
            </w:r>
          </w:p>
          <w:p w14:paraId="7A069928">
            <w:pPr>
              <w:jc w:val="center"/>
              <w:rPr>
                <w:rFonts w:hint="eastAsia" w:ascii="黑体" w:hAnsi="黑体" w:eastAsia="黑体"/>
                <w:color w:val="auto"/>
              </w:rPr>
            </w:pPr>
            <w:r>
              <w:rPr>
                <w:rFonts w:hint="eastAsia" w:ascii="黑体" w:hAnsi="黑体" w:eastAsia="黑体"/>
                <w:color w:val="auto"/>
              </w:rPr>
              <w:t>表</w:t>
            </w:r>
            <w:r>
              <w:rPr>
                <w:rFonts w:eastAsia="黑体"/>
                <w:color w:val="auto"/>
              </w:rPr>
              <w:t>4-</w:t>
            </w:r>
            <w:r>
              <w:rPr>
                <w:rFonts w:hint="eastAsia" w:eastAsia="黑体"/>
                <w:color w:val="auto"/>
                <w:lang w:val="en-US" w:eastAsia="zh-CN"/>
              </w:rPr>
              <w:t>8</w:t>
            </w:r>
            <w:r>
              <w:rPr>
                <w:rFonts w:hint="eastAsia" w:ascii="黑体" w:hAnsi="黑体" w:eastAsia="黑体"/>
                <w:color w:val="auto"/>
              </w:rPr>
              <w:t xml:space="preserve"> </w:t>
            </w:r>
            <w:r>
              <w:rPr>
                <w:rFonts w:ascii="黑体" w:hAnsi="黑体" w:eastAsia="黑体"/>
                <w:color w:val="auto"/>
              </w:rPr>
              <w:t xml:space="preserve"> </w:t>
            </w:r>
            <w:r>
              <w:rPr>
                <w:rFonts w:hint="eastAsia" w:ascii="黑体" w:hAnsi="黑体" w:eastAsia="黑体"/>
                <w:color w:val="auto"/>
              </w:rPr>
              <w:t>非正常工况废气排放情况表</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4"/>
              <w:gridCol w:w="933"/>
              <w:gridCol w:w="1361"/>
              <w:gridCol w:w="1140"/>
              <w:gridCol w:w="984"/>
              <w:gridCol w:w="1013"/>
              <w:gridCol w:w="1038"/>
              <w:gridCol w:w="1295"/>
            </w:tblGrid>
            <w:tr w14:paraId="0790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shd w:val="clear" w:color="auto" w:fill="auto"/>
                  <w:vAlign w:val="center"/>
                </w:tcPr>
                <w:p w14:paraId="75044707">
                  <w:pPr>
                    <w:spacing w:line="240" w:lineRule="auto"/>
                    <w:jc w:val="center"/>
                    <w:rPr>
                      <w:color w:val="auto"/>
                      <w:sz w:val="18"/>
                      <w:szCs w:val="18"/>
                    </w:rPr>
                  </w:pPr>
                  <w:r>
                    <w:rPr>
                      <w:rFonts w:hint="eastAsia"/>
                      <w:color w:val="auto"/>
                      <w:sz w:val="18"/>
                      <w:szCs w:val="18"/>
                    </w:rPr>
                    <w:t>非正常工况</w:t>
                  </w:r>
                </w:p>
              </w:tc>
              <w:tc>
                <w:tcPr>
                  <w:tcW w:w="515" w:type="pct"/>
                  <w:shd w:val="clear" w:color="auto" w:fill="auto"/>
                  <w:vAlign w:val="center"/>
                </w:tcPr>
                <w:p w14:paraId="4502853D">
                  <w:pPr>
                    <w:spacing w:line="240" w:lineRule="auto"/>
                    <w:jc w:val="center"/>
                    <w:rPr>
                      <w:color w:val="auto"/>
                      <w:sz w:val="18"/>
                      <w:szCs w:val="18"/>
                    </w:rPr>
                  </w:pPr>
                  <w:r>
                    <w:rPr>
                      <w:rFonts w:hint="eastAsia"/>
                      <w:color w:val="auto"/>
                      <w:sz w:val="18"/>
                      <w:szCs w:val="18"/>
                    </w:rPr>
                    <w:t>非正常排放源</w:t>
                  </w:r>
                </w:p>
              </w:tc>
              <w:tc>
                <w:tcPr>
                  <w:tcW w:w="751" w:type="pct"/>
                  <w:shd w:val="clear" w:color="auto" w:fill="auto"/>
                  <w:vAlign w:val="center"/>
                </w:tcPr>
                <w:p w14:paraId="625A8CC8">
                  <w:pPr>
                    <w:spacing w:line="240" w:lineRule="auto"/>
                    <w:jc w:val="center"/>
                    <w:rPr>
                      <w:color w:val="auto"/>
                      <w:sz w:val="18"/>
                      <w:szCs w:val="18"/>
                    </w:rPr>
                  </w:pPr>
                  <w:r>
                    <w:rPr>
                      <w:rFonts w:hint="eastAsia"/>
                      <w:color w:val="auto"/>
                      <w:sz w:val="18"/>
                      <w:szCs w:val="18"/>
                    </w:rPr>
                    <w:t>污染物</w:t>
                  </w:r>
                </w:p>
              </w:tc>
              <w:tc>
                <w:tcPr>
                  <w:tcW w:w="629" w:type="pct"/>
                  <w:shd w:val="clear" w:color="auto" w:fill="auto"/>
                  <w:vAlign w:val="center"/>
                </w:tcPr>
                <w:p w14:paraId="703882AA">
                  <w:pPr>
                    <w:spacing w:line="240" w:lineRule="auto"/>
                    <w:jc w:val="center"/>
                    <w:rPr>
                      <w:color w:val="auto"/>
                      <w:sz w:val="18"/>
                      <w:szCs w:val="18"/>
                    </w:rPr>
                  </w:pPr>
                  <w:r>
                    <w:rPr>
                      <w:rFonts w:hint="eastAsia"/>
                      <w:color w:val="auto"/>
                      <w:sz w:val="18"/>
                      <w:szCs w:val="18"/>
                    </w:rPr>
                    <w:t>排放速率（kg</w:t>
                  </w:r>
                  <w:r>
                    <w:rPr>
                      <w:color w:val="auto"/>
                      <w:sz w:val="18"/>
                      <w:szCs w:val="18"/>
                    </w:rPr>
                    <w:t>/</w:t>
                  </w:r>
                  <w:r>
                    <w:rPr>
                      <w:rFonts w:hint="eastAsia"/>
                      <w:color w:val="auto"/>
                      <w:sz w:val="18"/>
                      <w:szCs w:val="18"/>
                    </w:rPr>
                    <w:t>h）</w:t>
                  </w:r>
                </w:p>
              </w:tc>
              <w:tc>
                <w:tcPr>
                  <w:tcW w:w="543" w:type="pct"/>
                  <w:shd w:val="clear" w:color="auto" w:fill="auto"/>
                  <w:vAlign w:val="center"/>
                </w:tcPr>
                <w:p w14:paraId="47600517">
                  <w:pPr>
                    <w:spacing w:line="240" w:lineRule="auto"/>
                    <w:jc w:val="center"/>
                    <w:rPr>
                      <w:color w:val="auto"/>
                      <w:sz w:val="18"/>
                      <w:szCs w:val="18"/>
                    </w:rPr>
                  </w:pPr>
                  <w:r>
                    <w:rPr>
                      <w:rFonts w:hint="eastAsia"/>
                      <w:color w:val="auto"/>
                      <w:sz w:val="18"/>
                      <w:szCs w:val="18"/>
                    </w:rPr>
                    <w:t>排放浓度（</w:t>
                  </w:r>
                  <w:r>
                    <w:rPr>
                      <w:rFonts w:hint="eastAsia" w:cs="宋体"/>
                      <w:color w:val="auto"/>
                      <w:kern w:val="0"/>
                      <w:sz w:val="18"/>
                      <w:szCs w:val="18"/>
                      <w:lang w:bidi="ar"/>
                    </w:rPr>
                    <w:t>mg/m</w:t>
                  </w:r>
                  <w:r>
                    <w:rPr>
                      <w:rFonts w:hint="eastAsia" w:cs="宋体"/>
                      <w:color w:val="auto"/>
                      <w:kern w:val="0"/>
                      <w:sz w:val="18"/>
                      <w:szCs w:val="18"/>
                      <w:vertAlign w:val="superscript"/>
                      <w:lang w:bidi="ar"/>
                    </w:rPr>
                    <w:t>3</w:t>
                  </w:r>
                  <w:r>
                    <w:rPr>
                      <w:rFonts w:hint="eastAsia"/>
                      <w:color w:val="auto"/>
                      <w:sz w:val="18"/>
                      <w:szCs w:val="18"/>
                    </w:rPr>
                    <w:t>）</w:t>
                  </w:r>
                </w:p>
              </w:tc>
              <w:tc>
                <w:tcPr>
                  <w:tcW w:w="559" w:type="pct"/>
                  <w:shd w:val="clear" w:color="auto" w:fill="auto"/>
                  <w:vAlign w:val="center"/>
                </w:tcPr>
                <w:p w14:paraId="6DCBD745">
                  <w:pPr>
                    <w:spacing w:line="240" w:lineRule="auto"/>
                    <w:jc w:val="center"/>
                    <w:rPr>
                      <w:color w:val="auto"/>
                      <w:sz w:val="18"/>
                      <w:szCs w:val="18"/>
                    </w:rPr>
                  </w:pPr>
                  <w:r>
                    <w:rPr>
                      <w:rFonts w:hint="eastAsia"/>
                      <w:color w:val="auto"/>
                      <w:sz w:val="18"/>
                      <w:szCs w:val="18"/>
                    </w:rPr>
                    <w:t>年排放时间（</w:t>
                  </w:r>
                  <w:r>
                    <w:rPr>
                      <w:color w:val="auto"/>
                      <w:sz w:val="18"/>
                      <w:szCs w:val="18"/>
                    </w:rPr>
                    <w:t>d</w:t>
                  </w:r>
                  <w:r>
                    <w:rPr>
                      <w:rFonts w:hint="eastAsia"/>
                      <w:color w:val="auto"/>
                      <w:sz w:val="18"/>
                      <w:szCs w:val="18"/>
                    </w:rPr>
                    <w:t>）</w:t>
                  </w:r>
                </w:p>
              </w:tc>
              <w:tc>
                <w:tcPr>
                  <w:tcW w:w="572" w:type="pct"/>
                  <w:shd w:val="clear" w:color="auto" w:fill="auto"/>
                  <w:vAlign w:val="center"/>
                </w:tcPr>
                <w:p w14:paraId="39DDB6DE">
                  <w:pPr>
                    <w:spacing w:line="240" w:lineRule="auto"/>
                    <w:jc w:val="center"/>
                    <w:rPr>
                      <w:color w:val="auto"/>
                      <w:sz w:val="18"/>
                      <w:szCs w:val="18"/>
                    </w:rPr>
                  </w:pPr>
                  <w:r>
                    <w:rPr>
                      <w:rFonts w:hint="eastAsia"/>
                      <w:color w:val="auto"/>
                      <w:sz w:val="18"/>
                      <w:szCs w:val="18"/>
                    </w:rPr>
                    <w:t>发生频次</w:t>
                  </w:r>
                </w:p>
              </w:tc>
              <w:tc>
                <w:tcPr>
                  <w:tcW w:w="714" w:type="pct"/>
                  <w:shd w:val="clear" w:color="auto" w:fill="auto"/>
                  <w:vAlign w:val="center"/>
                </w:tcPr>
                <w:p w14:paraId="0A719FCC">
                  <w:pPr>
                    <w:spacing w:line="240" w:lineRule="auto"/>
                    <w:jc w:val="center"/>
                    <w:rPr>
                      <w:color w:val="auto"/>
                      <w:sz w:val="18"/>
                      <w:szCs w:val="18"/>
                    </w:rPr>
                  </w:pPr>
                  <w:r>
                    <w:rPr>
                      <w:rFonts w:hint="eastAsia"/>
                      <w:color w:val="auto"/>
                      <w:sz w:val="18"/>
                      <w:szCs w:val="18"/>
                    </w:rPr>
                    <w:t>措施</w:t>
                  </w:r>
                </w:p>
              </w:tc>
            </w:tr>
            <w:tr w14:paraId="00AE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Merge w:val="restart"/>
                  <w:shd w:val="clear" w:color="auto" w:fill="auto"/>
                  <w:vAlign w:val="center"/>
                </w:tcPr>
                <w:p w14:paraId="100980B7">
                  <w:pPr>
                    <w:spacing w:line="240" w:lineRule="auto"/>
                    <w:jc w:val="center"/>
                    <w:rPr>
                      <w:color w:val="auto"/>
                      <w:sz w:val="18"/>
                      <w:szCs w:val="18"/>
                    </w:rPr>
                  </w:pPr>
                  <w:r>
                    <w:rPr>
                      <w:rFonts w:hint="eastAsia"/>
                      <w:color w:val="auto"/>
                      <w:sz w:val="18"/>
                      <w:szCs w:val="18"/>
                    </w:rPr>
                    <w:t>废气处理设备故障</w:t>
                  </w:r>
                </w:p>
              </w:tc>
              <w:tc>
                <w:tcPr>
                  <w:tcW w:w="515" w:type="pct"/>
                  <w:vMerge w:val="restart"/>
                  <w:shd w:val="clear" w:color="auto" w:fill="auto"/>
                  <w:vAlign w:val="center"/>
                </w:tcPr>
                <w:p w14:paraId="210EEBFC">
                  <w:pPr>
                    <w:spacing w:line="240" w:lineRule="auto"/>
                    <w:jc w:val="center"/>
                    <w:rPr>
                      <w:rFonts w:hint="default" w:eastAsia="宋体"/>
                      <w:color w:val="auto"/>
                      <w:sz w:val="18"/>
                      <w:szCs w:val="18"/>
                      <w:lang w:val="en-US" w:eastAsia="zh-CN"/>
                    </w:rPr>
                  </w:pPr>
                  <w:r>
                    <w:rPr>
                      <w:rFonts w:hint="eastAsia"/>
                      <w:color w:val="auto"/>
                      <w:sz w:val="18"/>
                      <w:szCs w:val="18"/>
                    </w:rPr>
                    <w:t>DA0</w:t>
                  </w:r>
                  <w:r>
                    <w:rPr>
                      <w:rFonts w:hint="eastAsia"/>
                      <w:color w:val="auto"/>
                      <w:sz w:val="18"/>
                      <w:szCs w:val="18"/>
                      <w:lang w:val="en-US" w:eastAsia="zh-CN"/>
                    </w:rPr>
                    <w:t>28</w:t>
                  </w:r>
                </w:p>
              </w:tc>
              <w:tc>
                <w:tcPr>
                  <w:tcW w:w="751" w:type="pct"/>
                  <w:shd w:val="clear" w:color="auto" w:fill="auto"/>
                  <w:vAlign w:val="center"/>
                </w:tcPr>
                <w:p w14:paraId="13AC9847">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颗粒物</w:t>
                  </w:r>
                </w:p>
              </w:tc>
              <w:tc>
                <w:tcPr>
                  <w:tcW w:w="629" w:type="pct"/>
                  <w:shd w:val="clear" w:color="auto" w:fill="auto"/>
                  <w:vAlign w:val="center"/>
                </w:tcPr>
                <w:p w14:paraId="64A85D46">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1.351</w:t>
                  </w:r>
                </w:p>
              </w:tc>
              <w:tc>
                <w:tcPr>
                  <w:tcW w:w="543" w:type="pct"/>
                  <w:shd w:val="clear" w:color="auto" w:fill="auto"/>
                  <w:vAlign w:val="center"/>
                </w:tcPr>
                <w:p w14:paraId="2F079430">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61.409</w:t>
                  </w:r>
                </w:p>
              </w:tc>
              <w:tc>
                <w:tcPr>
                  <w:tcW w:w="559" w:type="pct"/>
                  <w:shd w:val="clear" w:color="auto" w:fill="auto"/>
                  <w:vAlign w:val="center"/>
                </w:tcPr>
                <w:p w14:paraId="5D6EE7A2">
                  <w:pPr>
                    <w:spacing w:line="240" w:lineRule="auto"/>
                    <w:jc w:val="center"/>
                    <w:rPr>
                      <w:rFonts w:hint="eastAsia" w:ascii="Times New Roman" w:hAnsi="Times New Roman" w:eastAsia="宋体" w:cs="Times New Roman"/>
                      <w:color w:val="auto"/>
                      <w:kern w:val="2"/>
                      <w:sz w:val="18"/>
                      <w:szCs w:val="18"/>
                      <w:lang w:val="en-US" w:eastAsia="zh-CN" w:bidi="ar-SA"/>
                    </w:rPr>
                  </w:pPr>
                  <w:r>
                    <w:rPr>
                      <w:color w:val="auto"/>
                      <w:sz w:val="18"/>
                      <w:szCs w:val="18"/>
                    </w:rPr>
                    <w:t>1</w:t>
                  </w:r>
                </w:p>
              </w:tc>
              <w:tc>
                <w:tcPr>
                  <w:tcW w:w="572" w:type="pct"/>
                  <w:shd w:val="clear" w:color="auto" w:fill="auto"/>
                  <w:vAlign w:val="center"/>
                </w:tcPr>
                <w:p w14:paraId="53ADD3E6">
                  <w:pPr>
                    <w:spacing w:line="240" w:lineRule="auto"/>
                    <w:jc w:val="center"/>
                    <w:rPr>
                      <w:rFonts w:hint="eastAsia" w:ascii="Times New Roman" w:hAnsi="Times New Roman" w:eastAsia="宋体" w:cs="Times New Roman"/>
                      <w:color w:val="auto"/>
                      <w:kern w:val="2"/>
                      <w:sz w:val="18"/>
                      <w:szCs w:val="18"/>
                      <w:lang w:val="en-US" w:eastAsia="zh-CN" w:bidi="ar-SA"/>
                    </w:rPr>
                  </w:pPr>
                  <w:r>
                    <w:rPr>
                      <w:color w:val="auto"/>
                      <w:sz w:val="18"/>
                      <w:szCs w:val="18"/>
                    </w:rPr>
                    <w:t>1</w:t>
                  </w:r>
                  <w:r>
                    <w:rPr>
                      <w:rFonts w:hint="eastAsia"/>
                      <w:color w:val="auto"/>
                      <w:sz w:val="18"/>
                      <w:szCs w:val="18"/>
                    </w:rPr>
                    <w:t>次/年</w:t>
                  </w:r>
                </w:p>
              </w:tc>
              <w:tc>
                <w:tcPr>
                  <w:tcW w:w="714" w:type="pct"/>
                  <w:shd w:val="clear" w:color="auto" w:fill="auto"/>
                  <w:vAlign w:val="center"/>
                </w:tcPr>
                <w:p w14:paraId="11CFB776">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停产检修</w:t>
                  </w:r>
                </w:p>
              </w:tc>
            </w:tr>
            <w:tr w14:paraId="7CFD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Merge w:val="continue"/>
                  <w:shd w:val="clear" w:color="auto" w:fill="auto"/>
                  <w:vAlign w:val="center"/>
                </w:tcPr>
                <w:p w14:paraId="32D15A8B">
                  <w:pPr>
                    <w:spacing w:line="240" w:lineRule="auto"/>
                    <w:jc w:val="center"/>
                    <w:rPr>
                      <w:rFonts w:hint="eastAsia"/>
                      <w:color w:val="auto"/>
                      <w:sz w:val="18"/>
                      <w:szCs w:val="18"/>
                    </w:rPr>
                  </w:pPr>
                </w:p>
              </w:tc>
              <w:tc>
                <w:tcPr>
                  <w:tcW w:w="515" w:type="pct"/>
                  <w:vMerge w:val="continue"/>
                  <w:shd w:val="clear" w:color="auto" w:fill="auto"/>
                  <w:vAlign w:val="center"/>
                </w:tcPr>
                <w:p w14:paraId="56556A57">
                  <w:pPr>
                    <w:spacing w:line="240" w:lineRule="auto"/>
                    <w:jc w:val="center"/>
                    <w:rPr>
                      <w:rFonts w:hint="default" w:eastAsia="宋体"/>
                      <w:color w:val="auto"/>
                      <w:sz w:val="18"/>
                      <w:szCs w:val="18"/>
                      <w:lang w:val="en-US" w:eastAsia="zh-CN"/>
                    </w:rPr>
                  </w:pPr>
                </w:p>
              </w:tc>
              <w:tc>
                <w:tcPr>
                  <w:tcW w:w="751" w:type="pct"/>
                  <w:shd w:val="clear" w:color="auto" w:fill="auto"/>
                  <w:vAlign w:val="center"/>
                </w:tcPr>
                <w:p w14:paraId="746575DE">
                  <w:pPr>
                    <w:spacing w:line="240" w:lineRule="auto"/>
                    <w:jc w:val="center"/>
                    <w:rPr>
                      <w:rFonts w:hint="default"/>
                      <w:color w:val="auto"/>
                      <w:sz w:val="18"/>
                      <w:szCs w:val="18"/>
                      <w:lang w:val="en-US" w:eastAsia="zh-CN"/>
                    </w:rPr>
                  </w:pPr>
                  <w:r>
                    <w:rPr>
                      <w:rFonts w:hint="eastAsia"/>
                      <w:color w:val="auto"/>
                      <w:sz w:val="18"/>
                      <w:szCs w:val="18"/>
                      <w:lang w:val="en-US" w:eastAsia="zh-CN"/>
                    </w:rPr>
                    <w:t>氯化氢</w:t>
                  </w:r>
                </w:p>
              </w:tc>
              <w:tc>
                <w:tcPr>
                  <w:tcW w:w="629" w:type="pct"/>
                  <w:shd w:val="clear" w:color="auto" w:fill="auto"/>
                  <w:vAlign w:val="center"/>
                </w:tcPr>
                <w:p w14:paraId="11580898">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0.0004 </w:t>
                  </w:r>
                </w:p>
              </w:tc>
              <w:tc>
                <w:tcPr>
                  <w:tcW w:w="543" w:type="pct"/>
                  <w:shd w:val="clear" w:color="auto" w:fill="auto"/>
                  <w:vAlign w:val="center"/>
                </w:tcPr>
                <w:p w14:paraId="6D0CF05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0.010 </w:t>
                  </w:r>
                </w:p>
              </w:tc>
              <w:tc>
                <w:tcPr>
                  <w:tcW w:w="559" w:type="pct"/>
                  <w:shd w:val="clear" w:color="auto" w:fill="auto"/>
                  <w:vAlign w:val="center"/>
                </w:tcPr>
                <w:p w14:paraId="7BDACD36">
                  <w:pPr>
                    <w:spacing w:line="240" w:lineRule="auto"/>
                    <w:jc w:val="center"/>
                    <w:rPr>
                      <w:color w:val="auto"/>
                      <w:sz w:val="18"/>
                      <w:szCs w:val="18"/>
                    </w:rPr>
                  </w:pPr>
                  <w:r>
                    <w:rPr>
                      <w:color w:val="auto"/>
                      <w:sz w:val="18"/>
                      <w:szCs w:val="18"/>
                    </w:rPr>
                    <w:t>1</w:t>
                  </w:r>
                </w:p>
              </w:tc>
              <w:tc>
                <w:tcPr>
                  <w:tcW w:w="572" w:type="pct"/>
                  <w:shd w:val="clear" w:color="auto" w:fill="auto"/>
                  <w:vAlign w:val="center"/>
                </w:tcPr>
                <w:p w14:paraId="68F4588B">
                  <w:pPr>
                    <w:spacing w:line="240" w:lineRule="auto"/>
                    <w:jc w:val="center"/>
                    <w:rPr>
                      <w:rFonts w:hint="eastAsia" w:ascii="Times New Roman" w:hAnsi="Times New Roman" w:eastAsia="宋体" w:cs="Times New Roman"/>
                      <w:color w:val="auto"/>
                      <w:kern w:val="2"/>
                      <w:sz w:val="18"/>
                      <w:szCs w:val="18"/>
                      <w:lang w:val="en-US" w:eastAsia="zh-CN" w:bidi="ar-SA"/>
                    </w:rPr>
                  </w:pPr>
                  <w:r>
                    <w:rPr>
                      <w:color w:val="auto"/>
                      <w:sz w:val="18"/>
                      <w:szCs w:val="18"/>
                    </w:rPr>
                    <w:t>1</w:t>
                  </w:r>
                  <w:r>
                    <w:rPr>
                      <w:rFonts w:hint="eastAsia"/>
                      <w:color w:val="auto"/>
                      <w:sz w:val="18"/>
                      <w:szCs w:val="18"/>
                    </w:rPr>
                    <w:t>次/年</w:t>
                  </w:r>
                </w:p>
              </w:tc>
              <w:tc>
                <w:tcPr>
                  <w:tcW w:w="714" w:type="pct"/>
                  <w:shd w:val="clear" w:color="auto" w:fill="auto"/>
                  <w:vAlign w:val="center"/>
                </w:tcPr>
                <w:p w14:paraId="382DB25D">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停产检修</w:t>
                  </w:r>
                </w:p>
              </w:tc>
            </w:tr>
            <w:tr w14:paraId="25F2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pct"/>
                  <w:vMerge w:val="continue"/>
                  <w:shd w:val="clear" w:color="auto" w:fill="auto"/>
                  <w:vAlign w:val="center"/>
                </w:tcPr>
                <w:p w14:paraId="6A3AD14B">
                  <w:pPr>
                    <w:spacing w:line="240" w:lineRule="auto"/>
                    <w:jc w:val="center"/>
                    <w:rPr>
                      <w:rFonts w:hint="eastAsia"/>
                      <w:color w:val="auto"/>
                      <w:sz w:val="18"/>
                      <w:szCs w:val="18"/>
                    </w:rPr>
                  </w:pPr>
                </w:p>
              </w:tc>
              <w:tc>
                <w:tcPr>
                  <w:tcW w:w="515" w:type="pct"/>
                  <w:vMerge w:val="continue"/>
                  <w:shd w:val="clear" w:color="auto" w:fill="auto"/>
                  <w:vAlign w:val="center"/>
                </w:tcPr>
                <w:p w14:paraId="60E1F4C7">
                  <w:pPr>
                    <w:spacing w:line="240" w:lineRule="auto"/>
                    <w:jc w:val="center"/>
                    <w:rPr>
                      <w:rFonts w:hint="default" w:eastAsia="宋体"/>
                      <w:color w:val="auto"/>
                      <w:sz w:val="18"/>
                      <w:szCs w:val="18"/>
                      <w:lang w:val="en-US" w:eastAsia="zh-CN"/>
                    </w:rPr>
                  </w:pPr>
                </w:p>
              </w:tc>
              <w:tc>
                <w:tcPr>
                  <w:tcW w:w="751" w:type="pct"/>
                  <w:shd w:val="clear" w:color="auto" w:fill="auto"/>
                  <w:vAlign w:val="center"/>
                </w:tcPr>
                <w:p w14:paraId="18FA04C3">
                  <w:pPr>
                    <w:spacing w:line="240" w:lineRule="auto"/>
                    <w:jc w:val="center"/>
                    <w:rPr>
                      <w:rFonts w:hint="default"/>
                      <w:color w:val="auto"/>
                      <w:sz w:val="18"/>
                      <w:szCs w:val="18"/>
                      <w:lang w:val="en-US" w:eastAsia="zh-CN"/>
                    </w:rPr>
                  </w:pPr>
                  <w:r>
                    <w:rPr>
                      <w:rFonts w:hint="eastAsia"/>
                      <w:color w:val="auto"/>
                      <w:sz w:val="18"/>
                      <w:szCs w:val="18"/>
                      <w:lang w:val="en-US" w:eastAsia="zh-CN"/>
                    </w:rPr>
                    <w:t>氟化物</w:t>
                  </w:r>
                </w:p>
              </w:tc>
              <w:tc>
                <w:tcPr>
                  <w:tcW w:w="629" w:type="pct"/>
                  <w:shd w:val="clear" w:color="auto" w:fill="auto"/>
                  <w:vAlign w:val="center"/>
                </w:tcPr>
                <w:p w14:paraId="27459278">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0.0006 </w:t>
                  </w:r>
                </w:p>
              </w:tc>
              <w:tc>
                <w:tcPr>
                  <w:tcW w:w="543" w:type="pct"/>
                  <w:shd w:val="clear" w:color="auto" w:fill="auto"/>
                  <w:vAlign w:val="center"/>
                </w:tcPr>
                <w:p w14:paraId="78AA8DB8">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0.015 </w:t>
                  </w:r>
                </w:p>
              </w:tc>
              <w:tc>
                <w:tcPr>
                  <w:tcW w:w="559" w:type="pct"/>
                  <w:shd w:val="clear" w:color="auto" w:fill="auto"/>
                  <w:vAlign w:val="center"/>
                </w:tcPr>
                <w:p w14:paraId="6BA50F0E">
                  <w:pPr>
                    <w:spacing w:line="240" w:lineRule="auto"/>
                    <w:jc w:val="center"/>
                    <w:rPr>
                      <w:color w:val="auto"/>
                      <w:sz w:val="18"/>
                      <w:szCs w:val="18"/>
                    </w:rPr>
                  </w:pPr>
                  <w:r>
                    <w:rPr>
                      <w:color w:val="auto"/>
                      <w:sz w:val="18"/>
                      <w:szCs w:val="18"/>
                    </w:rPr>
                    <w:t>1</w:t>
                  </w:r>
                </w:p>
              </w:tc>
              <w:tc>
                <w:tcPr>
                  <w:tcW w:w="572" w:type="pct"/>
                  <w:shd w:val="clear" w:color="auto" w:fill="auto"/>
                  <w:vAlign w:val="center"/>
                </w:tcPr>
                <w:p w14:paraId="5FFE7D8A">
                  <w:pPr>
                    <w:spacing w:line="240" w:lineRule="auto"/>
                    <w:jc w:val="center"/>
                    <w:rPr>
                      <w:rFonts w:hint="eastAsia" w:ascii="Times New Roman" w:hAnsi="Times New Roman" w:eastAsia="宋体" w:cs="Times New Roman"/>
                      <w:color w:val="auto"/>
                      <w:kern w:val="2"/>
                      <w:sz w:val="18"/>
                      <w:szCs w:val="18"/>
                      <w:lang w:val="en-US" w:eastAsia="zh-CN" w:bidi="ar-SA"/>
                    </w:rPr>
                  </w:pPr>
                  <w:r>
                    <w:rPr>
                      <w:color w:val="auto"/>
                      <w:sz w:val="18"/>
                      <w:szCs w:val="18"/>
                    </w:rPr>
                    <w:t>1</w:t>
                  </w:r>
                  <w:r>
                    <w:rPr>
                      <w:rFonts w:hint="eastAsia"/>
                      <w:color w:val="auto"/>
                      <w:sz w:val="18"/>
                      <w:szCs w:val="18"/>
                    </w:rPr>
                    <w:t>次/年</w:t>
                  </w:r>
                </w:p>
              </w:tc>
              <w:tc>
                <w:tcPr>
                  <w:tcW w:w="714" w:type="pct"/>
                  <w:shd w:val="clear" w:color="auto" w:fill="auto"/>
                  <w:vAlign w:val="center"/>
                </w:tcPr>
                <w:p w14:paraId="2E90CF68">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停产检修</w:t>
                  </w:r>
                </w:p>
              </w:tc>
            </w:tr>
          </w:tbl>
          <w:p w14:paraId="3DFB30C8">
            <w:pPr>
              <w:ind w:firstLine="480" w:firstLineChars="200"/>
              <w:rPr>
                <w:color w:val="auto"/>
              </w:rPr>
            </w:pPr>
            <w:r>
              <w:rPr>
                <w:rFonts w:hint="eastAsia"/>
                <w:color w:val="auto"/>
              </w:rPr>
              <w:t>企业应加强对废气处理设施的管理维护，一旦发生故障，立即停止生产，并在日常生产过程中应采取以下措施：</w:t>
            </w:r>
          </w:p>
          <w:p w14:paraId="2C584B58">
            <w:pPr>
              <w:ind w:firstLine="480" w:firstLineChars="200"/>
              <w:rPr>
                <w:color w:val="auto"/>
              </w:rPr>
            </w:pPr>
            <w:r>
              <w:rPr>
                <w:rFonts w:hint="eastAsia"/>
                <w:color w:val="auto"/>
              </w:rPr>
              <w:t>（1）安排专人负责环保设备的日常维护和管理，每隔固定时间检查、汇报情况，及时发现废气处理设备的隐患，确保废气处理系统正常运行；</w:t>
            </w:r>
          </w:p>
          <w:p w14:paraId="4A41BA9B">
            <w:pPr>
              <w:ind w:firstLine="480" w:firstLineChars="200"/>
              <w:rPr>
                <w:color w:val="auto"/>
              </w:rPr>
            </w:pPr>
            <w:r>
              <w:rPr>
                <w:rFonts w:hint="eastAsia"/>
                <w:color w:val="auto"/>
              </w:rPr>
              <w:t>（2）定期维护、检修废气处理风机和过滤净化装置，及时清理或更换以保持废气处理装置的净化能力和净化容量。</w:t>
            </w:r>
          </w:p>
          <w:p w14:paraId="2752AFFA">
            <w:pPr>
              <w:pStyle w:val="126"/>
              <w:ind w:firstLine="0" w:firstLineChars="0"/>
              <w:rPr>
                <w:rFonts w:cs="Times New Roman"/>
                <w:b/>
                <w:color w:val="auto"/>
                <w:sz w:val="24"/>
              </w:rPr>
            </w:pPr>
            <w:r>
              <w:rPr>
                <w:rFonts w:hint="eastAsia" w:cs="Times New Roman"/>
                <w:b/>
                <w:color w:val="auto"/>
                <w:sz w:val="24"/>
              </w:rPr>
              <w:t>5、大气环境影响结论</w:t>
            </w:r>
          </w:p>
          <w:p w14:paraId="311D8620">
            <w:pPr>
              <w:ind w:firstLine="480" w:firstLineChars="200"/>
              <w:rPr>
                <w:color w:val="auto"/>
              </w:rPr>
            </w:pPr>
            <w:r>
              <w:rPr>
                <w:rFonts w:hint="eastAsia"/>
                <w:color w:val="auto"/>
              </w:rPr>
              <w:t>项目所在区域内无自然保护区、保护文物及风景名胜区等特殊环境敏感目标。本项目位于</w:t>
            </w:r>
            <w:r>
              <w:rPr>
                <w:rFonts w:hint="eastAsia"/>
                <w:color w:val="auto"/>
                <w:lang w:val="en-US" w:eastAsia="zh-CN"/>
              </w:rPr>
              <w:t>皖江</w:t>
            </w:r>
            <w:r>
              <w:rPr>
                <w:rFonts w:hint="eastAsia"/>
                <w:color w:val="auto"/>
                <w:lang w:eastAsia="zh-CN"/>
              </w:rPr>
              <w:t>江南产业集中区</w:t>
            </w:r>
            <w:r>
              <w:rPr>
                <w:rFonts w:hint="eastAsia"/>
                <w:color w:val="auto"/>
              </w:rPr>
              <w:t>，属于工业开发区域，周边环境相容性较好，本项目废气按照环评报告拟建措施处理后均可达标排放，对环境影响可接受。需及时清扫并加强车间管理。项目采取的废气污染防治措施符合污染防治技术要求，经治理后的污染物可以稳定达标排放，对周围环境较小，大气环境影响可接受。</w:t>
            </w:r>
          </w:p>
          <w:p w14:paraId="42A54FBB">
            <w:pPr>
              <w:pStyle w:val="126"/>
              <w:ind w:firstLine="0" w:firstLineChars="0"/>
              <w:rPr>
                <w:rFonts w:cs="Times New Roman"/>
                <w:b/>
                <w:color w:val="auto"/>
                <w:sz w:val="24"/>
              </w:rPr>
            </w:pPr>
            <w:r>
              <w:rPr>
                <w:rFonts w:hint="eastAsia" w:cs="Times New Roman"/>
                <w:b/>
                <w:color w:val="auto"/>
                <w:sz w:val="24"/>
              </w:rPr>
              <w:t>6、环境防护距离</w:t>
            </w:r>
          </w:p>
          <w:p w14:paraId="4E6692AE">
            <w:pPr>
              <w:ind w:firstLine="480" w:firstLineChars="200"/>
              <w:rPr>
                <w:rFonts w:hint="eastAsia"/>
                <w:color w:val="auto"/>
              </w:rPr>
            </w:pPr>
            <w:r>
              <w:rPr>
                <w:rFonts w:hint="eastAsia"/>
                <w:color w:val="auto"/>
              </w:rPr>
              <w:t>根据《环境影响评价技术导则-大气环境》（HJ2.2-2018）8.7.5大气环境防护距离中：8.7.5.1对于项目厂界浓度满足大气污染物厂界浓度限值，但厂界外大气污染物短期贡献浓度超过环境质量浓度限值的，可以自厂界向外设置一定范围的大气环境防护区域，以确保大气环境防护区域外的污染物贡献浓度满足环境质量标准。根据分析，由于本项目厂界外大气污染物短期贡献浓度均可达到环境质量浓度限值要求，因此可不设大气环境防护距离。</w:t>
            </w:r>
          </w:p>
          <w:p w14:paraId="044F9FBA">
            <w:pPr>
              <w:ind w:firstLine="480" w:firstLineChars="200"/>
              <w:rPr>
                <w:color w:val="auto"/>
              </w:rPr>
            </w:pPr>
            <w:r>
              <w:rPr>
                <w:rFonts w:hint="eastAsia"/>
                <w:color w:val="auto"/>
              </w:rPr>
              <w:t>依据《大气有害物质无组织排放卫生防护距离推导技术导则（GB/T39499-2020）》</w:t>
            </w:r>
          </w:p>
          <w:p w14:paraId="61B8D558">
            <w:pPr>
              <w:rPr>
                <w:rFonts w:hint="eastAsia" w:eastAsia="宋体"/>
                <w:color w:val="auto"/>
                <w:lang w:eastAsia="zh-CN"/>
              </w:rPr>
            </w:pPr>
            <w:r>
              <w:rPr>
                <w:rFonts w:hint="eastAsia"/>
                <w:color w:val="auto"/>
              </w:rPr>
              <w:t>中有害气体无组织排放控制与工业企业卫生防护距离标准的制定方法，工业企业应设置的卫生防护距离按下式计算</w:t>
            </w:r>
            <w:r>
              <w:rPr>
                <w:rFonts w:hint="eastAsia"/>
                <w:color w:val="auto"/>
                <w:lang w:eastAsia="zh-CN"/>
              </w:rPr>
              <w:t>：</w:t>
            </w:r>
          </w:p>
          <w:p w14:paraId="606069DA">
            <w:pPr>
              <w:jc w:val="center"/>
              <w:rPr>
                <w:color w:val="auto"/>
                <w:vertAlign w:val="superscript"/>
              </w:rPr>
            </w:pPr>
            <m:oMath>
              <m:f>
                <m:fPr>
                  <m:ctrlPr>
                    <w:rPr>
                      <w:rFonts w:ascii="Cambria Math" w:hAnsi="Cambria Math"/>
                      <w:i/>
                      <w:color w:val="auto"/>
                    </w:rPr>
                  </m:ctrlPr>
                </m:fPr>
                <m:num>
                  <m:sSub>
                    <m:sSubPr>
                      <m:ctrlPr>
                        <w:rPr>
                          <w:rFonts w:ascii="Cambria Math" w:hAnsi="Cambria Math"/>
                          <w:i/>
                          <w:color w:val="auto"/>
                        </w:rPr>
                      </m:ctrlPr>
                    </m:sSubPr>
                    <m:e>
                      <m:r>
                        <m:rPr/>
                        <w:rPr>
                          <w:rFonts w:ascii="Cambria Math" w:hAnsi="Cambria Math"/>
                          <w:color w:val="auto"/>
                        </w:rPr>
                        <m:t>Q</m:t>
                      </m:r>
                      <m:ctrlPr>
                        <w:rPr>
                          <w:rFonts w:ascii="Cambria Math" w:hAnsi="Cambria Math"/>
                          <w:i/>
                          <w:color w:val="auto"/>
                        </w:rPr>
                      </m:ctrlPr>
                    </m:e>
                    <m:sub>
                      <m:r>
                        <m:rPr/>
                        <w:rPr>
                          <w:rFonts w:ascii="Cambria Math" w:hAnsi="Cambria Math"/>
                          <w:color w:val="auto"/>
                        </w:rPr>
                        <m:t>c</m:t>
                      </m:r>
                      <m:ctrlPr>
                        <w:rPr>
                          <w:rFonts w:ascii="Cambria Math" w:hAnsi="Cambria Math"/>
                          <w:i/>
                          <w:color w:val="auto"/>
                        </w:rPr>
                      </m:ctrlPr>
                    </m:sub>
                  </m:sSub>
                  <m:ctrlPr>
                    <w:rPr>
                      <w:rFonts w:ascii="Cambria Math" w:hAnsi="Cambria Math"/>
                      <w:i/>
                      <w:color w:val="auto"/>
                    </w:rPr>
                  </m:ctrlPr>
                </m:num>
                <m:den>
                  <m:sSub>
                    <m:sSubPr>
                      <m:ctrlPr>
                        <w:rPr>
                          <w:rFonts w:ascii="Cambria Math" w:hAnsi="Cambria Math"/>
                          <w:i/>
                          <w:color w:val="auto"/>
                        </w:rPr>
                      </m:ctrlPr>
                    </m:sSubPr>
                    <m:e>
                      <m:r>
                        <m:rPr/>
                        <w:rPr>
                          <w:rFonts w:ascii="Cambria Math" w:hAnsi="Cambria Math"/>
                          <w:color w:val="auto"/>
                        </w:rPr>
                        <m:t>C</m:t>
                      </m:r>
                      <m:ctrlPr>
                        <w:rPr>
                          <w:rFonts w:ascii="Cambria Math" w:hAnsi="Cambria Math"/>
                          <w:i/>
                          <w:color w:val="auto"/>
                        </w:rPr>
                      </m:ctrlPr>
                    </m:e>
                    <m:sub>
                      <m:r>
                        <m:rPr/>
                        <w:rPr>
                          <w:rFonts w:ascii="Cambria Math" w:hAnsi="Cambria Math"/>
                          <w:color w:val="auto"/>
                        </w:rPr>
                        <m:t>m</m:t>
                      </m:r>
                      <m:ctrlPr>
                        <w:rPr>
                          <w:rFonts w:ascii="Cambria Math" w:hAnsi="Cambria Math"/>
                          <w:i/>
                          <w:color w:val="auto"/>
                        </w:rPr>
                      </m:ctrlPr>
                    </m:sub>
                  </m:sSub>
                  <m:ctrlPr>
                    <w:rPr>
                      <w:rFonts w:ascii="Cambria Math" w:hAnsi="Cambria Math"/>
                      <w:i/>
                      <w:color w:val="auto"/>
                    </w:rPr>
                  </m:ctrlPr>
                </m:den>
              </m:f>
              <m:r>
                <m:rPr/>
                <w:rPr>
                  <w:rFonts w:ascii="Cambria Math" w:hAnsi="Cambria Math"/>
                  <w:color w:val="auto"/>
                </w:rPr>
                <m:t>=</m:t>
              </m:r>
              <m:f>
                <m:fPr>
                  <m:ctrlPr>
                    <w:rPr>
                      <w:rFonts w:ascii="Cambria Math" w:hAnsi="Cambria Math"/>
                      <w:i/>
                      <w:color w:val="auto"/>
                    </w:rPr>
                  </m:ctrlPr>
                </m:fPr>
                <m:num>
                  <m:r>
                    <m:rPr/>
                    <w:rPr>
                      <w:rFonts w:ascii="Cambria Math" w:hAnsi="Cambria Math"/>
                      <w:color w:val="auto"/>
                    </w:rPr>
                    <m:t>1</m:t>
                  </m:r>
                  <m:ctrlPr>
                    <w:rPr>
                      <w:rFonts w:ascii="Cambria Math" w:hAnsi="Cambria Math"/>
                      <w:i/>
                      <w:color w:val="auto"/>
                    </w:rPr>
                  </m:ctrlPr>
                </m:num>
                <m:den>
                  <m:r>
                    <m:rPr/>
                    <w:rPr>
                      <w:rFonts w:ascii="Cambria Math" w:hAnsi="Cambria Math"/>
                      <w:color w:val="auto"/>
                    </w:rPr>
                    <m:t>A</m:t>
                  </m:r>
                  <m:ctrlPr>
                    <w:rPr>
                      <w:rFonts w:ascii="Cambria Math" w:hAnsi="Cambria Math"/>
                      <w:i/>
                      <w:color w:val="auto"/>
                    </w:rPr>
                  </m:ctrlPr>
                </m:den>
              </m:f>
            </m:oMath>
            <w:r>
              <w:rPr>
                <w:rFonts w:hint="eastAsia" w:hAnsi="Cambria Math"/>
                <w:color w:val="auto"/>
              </w:rPr>
              <w:t>(</w:t>
            </w:r>
            <w:r>
              <w:rPr>
                <w:color w:val="auto"/>
              </w:rPr>
              <w:t>BL</w:t>
            </w:r>
            <w:r>
              <w:rPr>
                <w:color w:val="auto"/>
                <w:vertAlign w:val="superscript"/>
              </w:rPr>
              <w:t>c</w:t>
            </w:r>
            <w:r>
              <w:rPr>
                <w:color w:val="auto"/>
              </w:rPr>
              <w:t>+0.25r</w:t>
            </w:r>
            <w:r>
              <w:rPr>
                <w:color w:val="auto"/>
                <w:vertAlign w:val="superscript"/>
              </w:rPr>
              <w:t>2</w:t>
            </w:r>
            <w:r>
              <w:rPr>
                <w:color w:val="auto"/>
              </w:rPr>
              <w:t>)</w:t>
            </w:r>
            <w:r>
              <w:rPr>
                <w:color w:val="auto"/>
                <w:vertAlign w:val="superscript"/>
              </w:rPr>
              <w:t>0.50</w:t>
            </w:r>
            <w:r>
              <w:rPr>
                <w:color w:val="auto"/>
              </w:rPr>
              <w:t>L</w:t>
            </w:r>
            <w:r>
              <w:rPr>
                <w:color w:val="auto"/>
                <w:vertAlign w:val="superscript"/>
              </w:rPr>
              <w:t>D</w:t>
            </w:r>
          </w:p>
          <w:p w14:paraId="4CF0F328">
            <w:pPr>
              <w:ind w:firstLine="480" w:firstLineChars="200"/>
              <w:rPr>
                <w:color w:val="auto"/>
              </w:rPr>
            </w:pPr>
            <w:r>
              <w:rPr>
                <w:color w:val="auto"/>
              </w:rPr>
              <w:t>式中：C</w:t>
            </w:r>
            <w:r>
              <w:rPr>
                <w:color w:val="auto"/>
                <w:vertAlign w:val="subscript"/>
              </w:rPr>
              <w:t>m</w:t>
            </w:r>
            <w:r>
              <w:rPr>
                <w:color w:val="auto"/>
              </w:rPr>
              <w:t>——标准浓度限值，mg/m³；</w:t>
            </w:r>
          </w:p>
          <w:p w14:paraId="5ECED53D">
            <w:pPr>
              <w:ind w:firstLine="480" w:firstLineChars="200"/>
              <w:rPr>
                <w:color w:val="auto"/>
              </w:rPr>
            </w:pPr>
            <w:r>
              <w:rPr>
                <w:color w:val="auto"/>
              </w:rPr>
              <w:t>Q</w:t>
            </w:r>
            <w:r>
              <w:rPr>
                <w:color w:val="auto"/>
                <w:vertAlign w:val="subscript"/>
              </w:rPr>
              <w:t>c</w:t>
            </w:r>
            <w:r>
              <w:rPr>
                <w:color w:val="auto"/>
              </w:rPr>
              <w:t>——工业企业有害气体无组织排放量可以达到的控制水平，m；</w:t>
            </w:r>
          </w:p>
          <w:p w14:paraId="4BACF14B">
            <w:pPr>
              <w:ind w:firstLine="480" w:firstLineChars="200"/>
              <w:rPr>
                <w:color w:val="auto"/>
              </w:rPr>
            </w:pPr>
            <w:r>
              <w:rPr>
                <w:color w:val="auto"/>
              </w:rPr>
              <w:t>L——工业企业所需卫生防护距离，m；</w:t>
            </w:r>
          </w:p>
          <w:p w14:paraId="2274AB17">
            <w:pPr>
              <w:ind w:firstLine="480" w:firstLineChars="200"/>
              <w:rPr>
                <w:color w:val="auto"/>
              </w:rPr>
            </w:pPr>
            <w:r>
              <w:rPr>
                <w:color w:val="auto"/>
              </w:rPr>
              <w:t>r——有害气体无组织排放源所在生产单元的等效半径，m；根据该生产单元占地面积S（m</w:t>
            </w:r>
            <w:r>
              <w:rPr>
                <w:color w:val="auto"/>
                <w:vertAlign w:val="superscript"/>
              </w:rPr>
              <w:t>2</w:t>
            </w:r>
            <w:r>
              <w:rPr>
                <w:color w:val="auto"/>
              </w:rPr>
              <w:t>）计算，r＝（S/π）</w:t>
            </w:r>
            <w:r>
              <w:rPr>
                <w:color w:val="auto"/>
                <w:vertAlign w:val="superscript"/>
              </w:rPr>
              <w:t>0.5</w:t>
            </w:r>
          </w:p>
          <w:p w14:paraId="41F7DF7A">
            <w:pPr>
              <w:ind w:firstLine="480" w:firstLineChars="200"/>
              <w:rPr>
                <w:color w:val="auto"/>
              </w:rPr>
            </w:pPr>
            <w:r>
              <w:rPr>
                <w:color w:val="auto"/>
              </w:rPr>
              <w:t>A、B、C、D——卫生防护距离计算系数</w:t>
            </w:r>
          </w:p>
          <w:p w14:paraId="68BEFAD4">
            <w:pPr>
              <w:ind w:firstLine="480" w:firstLineChars="200"/>
              <w:rPr>
                <w:rFonts w:hint="eastAsia" w:eastAsia="宋体"/>
                <w:color w:val="auto"/>
                <w:lang w:eastAsia="zh-CN"/>
              </w:rPr>
            </w:pPr>
            <w:r>
              <w:rPr>
                <w:color w:val="auto"/>
              </w:rPr>
              <w:t>根据本项目污染物排放量以及区域内的气象条件，计算出生产车间无组织排放废气的卫生防护距离，结果见下表</w:t>
            </w:r>
            <w:r>
              <w:rPr>
                <w:rFonts w:hint="eastAsia"/>
                <w:color w:val="auto"/>
                <w:lang w:eastAsia="zh-CN"/>
              </w:rPr>
              <w:t>。</w:t>
            </w:r>
          </w:p>
          <w:p w14:paraId="5C65A16D">
            <w:pPr>
              <w:ind w:firstLine="480" w:firstLineChars="200"/>
              <w:jc w:val="center"/>
              <w:rPr>
                <w:rFonts w:ascii="黑体" w:hAnsi="黑体" w:eastAsia="黑体"/>
                <w:color w:val="auto"/>
              </w:rPr>
            </w:pPr>
            <w:r>
              <w:rPr>
                <w:rFonts w:hint="eastAsia" w:ascii="黑体" w:hAnsi="黑体" w:eastAsia="黑体"/>
                <w:color w:val="auto"/>
              </w:rPr>
              <w:t>表</w:t>
            </w:r>
            <w:r>
              <w:rPr>
                <w:rFonts w:hint="default" w:ascii="Times New Roman" w:hAnsi="Times New Roman" w:eastAsia="黑体" w:cs="Times New Roman"/>
                <w:color w:val="auto"/>
              </w:rPr>
              <w:t>4-</w:t>
            </w:r>
            <w:r>
              <w:rPr>
                <w:rFonts w:hint="eastAsia" w:eastAsia="黑体" w:cs="Times New Roman"/>
                <w:color w:val="auto"/>
                <w:lang w:val="en-US" w:eastAsia="zh-CN"/>
              </w:rPr>
              <w:t>9</w:t>
            </w:r>
            <w:r>
              <w:rPr>
                <w:rFonts w:hint="eastAsia" w:ascii="黑体" w:hAnsi="黑体" w:eastAsia="黑体"/>
                <w:color w:val="auto"/>
              </w:rPr>
              <w:t xml:space="preserve">  卫生防护距离的计算系数</w:t>
            </w:r>
          </w:p>
          <w:tbl>
            <w:tblPr>
              <w:tblStyle w:val="69"/>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97"/>
              <w:gridCol w:w="2555"/>
              <w:gridCol w:w="505"/>
              <w:gridCol w:w="667"/>
              <w:gridCol w:w="511"/>
              <w:gridCol w:w="668"/>
              <w:gridCol w:w="667"/>
              <w:gridCol w:w="671"/>
              <w:gridCol w:w="505"/>
              <w:gridCol w:w="505"/>
              <w:gridCol w:w="502"/>
            </w:tblGrid>
            <w:tr w14:paraId="4C4D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8" w:hRule="atLeast"/>
              </w:trPr>
              <w:tc>
                <w:tcPr>
                  <w:tcW w:w="716" w:type="pct"/>
                  <w:vMerge w:val="restart"/>
                  <w:noWrap w:val="0"/>
                  <w:vAlign w:val="center"/>
                </w:tcPr>
                <w:p w14:paraId="0D8A35BB">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计算参数</w:t>
                  </w:r>
                </w:p>
              </w:tc>
              <w:tc>
                <w:tcPr>
                  <w:tcW w:w="1410" w:type="pct"/>
                  <w:vMerge w:val="restart"/>
                  <w:noWrap w:val="0"/>
                  <w:vAlign w:val="center"/>
                </w:tcPr>
                <w:p w14:paraId="598BE04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5年平均风速(m/s)</w:t>
                  </w:r>
                </w:p>
              </w:tc>
              <w:tc>
                <w:tcPr>
                  <w:tcW w:w="2873" w:type="pct"/>
                  <w:gridSpan w:val="9"/>
                  <w:noWrap w:val="0"/>
                  <w:vAlign w:val="center"/>
                </w:tcPr>
                <w:p w14:paraId="32E6A50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卫生防护距离L(m)</w:t>
                  </w:r>
                </w:p>
              </w:tc>
            </w:tr>
            <w:tr w14:paraId="3922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trPr>
              <w:tc>
                <w:tcPr>
                  <w:tcW w:w="716" w:type="pct"/>
                  <w:vMerge w:val="continue"/>
                  <w:noWrap w:val="0"/>
                  <w:vAlign w:val="center"/>
                </w:tcPr>
                <w:p w14:paraId="17F3ED82">
                  <w:pPr>
                    <w:widowControl/>
                    <w:spacing w:line="240" w:lineRule="auto"/>
                    <w:jc w:val="center"/>
                    <w:textAlignment w:val="center"/>
                    <w:rPr>
                      <w:rFonts w:hint="default" w:eastAsia="宋体"/>
                      <w:color w:val="auto"/>
                      <w:kern w:val="0"/>
                      <w:sz w:val="18"/>
                      <w:szCs w:val="18"/>
                      <w:lang w:val="en-US" w:eastAsia="zh-CN" w:bidi="ar"/>
                    </w:rPr>
                  </w:pPr>
                </w:p>
              </w:tc>
              <w:tc>
                <w:tcPr>
                  <w:tcW w:w="1410" w:type="pct"/>
                  <w:vMerge w:val="continue"/>
                  <w:noWrap w:val="0"/>
                  <w:vAlign w:val="center"/>
                </w:tcPr>
                <w:p w14:paraId="33FDAB38">
                  <w:pPr>
                    <w:widowControl/>
                    <w:spacing w:line="240" w:lineRule="auto"/>
                    <w:jc w:val="center"/>
                    <w:textAlignment w:val="center"/>
                    <w:rPr>
                      <w:rFonts w:hint="default" w:eastAsia="宋体"/>
                      <w:color w:val="auto"/>
                      <w:kern w:val="0"/>
                      <w:sz w:val="18"/>
                      <w:szCs w:val="18"/>
                      <w:lang w:val="en-US" w:eastAsia="zh-CN" w:bidi="ar"/>
                    </w:rPr>
                  </w:pPr>
                </w:p>
              </w:tc>
              <w:tc>
                <w:tcPr>
                  <w:tcW w:w="929" w:type="pct"/>
                  <w:gridSpan w:val="3"/>
                  <w:noWrap w:val="0"/>
                  <w:vAlign w:val="center"/>
                </w:tcPr>
                <w:p w14:paraId="55A00515">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L≤1000</w:t>
                  </w:r>
                </w:p>
              </w:tc>
              <w:tc>
                <w:tcPr>
                  <w:tcW w:w="1107" w:type="pct"/>
                  <w:gridSpan w:val="3"/>
                  <w:noWrap w:val="0"/>
                  <w:vAlign w:val="center"/>
                </w:tcPr>
                <w:p w14:paraId="20A7C83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1000＜L≤2000</w:t>
                  </w:r>
                </w:p>
              </w:tc>
              <w:tc>
                <w:tcPr>
                  <w:tcW w:w="835" w:type="pct"/>
                  <w:gridSpan w:val="3"/>
                  <w:noWrap w:val="0"/>
                  <w:vAlign w:val="center"/>
                </w:tcPr>
                <w:p w14:paraId="1E7A10A5">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L＞2000</w:t>
                  </w:r>
                </w:p>
              </w:tc>
            </w:tr>
            <w:tr w14:paraId="6D88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716" w:type="pct"/>
                  <w:vMerge w:val="continue"/>
                  <w:noWrap w:val="0"/>
                  <w:vAlign w:val="center"/>
                </w:tcPr>
                <w:p w14:paraId="453A5D19">
                  <w:pPr>
                    <w:widowControl/>
                    <w:spacing w:line="240" w:lineRule="auto"/>
                    <w:jc w:val="center"/>
                    <w:textAlignment w:val="center"/>
                    <w:rPr>
                      <w:rFonts w:hint="default" w:eastAsia="宋体"/>
                      <w:color w:val="auto"/>
                      <w:kern w:val="0"/>
                      <w:sz w:val="18"/>
                      <w:szCs w:val="18"/>
                      <w:lang w:val="en-US" w:eastAsia="zh-CN" w:bidi="ar"/>
                    </w:rPr>
                  </w:pPr>
                </w:p>
              </w:tc>
              <w:tc>
                <w:tcPr>
                  <w:tcW w:w="1410" w:type="pct"/>
                  <w:vMerge w:val="continue"/>
                  <w:noWrap w:val="0"/>
                  <w:vAlign w:val="center"/>
                </w:tcPr>
                <w:p w14:paraId="3096A075">
                  <w:pPr>
                    <w:widowControl/>
                    <w:spacing w:line="240" w:lineRule="auto"/>
                    <w:jc w:val="center"/>
                    <w:textAlignment w:val="center"/>
                    <w:rPr>
                      <w:rFonts w:hint="default" w:eastAsia="宋体"/>
                      <w:color w:val="auto"/>
                      <w:kern w:val="0"/>
                      <w:sz w:val="18"/>
                      <w:szCs w:val="18"/>
                      <w:lang w:val="en-US" w:eastAsia="zh-CN" w:bidi="ar"/>
                    </w:rPr>
                  </w:pPr>
                </w:p>
              </w:tc>
              <w:tc>
                <w:tcPr>
                  <w:tcW w:w="2873" w:type="pct"/>
                  <w:gridSpan w:val="9"/>
                  <w:noWrap w:val="0"/>
                  <w:vAlign w:val="center"/>
                </w:tcPr>
                <w:p w14:paraId="074AA44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工业大气污染源构成类别</w:t>
                  </w:r>
                </w:p>
              </w:tc>
            </w:tr>
            <w:tr w14:paraId="67FB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continue"/>
                  <w:noWrap w:val="0"/>
                  <w:vAlign w:val="center"/>
                </w:tcPr>
                <w:p w14:paraId="5FB60FBD">
                  <w:pPr>
                    <w:widowControl/>
                    <w:spacing w:line="240" w:lineRule="auto"/>
                    <w:jc w:val="center"/>
                    <w:textAlignment w:val="center"/>
                    <w:rPr>
                      <w:rFonts w:hint="default" w:eastAsia="宋体"/>
                      <w:color w:val="auto"/>
                      <w:kern w:val="0"/>
                      <w:sz w:val="18"/>
                      <w:szCs w:val="18"/>
                      <w:lang w:val="en-US" w:eastAsia="zh-CN" w:bidi="ar"/>
                    </w:rPr>
                  </w:pPr>
                </w:p>
              </w:tc>
              <w:tc>
                <w:tcPr>
                  <w:tcW w:w="1410" w:type="pct"/>
                  <w:vMerge w:val="continue"/>
                  <w:noWrap w:val="0"/>
                  <w:vAlign w:val="center"/>
                </w:tcPr>
                <w:p w14:paraId="33308DA0">
                  <w:pPr>
                    <w:widowControl/>
                    <w:spacing w:line="240" w:lineRule="auto"/>
                    <w:jc w:val="center"/>
                    <w:textAlignment w:val="center"/>
                    <w:rPr>
                      <w:rFonts w:hint="default" w:eastAsia="宋体"/>
                      <w:color w:val="auto"/>
                      <w:kern w:val="0"/>
                      <w:sz w:val="18"/>
                      <w:szCs w:val="18"/>
                      <w:lang w:val="en-US" w:eastAsia="zh-CN" w:bidi="ar"/>
                    </w:rPr>
                  </w:pPr>
                </w:p>
              </w:tc>
              <w:tc>
                <w:tcPr>
                  <w:tcW w:w="279" w:type="pct"/>
                  <w:noWrap w:val="0"/>
                  <w:vAlign w:val="center"/>
                </w:tcPr>
                <w:p w14:paraId="1E24F13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Ⅰ</w:t>
                  </w:r>
                </w:p>
              </w:tc>
              <w:tc>
                <w:tcPr>
                  <w:tcW w:w="368" w:type="pct"/>
                  <w:noWrap w:val="0"/>
                  <w:vAlign w:val="center"/>
                </w:tcPr>
                <w:p w14:paraId="1AE3AA6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Ⅱ</w:t>
                  </w:r>
                </w:p>
              </w:tc>
              <w:tc>
                <w:tcPr>
                  <w:tcW w:w="282" w:type="pct"/>
                  <w:noWrap w:val="0"/>
                  <w:vAlign w:val="center"/>
                </w:tcPr>
                <w:p w14:paraId="064443E1">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Ⅲ</w:t>
                  </w:r>
                </w:p>
              </w:tc>
              <w:tc>
                <w:tcPr>
                  <w:tcW w:w="368" w:type="pct"/>
                  <w:noWrap w:val="0"/>
                  <w:vAlign w:val="center"/>
                </w:tcPr>
                <w:p w14:paraId="2A0F61D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Ⅰ</w:t>
                  </w:r>
                </w:p>
              </w:tc>
              <w:tc>
                <w:tcPr>
                  <w:tcW w:w="368" w:type="pct"/>
                  <w:noWrap w:val="0"/>
                  <w:vAlign w:val="center"/>
                </w:tcPr>
                <w:p w14:paraId="748B6CD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Ⅱ</w:t>
                  </w:r>
                </w:p>
              </w:tc>
              <w:tc>
                <w:tcPr>
                  <w:tcW w:w="370" w:type="pct"/>
                  <w:noWrap w:val="0"/>
                  <w:vAlign w:val="center"/>
                </w:tcPr>
                <w:p w14:paraId="64A1938A">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Ⅲ</w:t>
                  </w:r>
                </w:p>
              </w:tc>
              <w:tc>
                <w:tcPr>
                  <w:tcW w:w="279" w:type="pct"/>
                  <w:noWrap w:val="0"/>
                  <w:vAlign w:val="center"/>
                </w:tcPr>
                <w:p w14:paraId="736871F8">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Ⅰ</w:t>
                  </w:r>
                </w:p>
              </w:tc>
              <w:tc>
                <w:tcPr>
                  <w:tcW w:w="279" w:type="pct"/>
                  <w:noWrap w:val="0"/>
                  <w:vAlign w:val="center"/>
                </w:tcPr>
                <w:p w14:paraId="191616EC">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Ⅱ</w:t>
                  </w:r>
                </w:p>
              </w:tc>
              <w:tc>
                <w:tcPr>
                  <w:tcW w:w="277" w:type="pct"/>
                  <w:noWrap w:val="0"/>
                  <w:vAlign w:val="center"/>
                </w:tcPr>
                <w:p w14:paraId="057E8791">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Ⅲ</w:t>
                  </w:r>
                </w:p>
              </w:tc>
            </w:tr>
            <w:tr w14:paraId="1D47F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restart"/>
                  <w:noWrap w:val="0"/>
                  <w:vAlign w:val="center"/>
                </w:tcPr>
                <w:p w14:paraId="60F8EB2F">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A</w:t>
                  </w:r>
                </w:p>
              </w:tc>
              <w:tc>
                <w:tcPr>
                  <w:tcW w:w="1410" w:type="pct"/>
                  <w:noWrap w:val="0"/>
                  <w:vAlign w:val="center"/>
                </w:tcPr>
                <w:p w14:paraId="3FA9261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279" w:type="pct"/>
                  <w:noWrap w:val="0"/>
                  <w:vAlign w:val="center"/>
                </w:tcPr>
                <w:p w14:paraId="03037A7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400</w:t>
                  </w:r>
                </w:p>
              </w:tc>
              <w:tc>
                <w:tcPr>
                  <w:tcW w:w="368" w:type="pct"/>
                  <w:noWrap w:val="0"/>
                  <w:vAlign w:val="center"/>
                </w:tcPr>
                <w:p w14:paraId="4BD50C1B">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400</w:t>
                  </w:r>
                </w:p>
              </w:tc>
              <w:tc>
                <w:tcPr>
                  <w:tcW w:w="282" w:type="pct"/>
                  <w:noWrap w:val="0"/>
                  <w:vAlign w:val="center"/>
                </w:tcPr>
                <w:p w14:paraId="09B4D5DA">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400</w:t>
                  </w:r>
                </w:p>
              </w:tc>
              <w:tc>
                <w:tcPr>
                  <w:tcW w:w="368" w:type="pct"/>
                  <w:noWrap w:val="0"/>
                  <w:vAlign w:val="center"/>
                </w:tcPr>
                <w:p w14:paraId="296651BD">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400</w:t>
                  </w:r>
                </w:p>
              </w:tc>
              <w:tc>
                <w:tcPr>
                  <w:tcW w:w="368" w:type="pct"/>
                  <w:noWrap w:val="0"/>
                  <w:vAlign w:val="center"/>
                </w:tcPr>
                <w:p w14:paraId="39D70FA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400</w:t>
                  </w:r>
                </w:p>
              </w:tc>
              <w:tc>
                <w:tcPr>
                  <w:tcW w:w="370" w:type="pct"/>
                  <w:noWrap w:val="0"/>
                  <w:vAlign w:val="center"/>
                </w:tcPr>
                <w:p w14:paraId="141DD3E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400</w:t>
                  </w:r>
                </w:p>
              </w:tc>
              <w:tc>
                <w:tcPr>
                  <w:tcW w:w="279" w:type="pct"/>
                  <w:noWrap w:val="0"/>
                  <w:vAlign w:val="center"/>
                </w:tcPr>
                <w:p w14:paraId="618C8546">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80</w:t>
                  </w:r>
                </w:p>
              </w:tc>
              <w:tc>
                <w:tcPr>
                  <w:tcW w:w="279" w:type="pct"/>
                  <w:noWrap w:val="0"/>
                  <w:vAlign w:val="center"/>
                </w:tcPr>
                <w:p w14:paraId="570C42F8">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80</w:t>
                  </w:r>
                </w:p>
              </w:tc>
              <w:tc>
                <w:tcPr>
                  <w:tcW w:w="277" w:type="pct"/>
                  <w:noWrap w:val="0"/>
                  <w:vAlign w:val="center"/>
                </w:tcPr>
                <w:p w14:paraId="2C2D242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80</w:t>
                  </w:r>
                </w:p>
              </w:tc>
            </w:tr>
            <w:tr w14:paraId="2FEA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continue"/>
                  <w:noWrap w:val="0"/>
                  <w:vAlign w:val="center"/>
                </w:tcPr>
                <w:p w14:paraId="2666B24A">
                  <w:pPr>
                    <w:widowControl/>
                    <w:spacing w:line="240" w:lineRule="auto"/>
                    <w:jc w:val="center"/>
                    <w:textAlignment w:val="center"/>
                    <w:rPr>
                      <w:rFonts w:hint="default" w:eastAsia="宋体"/>
                      <w:color w:val="auto"/>
                      <w:kern w:val="0"/>
                      <w:sz w:val="18"/>
                      <w:szCs w:val="18"/>
                      <w:lang w:val="en-US" w:eastAsia="zh-CN" w:bidi="ar"/>
                    </w:rPr>
                  </w:pPr>
                </w:p>
              </w:tc>
              <w:tc>
                <w:tcPr>
                  <w:tcW w:w="1410" w:type="pct"/>
                  <w:noWrap w:val="0"/>
                  <w:vAlign w:val="center"/>
                </w:tcPr>
                <w:p w14:paraId="5972BF98">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2～4</w:t>
                  </w:r>
                </w:p>
              </w:tc>
              <w:tc>
                <w:tcPr>
                  <w:tcW w:w="279" w:type="pct"/>
                  <w:noWrap w:val="0"/>
                  <w:vAlign w:val="center"/>
                </w:tcPr>
                <w:p w14:paraId="2655A20B">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700</w:t>
                  </w:r>
                </w:p>
              </w:tc>
              <w:tc>
                <w:tcPr>
                  <w:tcW w:w="368" w:type="pct"/>
                  <w:noWrap w:val="0"/>
                  <w:vAlign w:val="center"/>
                </w:tcPr>
                <w:p w14:paraId="424C8736">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470*</w:t>
                  </w:r>
                </w:p>
              </w:tc>
              <w:tc>
                <w:tcPr>
                  <w:tcW w:w="282" w:type="pct"/>
                  <w:noWrap w:val="0"/>
                  <w:vAlign w:val="center"/>
                </w:tcPr>
                <w:p w14:paraId="22FF180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350</w:t>
                  </w:r>
                </w:p>
              </w:tc>
              <w:tc>
                <w:tcPr>
                  <w:tcW w:w="368" w:type="pct"/>
                  <w:noWrap w:val="0"/>
                  <w:vAlign w:val="center"/>
                </w:tcPr>
                <w:p w14:paraId="3053F9AB">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700</w:t>
                  </w:r>
                </w:p>
              </w:tc>
              <w:tc>
                <w:tcPr>
                  <w:tcW w:w="368" w:type="pct"/>
                  <w:noWrap w:val="0"/>
                  <w:vAlign w:val="center"/>
                </w:tcPr>
                <w:p w14:paraId="6205228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470</w:t>
                  </w:r>
                </w:p>
              </w:tc>
              <w:tc>
                <w:tcPr>
                  <w:tcW w:w="370" w:type="pct"/>
                  <w:noWrap w:val="0"/>
                  <w:vAlign w:val="center"/>
                </w:tcPr>
                <w:p w14:paraId="7505F885">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350</w:t>
                  </w:r>
                </w:p>
              </w:tc>
              <w:tc>
                <w:tcPr>
                  <w:tcW w:w="279" w:type="pct"/>
                  <w:noWrap w:val="0"/>
                  <w:vAlign w:val="center"/>
                </w:tcPr>
                <w:p w14:paraId="2F1F171A">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380</w:t>
                  </w:r>
                </w:p>
              </w:tc>
              <w:tc>
                <w:tcPr>
                  <w:tcW w:w="279" w:type="pct"/>
                  <w:noWrap w:val="0"/>
                  <w:vAlign w:val="center"/>
                </w:tcPr>
                <w:p w14:paraId="07A0C68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250</w:t>
                  </w:r>
                </w:p>
              </w:tc>
              <w:tc>
                <w:tcPr>
                  <w:tcW w:w="277" w:type="pct"/>
                  <w:noWrap w:val="0"/>
                  <w:vAlign w:val="center"/>
                </w:tcPr>
                <w:p w14:paraId="0B38DE33">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190</w:t>
                  </w:r>
                </w:p>
              </w:tc>
            </w:tr>
            <w:tr w14:paraId="6BD8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continue"/>
                  <w:noWrap w:val="0"/>
                  <w:vAlign w:val="center"/>
                </w:tcPr>
                <w:p w14:paraId="75A8AD1F">
                  <w:pPr>
                    <w:widowControl/>
                    <w:spacing w:line="240" w:lineRule="auto"/>
                    <w:jc w:val="center"/>
                    <w:textAlignment w:val="center"/>
                    <w:rPr>
                      <w:rFonts w:hint="default" w:eastAsia="宋体"/>
                      <w:color w:val="auto"/>
                      <w:kern w:val="0"/>
                      <w:sz w:val="18"/>
                      <w:szCs w:val="18"/>
                      <w:lang w:val="en-US" w:eastAsia="zh-CN" w:bidi="ar"/>
                    </w:rPr>
                  </w:pPr>
                </w:p>
              </w:tc>
              <w:tc>
                <w:tcPr>
                  <w:tcW w:w="1410" w:type="pct"/>
                  <w:noWrap w:val="0"/>
                  <w:vAlign w:val="center"/>
                </w:tcPr>
                <w:p w14:paraId="2CC3C7D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＞4</w:t>
                  </w:r>
                </w:p>
              </w:tc>
              <w:tc>
                <w:tcPr>
                  <w:tcW w:w="279" w:type="pct"/>
                  <w:noWrap w:val="0"/>
                  <w:vAlign w:val="center"/>
                </w:tcPr>
                <w:p w14:paraId="26452A26">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530</w:t>
                  </w:r>
                </w:p>
              </w:tc>
              <w:tc>
                <w:tcPr>
                  <w:tcW w:w="368" w:type="pct"/>
                  <w:noWrap w:val="0"/>
                  <w:vAlign w:val="center"/>
                </w:tcPr>
                <w:p w14:paraId="5B9EB16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350</w:t>
                  </w:r>
                </w:p>
              </w:tc>
              <w:tc>
                <w:tcPr>
                  <w:tcW w:w="282" w:type="pct"/>
                  <w:noWrap w:val="0"/>
                  <w:vAlign w:val="center"/>
                </w:tcPr>
                <w:p w14:paraId="52BFC59A">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260</w:t>
                  </w:r>
                </w:p>
              </w:tc>
              <w:tc>
                <w:tcPr>
                  <w:tcW w:w="368" w:type="pct"/>
                  <w:noWrap w:val="0"/>
                  <w:vAlign w:val="center"/>
                </w:tcPr>
                <w:p w14:paraId="7C6A7BA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530</w:t>
                  </w:r>
                </w:p>
              </w:tc>
              <w:tc>
                <w:tcPr>
                  <w:tcW w:w="368" w:type="pct"/>
                  <w:noWrap w:val="0"/>
                  <w:vAlign w:val="center"/>
                </w:tcPr>
                <w:p w14:paraId="088EA43F">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350</w:t>
                  </w:r>
                </w:p>
              </w:tc>
              <w:tc>
                <w:tcPr>
                  <w:tcW w:w="370" w:type="pct"/>
                  <w:noWrap w:val="0"/>
                  <w:vAlign w:val="center"/>
                </w:tcPr>
                <w:p w14:paraId="41B04F4C">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260</w:t>
                  </w:r>
                </w:p>
              </w:tc>
              <w:tc>
                <w:tcPr>
                  <w:tcW w:w="279" w:type="pct"/>
                  <w:noWrap w:val="0"/>
                  <w:vAlign w:val="center"/>
                </w:tcPr>
                <w:p w14:paraId="27D2B5C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290</w:t>
                  </w:r>
                </w:p>
              </w:tc>
              <w:tc>
                <w:tcPr>
                  <w:tcW w:w="279" w:type="pct"/>
                  <w:noWrap w:val="0"/>
                  <w:vAlign w:val="center"/>
                </w:tcPr>
                <w:p w14:paraId="7710DBC3">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190</w:t>
                  </w:r>
                </w:p>
              </w:tc>
              <w:tc>
                <w:tcPr>
                  <w:tcW w:w="277" w:type="pct"/>
                  <w:noWrap w:val="0"/>
                  <w:vAlign w:val="center"/>
                </w:tcPr>
                <w:p w14:paraId="4283164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140</w:t>
                  </w:r>
                </w:p>
              </w:tc>
            </w:tr>
            <w:tr w14:paraId="28C5A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restart"/>
                  <w:noWrap w:val="0"/>
                  <w:vAlign w:val="center"/>
                </w:tcPr>
                <w:p w14:paraId="793C8161">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B</w:t>
                  </w:r>
                </w:p>
              </w:tc>
              <w:tc>
                <w:tcPr>
                  <w:tcW w:w="1410" w:type="pct"/>
                  <w:noWrap w:val="0"/>
                  <w:vAlign w:val="center"/>
                </w:tcPr>
                <w:p w14:paraId="15AD8ACD">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929" w:type="pct"/>
                  <w:gridSpan w:val="3"/>
                  <w:noWrap w:val="0"/>
                  <w:vAlign w:val="center"/>
                </w:tcPr>
                <w:p w14:paraId="286303D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0.01</w:t>
                  </w:r>
                </w:p>
              </w:tc>
              <w:tc>
                <w:tcPr>
                  <w:tcW w:w="1107" w:type="pct"/>
                  <w:gridSpan w:val="3"/>
                  <w:noWrap w:val="0"/>
                  <w:vAlign w:val="center"/>
                </w:tcPr>
                <w:p w14:paraId="7DEEF59C">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0.015</w:t>
                  </w:r>
                </w:p>
              </w:tc>
              <w:tc>
                <w:tcPr>
                  <w:tcW w:w="835" w:type="pct"/>
                  <w:gridSpan w:val="3"/>
                  <w:noWrap w:val="0"/>
                  <w:vAlign w:val="center"/>
                </w:tcPr>
                <w:p w14:paraId="70633DD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0.015</w:t>
                  </w:r>
                </w:p>
              </w:tc>
            </w:tr>
            <w:tr w14:paraId="1872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continue"/>
                  <w:noWrap w:val="0"/>
                  <w:vAlign w:val="center"/>
                </w:tcPr>
                <w:p w14:paraId="5D4862A0">
                  <w:pPr>
                    <w:widowControl/>
                    <w:spacing w:line="240" w:lineRule="auto"/>
                    <w:jc w:val="center"/>
                    <w:textAlignment w:val="center"/>
                    <w:rPr>
                      <w:rFonts w:hint="default" w:eastAsia="宋体"/>
                      <w:color w:val="auto"/>
                      <w:kern w:val="0"/>
                      <w:sz w:val="18"/>
                      <w:szCs w:val="18"/>
                      <w:lang w:val="en-US" w:eastAsia="zh-CN" w:bidi="ar"/>
                    </w:rPr>
                  </w:pPr>
                </w:p>
              </w:tc>
              <w:tc>
                <w:tcPr>
                  <w:tcW w:w="1410" w:type="pct"/>
                  <w:noWrap w:val="0"/>
                  <w:vAlign w:val="center"/>
                </w:tcPr>
                <w:p w14:paraId="42F6F86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929" w:type="pct"/>
                  <w:gridSpan w:val="3"/>
                  <w:noWrap w:val="0"/>
                  <w:vAlign w:val="center"/>
                </w:tcPr>
                <w:p w14:paraId="31767F1C">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0.021*</w:t>
                  </w:r>
                </w:p>
              </w:tc>
              <w:tc>
                <w:tcPr>
                  <w:tcW w:w="1107" w:type="pct"/>
                  <w:gridSpan w:val="3"/>
                  <w:noWrap w:val="0"/>
                  <w:vAlign w:val="center"/>
                </w:tcPr>
                <w:p w14:paraId="3A8DA181">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0.036</w:t>
                  </w:r>
                </w:p>
              </w:tc>
              <w:tc>
                <w:tcPr>
                  <w:tcW w:w="835" w:type="pct"/>
                  <w:gridSpan w:val="3"/>
                  <w:noWrap w:val="0"/>
                  <w:vAlign w:val="center"/>
                </w:tcPr>
                <w:p w14:paraId="2B4E65A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0.036</w:t>
                  </w:r>
                </w:p>
              </w:tc>
            </w:tr>
            <w:tr w14:paraId="5435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restart"/>
                  <w:noWrap w:val="0"/>
                  <w:vAlign w:val="center"/>
                </w:tcPr>
                <w:p w14:paraId="73F44A40">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C</w:t>
                  </w:r>
                </w:p>
              </w:tc>
              <w:tc>
                <w:tcPr>
                  <w:tcW w:w="1410" w:type="pct"/>
                  <w:noWrap w:val="0"/>
                  <w:vAlign w:val="center"/>
                </w:tcPr>
                <w:p w14:paraId="0A86EAF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929" w:type="pct"/>
                  <w:gridSpan w:val="3"/>
                  <w:noWrap w:val="0"/>
                  <w:vAlign w:val="center"/>
                </w:tcPr>
                <w:p w14:paraId="47D657F5">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1.85</w:t>
                  </w:r>
                </w:p>
              </w:tc>
              <w:tc>
                <w:tcPr>
                  <w:tcW w:w="1107" w:type="pct"/>
                  <w:gridSpan w:val="3"/>
                  <w:noWrap w:val="0"/>
                  <w:vAlign w:val="center"/>
                </w:tcPr>
                <w:p w14:paraId="6307BE6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1.79</w:t>
                  </w:r>
                </w:p>
              </w:tc>
              <w:tc>
                <w:tcPr>
                  <w:tcW w:w="835" w:type="pct"/>
                  <w:gridSpan w:val="3"/>
                  <w:noWrap w:val="0"/>
                  <w:vAlign w:val="center"/>
                </w:tcPr>
                <w:p w14:paraId="7AE4FAB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1.79</w:t>
                  </w:r>
                </w:p>
              </w:tc>
            </w:tr>
            <w:tr w14:paraId="7AA9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continue"/>
                  <w:noWrap w:val="0"/>
                  <w:vAlign w:val="center"/>
                </w:tcPr>
                <w:p w14:paraId="2210C0CB">
                  <w:pPr>
                    <w:widowControl/>
                    <w:spacing w:line="240" w:lineRule="auto"/>
                    <w:jc w:val="center"/>
                    <w:textAlignment w:val="center"/>
                    <w:rPr>
                      <w:rFonts w:hint="default" w:eastAsia="宋体"/>
                      <w:color w:val="auto"/>
                      <w:kern w:val="0"/>
                      <w:sz w:val="18"/>
                      <w:szCs w:val="18"/>
                      <w:lang w:val="en-US" w:eastAsia="zh-CN" w:bidi="ar"/>
                    </w:rPr>
                  </w:pPr>
                </w:p>
              </w:tc>
              <w:tc>
                <w:tcPr>
                  <w:tcW w:w="1410" w:type="pct"/>
                  <w:noWrap w:val="0"/>
                  <w:vAlign w:val="center"/>
                </w:tcPr>
                <w:p w14:paraId="0C49550C">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929" w:type="pct"/>
                  <w:gridSpan w:val="3"/>
                  <w:noWrap w:val="0"/>
                  <w:vAlign w:val="center"/>
                </w:tcPr>
                <w:p w14:paraId="785FAB9C">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1.85*</w:t>
                  </w:r>
                </w:p>
              </w:tc>
              <w:tc>
                <w:tcPr>
                  <w:tcW w:w="1107" w:type="pct"/>
                  <w:gridSpan w:val="3"/>
                  <w:noWrap w:val="0"/>
                  <w:vAlign w:val="center"/>
                </w:tcPr>
                <w:p w14:paraId="4A302D3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1.77</w:t>
                  </w:r>
                </w:p>
              </w:tc>
              <w:tc>
                <w:tcPr>
                  <w:tcW w:w="835" w:type="pct"/>
                  <w:gridSpan w:val="3"/>
                  <w:noWrap w:val="0"/>
                  <w:vAlign w:val="center"/>
                </w:tcPr>
                <w:p w14:paraId="139B47E8">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1.77</w:t>
                  </w:r>
                </w:p>
              </w:tc>
            </w:tr>
            <w:tr w14:paraId="096D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trPr>
              <w:tc>
                <w:tcPr>
                  <w:tcW w:w="716" w:type="pct"/>
                  <w:vMerge w:val="restart"/>
                  <w:noWrap w:val="0"/>
                  <w:vAlign w:val="center"/>
                </w:tcPr>
                <w:p w14:paraId="093F18BE">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D</w:t>
                  </w:r>
                </w:p>
              </w:tc>
              <w:tc>
                <w:tcPr>
                  <w:tcW w:w="1410" w:type="pct"/>
                  <w:noWrap w:val="0"/>
                  <w:vAlign w:val="center"/>
                </w:tcPr>
                <w:p w14:paraId="482A7F04">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929" w:type="pct"/>
                  <w:gridSpan w:val="3"/>
                  <w:noWrap w:val="0"/>
                  <w:vAlign w:val="center"/>
                </w:tcPr>
                <w:p w14:paraId="1320776D">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0.78</w:t>
                  </w:r>
                </w:p>
              </w:tc>
              <w:tc>
                <w:tcPr>
                  <w:tcW w:w="1107" w:type="pct"/>
                  <w:gridSpan w:val="3"/>
                  <w:noWrap w:val="0"/>
                  <w:vAlign w:val="center"/>
                </w:tcPr>
                <w:p w14:paraId="3F609CB7">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0.78</w:t>
                  </w:r>
                </w:p>
              </w:tc>
              <w:tc>
                <w:tcPr>
                  <w:tcW w:w="835" w:type="pct"/>
                  <w:gridSpan w:val="3"/>
                  <w:noWrap w:val="0"/>
                  <w:vAlign w:val="center"/>
                </w:tcPr>
                <w:p w14:paraId="5AB3C0E2">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0.57</w:t>
                  </w:r>
                </w:p>
              </w:tc>
            </w:tr>
            <w:tr w14:paraId="3F18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0" w:hRule="atLeast"/>
              </w:trPr>
              <w:tc>
                <w:tcPr>
                  <w:tcW w:w="716" w:type="pct"/>
                  <w:vMerge w:val="continue"/>
                  <w:noWrap w:val="0"/>
                  <w:vAlign w:val="center"/>
                </w:tcPr>
                <w:p w14:paraId="0811E573">
                  <w:pPr>
                    <w:widowControl/>
                    <w:spacing w:line="240" w:lineRule="auto"/>
                    <w:jc w:val="center"/>
                    <w:textAlignment w:val="center"/>
                    <w:rPr>
                      <w:rFonts w:hint="default" w:eastAsia="宋体"/>
                      <w:color w:val="auto"/>
                      <w:kern w:val="0"/>
                      <w:sz w:val="18"/>
                      <w:szCs w:val="18"/>
                      <w:lang w:val="en-US" w:eastAsia="zh-CN" w:bidi="ar"/>
                    </w:rPr>
                  </w:pPr>
                </w:p>
              </w:tc>
              <w:tc>
                <w:tcPr>
                  <w:tcW w:w="1410" w:type="pct"/>
                  <w:noWrap w:val="0"/>
                  <w:vAlign w:val="center"/>
                </w:tcPr>
                <w:p w14:paraId="44DAF2D9">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＞2</w:t>
                  </w:r>
                </w:p>
              </w:tc>
              <w:tc>
                <w:tcPr>
                  <w:tcW w:w="929" w:type="pct"/>
                  <w:gridSpan w:val="3"/>
                  <w:noWrap w:val="0"/>
                  <w:vAlign w:val="center"/>
                </w:tcPr>
                <w:p w14:paraId="7130F4CD">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0.84*</w:t>
                  </w:r>
                </w:p>
              </w:tc>
              <w:tc>
                <w:tcPr>
                  <w:tcW w:w="1107" w:type="pct"/>
                  <w:gridSpan w:val="3"/>
                  <w:noWrap w:val="0"/>
                  <w:vAlign w:val="center"/>
                </w:tcPr>
                <w:p w14:paraId="12166571">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0.84</w:t>
                  </w:r>
                </w:p>
              </w:tc>
              <w:tc>
                <w:tcPr>
                  <w:tcW w:w="835" w:type="pct"/>
                  <w:gridSpan w:val="3"/>
                  <w:noWrap w:val="0"/>
                  <w:vAlign w:val="center"/>
                </w:tcPr>
                <w:p w14:paraId="09287B26">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0.76</w:t>
                  </w:r>
                </w:p>
              </w:tc>
            </w:tr>
            <w:tr w14:paraId="25769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0" w:hRule="atLeast"/>
              </w:trPr>
              <w:tc>
                <w:tcPr>
                  <w:tcW w:w="5000" w:type="pct"/>
                  <w:gridSpan w:val="11"/>
                  <w:noWrap w:val="0"/>
                  <w:vAlign w:val="center"/>
                </w:tcPr>
                <w:p w14:paraId="0817682F">
                  <w:pPr>
                    <w:ind w:firstLine="360" w:firstLineChars="200"/>
                    <w:rPr>
                      <w:rFonts w:hint="default" w:eastAsia="宋体"/>
                      <w:color w:val="auto"/>
                      <w:kern w:val="0"/>
                      <w:sz w:val="18"/>
                      <w:szCs w:val="18"/>
                      <w:lang w:val="en-US" w:eastAsia="zh-CN" w:bidi="ar"/>
                    </w:rPr>
                  </w:pPr>
                  <w:r>
                    <w:rPr>
                      <w:rFonts w:hint="eastAsia" w:eastAsia="宋体"/>
                      <w:color w:val="auto"/>
                      <w:sz w:val="18"/>
                      <w:szCs w:val="18"/>
                    </w:rPr>
                    <w:t>*：本项目的计算系数。</w:t>
                  </w:r>
                </w:p>
              </w:tc>
            </w:tr>
          </w:tbl>
          <w:p w14:paraId="628658F4">
            <w:pPr>
              <w:ind w:firstLine="480" w:firstLineChars="200"/>
              <w:jc w:val="center"/>
              <w:rPr>
                <w:color w:val="auto"/>
              </w:rPr>
            </w:pPr>
            <w:r>
              <w:rPr>
                <w:rFonts w:ascii="黑体" w:hAnsi="黑体" w:eastAsia="黑体"/>
                <w:color w:val="auto"/>
              </w:rPr>
              <w:t>表</w:t>
            </w:r>
            <w:r>
              <w:rPr>
                <w:rFonts w:eastAsia="黑体"/>
                <w:color w:val="auto"/>
              </w:rPr>
              <w:t>4-</w:t>
            </w:r>
            <w:r>
              <w:rPr>
                <w:rFonts w:hint="eastAsia" w:eastAsia="黑体"/>
                <w:color w:val="auto"/>
                <w:lang w:val="en-US" w:eastAsia="zh-CN"/>
              </w:rPr>
              <w:t>10</w:t>
            </w:r>
            <w:r>
              <w:rPr>
                <w:rFonts w:ascii="黑体" w:hAnsi="黑体" w:eastAsia="黑体"/>
                <w:color w:val="auto"/>
              </w:rPr>
              <w:t xml:space="preserve">  </w:t>
            </w:r>
            <w:r>
              <w:rPr>
                <w:rFonts w:hint="eastAsia" w:ascii="黑体" w:hAnsi="黑体" w:eastAsia="黑体"/>
                <w:color w:val="auto"/>
              </w:rPr>
              <w:t>无组织排放污染物卫生防护距离计算结果</w:t>
            </w:r>
          </w:p>
          <w:tbl>
            <w:tblPr>
              <w:tblStyle w:val="69"/>
              <w:tblW w:w="4996"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6"/>
              <w:gridCol w:w="956"/>
              <w:gridCol w:w="777"/>
              <w:gridCol w:w="788"/>
              <w:gridCol w:w="1537"/>
              <w:gridCol w:w="1721"/>
              <w:gridCol w:w="710"/>
              <w:gridCol w:w="475"/>
              <w:gridCol w:w="1322"/>
            </w:tblGrid>
            <w:tr w14:paraId="3EB8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trPr>
              <w:tc>
                <w:tcPr>
                  <w:tcW w:w="423" w:type="pct"/>
                  <w:vMerge w:val="restart"/>
                  <w:noWrap w:val="0"/>
                  <w:vAlign w:val="center"/>
                </w:tcPr>
                <w:p w14:paraId="74997901">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面源名称</w:t>
                  </w:r>
                </w:p>
              </w:tc>
              <w:tc>
                <w:tcPr>
                  <w:tcW w:w="528" w:type="pct"/>
                  <w:vMerge w:val="restart"/>
                  <w:noWrap w:val="0"/>
                  <w:vAlign w:val="center"/>
                </w:tcPr>
                <w:p w14:paraId="16768F53">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污染物</w:t>
                  </w:r>
                </w:p>
              </w:tc>
              <w:tc>
                <w:tcPr>
                  <w:tcW w:w="864" w:type="pct"/>
                  <w:gridSpan w:val="2"/>
                  <w:noWrap w:val="0"/>
                  <w:vAlign w:val="center"/>
                </w:tcPr>
                <w:p w14:paraId="55455704">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面源参数（m）</w:t>
                  </w:r>
                </w:p>
              </w:tc>
              <w:tc>
                <w:tcPr>
                  <w:tcW w:w="848" w:type="pct"/>
                  <w:vMerge w:val="restart"/>
                  <w:noWrap w:val="0"/>
                  <w:vAlign w:val="center"/>
                </w:tcPr>
                <w:p w14:paraId="7539D66B">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排放速率（kg/h）</w:t>
                  </w:r>
                </w:p>
              </w:tc>
              <w:tc>
                <w:tcPr>
                  <w:tcW w:w="950" w:type="pct"/>
                  <w:vMerge w:val="restart"/>
                  <w:noWrap w:val="0"/>
                  <w:vAlign w:val="center"/>
                </w:tcPr>
                <w:p w14:paraId="4D66B7C4">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标准限值（mg/m</w:t>
                  </w:r>
                  <w:r>
                    <w:rPr>
                      <w:rFonts w:hint="default" w:eastAsia="宋体"/>
                      <w:color w:val="auto"/>
                      <w:kern w:val="0"/>
                      <w:sz w:val="18"/>
                      <w:szCs w:val="18"/>
                      <w:vertAlign w:val="superscript"/>
                      <w:lang w:bidi="ar"/>
                    </w:rPr>
                    <w:t>3</w:t>
                  </w:r>
                  <w:r>
                    <w:rPr>
                      <w:rFonts w:hint="default" w:eastAsia="宋体"/>
                      <w:color w:val="auto"/>
                      <w:kern w:val="0"/>
                      <w:sz w:val="18"/>
                      <w:szCs w:val="18"/>
                      <w:lang w:bidi="ar"/>
                    </w:rPr>
                    <w:t>）</w:t>
                  </w:r>
                </w:p>
              </w:tc>
              <w:tc>
                <w:tcPr>
                  <w:tcW w:w="654" w:type="pct"/>
                  <w:gridSpan w:val="2"/>
                  <w:noWrap w:val="0"/>
                  <w:vAlign w:val="center"/>
                </w:tcPr>
                <w:p w14:paraId="1F7CA974">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卫生防护距离(m)</w:t>
                  </w:r>
                </w:p>
              </w:tc>
              <w:tc>
                <w:tcPr>
                  <w:tcW w:w="730" w:type="pct"/>
                  <w:vMerge w:val="restart"/>
                  <w:noWrap w:val="0"/>
                  <w:vAlign w:val="center"/>
                </w:tcPr>
                <w:p w14:paraId="2FE4372B">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最终结果（m）</w:t>
                  </w:r>
                </w:p>
              </w:tc>
            </w:tr>
            <w:tr w14:paraId="440B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9" w:hRule="atLeast"/>
              </w:trPr>
              <w:tc>
                <w:tcPr>
                  <w:tcW w:w="423" w:type="pct"/>
                  <w:vMerge w:val="continue"/>
                  <w:noWrap w:val="0"/>
                  <w:vAlign w:val="center"/>
                </w:tcPr>
                <w:p w14:paraId="0F167DA0">
                  <w:pPr>
                    <w:widowControl/>
                    <w:spacing w:line="240" w:lineRule="auto"/>
                    <w:jc w:val="center"/>
                    <w:textAlignment w:val="center"/>
                    <w:rPr>
                      <w:rFonts w:hint="default" w:eastAsia="宋体"/>
                      <w:color w:val="auto"/>
                      <w:kern w:val="0"/>
                      <w:sz w:val="18"/>
                      <w:szCs w:val="18"/>
                      <w:lang w:bidi="ar"/>
                    </w:rPr>
                  </w:pPr>
                </w:p>
              </w:tc>
              <w:tc>
                <w:tcPr>
                  <w:tcW w:w="528" w:type="pct"/>
                  <w:vMerge w:val="continue"/>
                  <w:noWrap w:val="0"/>
                  <w:vAlign w:val="center"/>
                </w:tcPr>
                <w:p w14:paraId="517FE05C">
                  <w:pPr>
                    <w:widowControl/>
                    <w:spacing w:line="240" w:lineRule="auto"/>
                    <w:jc w:val="center"/>
                    <w:textAlignment w:val="center"/>
                    <w:rPr>
                      <w:rFonts w:hint="default" w:eastAsia="宋体"/>
                      <w:color w:val="auto"/>
                      <w:kern w:val="0"/>
                      <w:sz w:val="18"/>
                      <w:szCs w:val="18"/>
                      <w:lang w:bidi="ar"/>
                    </w:rPr>
                  </w:pPr>
                </w:p>
              </w:tc>
              <w:tc>
                <w:tcPr>
                  <w:tcW w:w="429" w:type="pct"/>
                  <w:noWrap w:val="0"/>
                  <w:vAlign w:val="center"/>
                </w:tcPr>
                <w:p w14:paraId="6976D1FB">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面源宽度</w:t>
                  </w:r>
                </w:p>
              </w:tc>
              <w:tc>
                <w:tcPr>
                  <w:tcW w:w="435" w:type="pct"/>
                  <w:noWrap w:val="0"/>
                  <w:vAlign w:val="center"/>
                </w:tcPr>
                <w:p w14:paraId="3AF0824A">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面源长度</w:t>
                  </w:r>
                </w:p>
              </w:tc>
              <w:tc>
                <w:tcPr>
                  <w:tcW w:w="848" w:type="pct"/>
                  <w:vMerge w:val="continue"/>
                  <w:noWrap w:val="0"/>
                  <w:vAlign w:val="center"/>
                </w:tcPr>
                <w:p w14:paraId="6AE20621">
                  <w:pPr>
                    <w:widowControl/>
                    <w:spacing w:line="240" w:lineRule="auto"/>
                    <w:jc w:val="center"/>
                    <w:textAlignment w:val="center"/>
                    <w:rPr>
                      <w:rFonts w:hint="default" w:eastAsia="宋体"/>
                      <w:color w:val="auto"/>
                      <w:kern w:val="0"/>
                      <w:sz w:val="18"/>
                      <w:szCs w:val="18"/>
                      <w:lang w:bidi="ar"/>
                    </w:rPr>
                  </w:pPr>
                </w:p>
              </w:tc>
              <w:tc>
                <w:tcPr>
                  <w:tcW w:w="950" w:type="pct"/>
                  <w:vMerge w:val="continue"/>
                  <w:noWrap w:val="0"/>
                  <w:vAlign w:val="center"/>
                </w:tcPr>
                <w:p w14:paraId="23BDDB10">
                  <w:pPr>
                    <w:widowControl/>
                    <w:spacing w:line="240" w:lineRule="auto"/>
                    <w:jc w:val="center"/>
                    <w:textAlignment w:val="center"/>
                    <w:rPr>
                      <w:rFonts w:hint="default" w:eastAsia="宋体"/>
                      <w:color w:val="auto"/>
                      <w:kern w:val="0"/>
                      <w:sz w:val="18"/>
                      <w:szCs w:val="18"/>
                      <w:lang w:bidi="ar"/>
                    </w:rPr>
                  </w:pPr>
                </w:p>
              </w:tc>
              <w:tc>
                <w:tcPr>
                  <w:tcW w:w="392" w:type="pct"/>
                  <w:noWrap w:val="0"/>
                  <w:vAlign w:val="center"/>
                </w:tcPr>
                <w:p w14:paraId="1FB7F05C">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计算值</w:t>
                  </w:r>
                </w:p>
              </w:tc>
              <w:tc>
                <w:tcPr>
                  <w:tcW w:w="262" w:type="pct"/>
                  <w:noWrap w:val="0"/>
                  <w:vAlign w:val="center"/>
                </w:tcPr>
                <w:p w14:paraId="22AB38DC">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取值</w:t>
                  </w:r>
                </w:p>
              </w:tc>
              <w:tc>
                <w:tcPr>
                  <w:tcW w:w="730" w:type="pct"/>
                  <w:vMerge w:val="continue"/>
                  <w:noWrap w:val="0"/>
                  <w:vAlign w:val="center"/>
                </w:tcPr>
                <w:p w14:paraId="38BA808E">
                  <w:pPr>
                    <w:widowControl/>
                    <w:spacing w:line="240" w:lineRule="auto"/>
                    <w:jc w:val="center"/>
                    <w:textAlignment w:val="center"/>
                    <w:rPr>
                      <w:rFonts w:hint="default" w:eastAsia="宋体"/>
                      <w:color w:val="auto"/>
                      <w:kern w:val="0"/>
                      <w:sz w:val="18"/>
                      <w:szCs w:val="18"/>
                      <w:lang w:val="en-US" w:eastAsia="zh-CN" w:bidi="ar"/>
                    </w:rPr>
                  </w:pPr>
                </w:p>
              </w:tc>
            </w:tr>
            <w:tr w14:paraId="396E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423" w:type="pct"/>
                  <w:vMerge w:val="restart"/>
                  <w:noWrap w:val="0"/>
                  <w:vAlign w:val="center"/>
                </w:tcPr>
                <w:p w14:paraId="5C364D72">
                  <w:pPr>
                    <w:widowControl/>
                    <w:spacing w:line="240" w:lineRule="auto"/>
                    <w:jc w:val="center"/>
                    <w:textAlignment w:val="center"/>
                    <w:rPr>
                      <w:rFonts w:hint="default" w:eastAsia="宋体"/>
                      <w:color w:val="auto"/>
                      <w:kern w:val="0"/>
                      <w:sz w:val="18"/>
                      <w:szCs w:val="18"/>
                      <w:lang w:bidi="ar"/>
                    </w:rPr>
                  </w:pPr>
                  <w:r>
                    <w:rPr>
                      <w:rFonts w:hint="eastAsia" w:eastAsia="宋体"/>
                      <w:color w:val="auto"/>
                      <w:kern w:val="0"/>
                      <w:sz w:val="18"/>
                      <w:szCs w:val="18"/>
                      <w:lang w:val="en-US" w:eastAsia="zh-CN" w:bidi="ar"/>
                    </w:rPr>
                    <w:t>7#</w:t>
                  </w:r>
                  <w:r>
                    <w:rPr>
                      <w:rFonts w:hint="default" w:eastAsia="宋体"/>
                      <w:color w:val="auto"/>
                      <w:kern w:val="0"/>
                      <w:sz w:val="18"/>
                      <w:szCs w:val="18"/>
                      <w:lang w:bidi="ar"/>
                    </w:rPr>
                    <w:t>厂房</w:t>
                  </w:r>
                </w:p>
              </w:tc>
              <w:tc>
                <w:tcPr>
                  <w:tcW w:w="528" w:type="pct"/>
                  <w:noWrap w:val="0"/>
                  <w:vAlign w:val="center"/>
                </w:tcPr>
                <w:p w14:paraId="4E4C0DB0">
                  <w:pPr>
                    <w:widowControl/>
                    <w:spacing w:line="240" w:lineRule="auto"/>
                    <w:jc w:val="center"/>
                    <w:textAlignment w:val="center"/>
                    <w:rPr>
                      <w:rFonts w:hint="default" w:eastAsia="宋体"/>
                      <w:color w:val="auto"/>
                      <w:kern w:val="0"/>
                      <w:sz w:val="18"/>
                      <w:szCs w:val="18"/>
                      <w:lang w:bidi="ar"/>
                    </w:rPr>
                  </w:pPr>
                  <w:r>
                    <w:rPr>
                      <w:rFonts w:hint="eastAsia" w:eastAsia="宋体"/>
                      <w:color w:val="auto"/>
                      <w:kern w:val="0"/>
                      <w:sz w:val="18"/>
                      <w:szCs w:val="18"/>
                      <w:lang w:bidi="ar"/>
                    </w:rPr>
                    <w:t>颗粒物</w:t>
                  </w:r>
                </w:p>
              </w:tc>
              <w:tc>
                <w:tcPr>
                  <w:tcW w:w="429" w:type="pct"/>
                  <w:noWrap w:val="0"/>
                  <w:vAlign w:val="center"/>
                </w:tcPr>
                <w:p w14:paraId="697541D5">
                  <w:pPr>
                    <w:widowControl/>
                    <w:spacing w:line="240" w:lineRule="auto"/>
                    <w:jc w:val="center"/>
                    <w:textAlignment w:val="center"/>
                    <w:rPr>
                      <w:rFonts w:hint="default" w:eastAsia="宋体"/>
                      <w:color w:val="auto"/>
                      <w:kern w:val="0"/>
                      <w:sz w:val="18"/>
                      <w:szCs w:val="18"/>
                      <w:lang w:val="en-US" w:eastAsia="zh-CN" w:bidi="ar"/>
                    </w:rPr>
                  </w:pPr>
                  <w:r>
                    <w:rPr>
                      <w:rFonts w:hint="eastAsia" w:eastAsia="宋体"/>
                      <w:color w:val="auto"/>
                      <w:kern w:val="0"/>
                      <w:sz w:val="18"/>
                      <w:szCs w:val="18"/>
                      <w:lang w:val="en-US" w:eastAsia="zh-CN" w:bidi="ar"/>
                    </w:rPr>
                    <w:t>1</w:t>
                  </w:r>
                  <w:r>
                    <w:rPr>
                      <w:rFonts w:hint="eastAsia"/>
                      <w:color w:val="auto"/>
                      <w:kern w:val="0"/>
                      <w:sz w:val="18"/>
                      <w:szCs w:val="18"/>
                      <w:lang w:val="en-US" w:eastAsia="zh-CN" w:bidi="ar"/>
                    </w:rPr>
                    <w:t>10</w:t>
                  </w:r>
                </w:p>
              </w:tc>
              <w:tc>
                <w:tcPr>
                  <w:tcW w:w="435" w:type="pct"/>
                  <w:noWrap w:val="0"/>
                  <w:vAlign w:val="center"/>
                </w:tcPr>
                <w:p w14:paraId="3B520DED">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300</w:t>
                  </w:r>
                </w:p>
              </w:tc>
              <w:tc>
                <w:tcPr>
                  <w:tcW w:w="848" w:type="pct"/>
                  <w:shd w:val="clear" w:color="auto" w:fill="auto"/>
                  <w:noWrap w:val="0"/>
                  <w:vAlign w:val="center"/>
                </w:tcPr>
                <w:p w14:paraId="5D3309FC">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0.174</w:t>
                  </w:r>
                </w:p>
              </w:tc>
              <w:tc>
                <w:tcPr>
                  <w:tcW w:w="950" w:type="pct"/>
                  <w:noWrap w:val="0"/>
                  <w:vAlign w:val="center"/>
                </w:tcPr>
                <w:p w14:paraId="7BDDFD4C">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1.0</w:t>
                  </w:r>
                </w:p>
              </w:tc>
              <w:tc>
                <w:tcPr>
                  <w:tcW w:w="392" w:type="pct"/>
                  <w:noWrap w:val="0"/>
                  <w:vAlign w:val="center"/>
                </w:tcPr>
                <w:p w14:paraId="2B1DC695">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0.36</w:t>
                  </w:r>
                </w:p>
              </w:tc>
              <w:tc>
                <w:tcPr>
                  <w:tcW w:w="262" w:type="pct"/>
                  <w:noWrap w:val="0"/>
                  <w:vAlign w:val="center"/>
                </w:tcPr>
                <w:p w14:paraId="45B465DD">
                  <w:pPr>
                    <w:widowControl/>
                    <w:spacing w:line="240" w:lineRule="auto"/>
                    <w:jc w:val="center"/>
                    <w:textAlignment w:val="center"/>
                    <w:rPr>
                      <w:rFonts w:hint="default" w:eastAsia="宋体"/>
                      <w:color w:val="auto"/>
                      <w:kern w:val="0"/>
                      <w:sz w:val="18"/>
                      <w:szCs w:val="18"/>
                      <w:lang w:bidi="ar"/>
                    </w:rPr>
                  </w:pPr>
                  <w:r>
                    <w:rPr>
                      <w:rFonts w:hint="default" w:eastAsia="宋体"/>
                      <w:color w:val="auto"/>
                      <w:kern w:val="0"/>
                      <w:sz w:val="18"/>
                      <w:szCs w:val="18"/>
                      <w:lang w:bidi="ar"/>
                    </w:rPr>
                    <w:t>50</w:t>
                  </w:r>
                </w:p>
              </w:tc>
              <w:tc>
                <w:tcPr>
                  <w:tcW w:w="730" w:type="pct"/>
                  <w:noWrap w:val="0"/>
                  <w:vAlign w:val="center"/>
                </w:tcPr>
                <w:p w14:paraId="1C08DEBF">
                  <w:pPr>
                    <w:widowControl/>
                    <w:spacing w:line="240" w:lineRule="auto"/>
                    <w:jc w:val="center"/>
                    <w:textAlignment w:val="center"/>
                    <w:rPr>
                      <w:rFonts w:hint="default" w:eastAsia="宋体"/>
                      <w:color w:val="auto"/>
                      <w:kern w:val="0"/>
                      <w:sz w:val="18"/>
                      <w:szCs w:val="18"/>
                      <w:lang w:val="en-US" w:eastAsia="zh-CN" w:bidi="ar"/>
                    </w:rPr>
                  </w:pPr>
                  <w:r>
                    <w:rPr>
                      <w:rFonts w:hint="default" w:eastAsia="宋体"/>
                      <w:color w:val="auto"/>
                      <w:kern w:val="0"/>
                      <w:sz w:val="18"/>
                      <w:szCs w:val="18"/>
                      <w:lang w:val="en-US" w:eastAsia="zh-CN" w:bidi="ar"/>
                    </w:rPr>
                    <w:t>100</w:t>
                  </w:r>
                </w:p>
              </w:tc>
            </w:tr>
            <w:tr w14:paraId="65AC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3" w:hRule="atLeast"/>
              </w:trPr>
              <w:tc>
                <w:tcPr>
                  <w:tcW w:w="423" w:type="pct"/>
                  <w:vMerge w:val="continue"/>
                  <w:noWrap w:val="0"/>
                  <w:vAlign w:val="center"/>
                </w:tcPr>
                <w:p w14:paraId="0FC9C969">
                  <w:pPr>
                    <w:widowControl/>
                    <w:spacing w:line="240" w:lineRule="auto"/>
                    <w:jc w:val="center"/>
                    <w:textAlignment w:val="center"/>
                    <w:rPr>
                      <w:rFonts w:hint="eastAsia" w:eastAsia="宋体"/>
                      <w:color w:val="auto"/>
                      <w:kern w:val="0"/>
                      <w:sz w:val="18"/>
                      <w:szCs w:val="18"/>
                      <w:lang w:val="en-US" w:eastAsia="zh-CN" w:bidi="ar"/>
                    </w:rPr>
                  </w:pPr>
                </w:p>
              </w:tc>
              <w:tc>
                <w:tcPr>
                  <w:tcW w:w="528" w:type="pct"/>
                  <w:noWrap w:val="0"/>
                  <w:vAlign w:val="center"/>
                </w:tcPr>
                <w:p w14:paraId="5037346B">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二氧化硫</w:t>
                  </w:r>
                </w:p>
              </w:tc>
              <w:tc>
                <w:tcPr>
                  <w:tcW w:w="429" w:type="pct"/>
                  <w:shd w:val="clear" w:color="auto" w:fill="auto"/>
                  <w:noWrap w:val="0"/>
                  <w:vAlign w:val="center"/>
                </w:tcPr>
                <w:p w14:paraId="4963A02A">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eastAsia="宋体"/>
                      <w:color w:val="auto"/>
                      <w:kern w:val="0"/>
                      <w:sz w:val="18"/>
                      <w:szCs w:val="18"/>
                      <w:lang w:val="en-US" w:eastAsia="zh-CN" w:bidi="ar"/>
                    </w:rPr>
                    <w:t>1</w:t>
                  </w:r>
                  <w:r>
                    <w:rPr>
                      <w:rFonts w:hint="eastAsia"/>
                      <w:color w:val="auto"/>
                      <w:kern w:val="0"/>
                      <w:sz w:val="18"/>
                      <w:szCs w:val="18"/>
                      <w:lang w:val="en-US" w:eastAsia="zh-CN" w:bidi="ar"/>
                    </w:rPr>
                    <w:t>10</w:t>
                  </w:r>
                </w:p>
              </w:tc>
              <w:tc>
                <w:tcPr>
                  <w:tcW w:w="435" w:type="pct"/>
                  <w:shd w:val="clear" w:color="auto" w:fill="auto"/>
                  <w:noWrap w:val="0"/>
                  <w:vAlign w:val="center"/>
                </w:tcPr>
                <w:p w14:paraId="5B292F67">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300</w:t>
                  </w:r>
                </w:p>
              </w:tc>
              <w:tc>
                <w:tcPr>
                  <w:tcW w:w="848" w:type="pct"/>
                  <w:shd w:val="clear" w:color="auto" w:fill="auto"/>
                  <w:noWrap w:val="0"/>
                  <w:vAlign w:val="center"/>
                </w:tcPr>
                <w:p w14:paraId="6E33461A">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 xml:space="preserve">0.033 </w:t>
                  </w:r>
                </w:p>
              </w:tc>
              <w:tc>
                <w:tcPr>
                  <w:tcW w:w="950" w:type="pct"/>
                  <w:noWrap w:val="0"/>
                  <w:vAlign w:val="center"/>
                </w:tcPr>
                <w:p w14:paraId="4D9B8E7E">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0.4</w:t>
                  </w:r>
                </w:p>
              </w:tc>
              <w:tc>
                <w:tcPr>
                  <w:tcW w:w="392" w:type="pct"/>
                  <w:noWrap w:val="0"/>
                  <w:vAlign w:val="center"/>
                </w:tcPr>
                <w:p w14:paraId="1377295E">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0.15</w:t>
                  </w:r>
                </w:p>
              </w:tc>
              <w:tc>
                <w:tcPr>
                  <w:tcW w:w="262" w:type="pct"/>
                  <w:noWrap w:val="0"/>
                  <w:vAlign w:val="center"/>
                </w:tcPr>
                <w:p w14:paraId="05488358">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50</w:t>
                  </w:r>
                </w:p>
              </w:tc>
              <w:tc>
                <w:tcPr>
                  <w:tcW w:w="730" w:type="pct"/>
                  <w:noWrap w:val="0"/>
                  <w:vAlign w:val="center"/>
                </w:tcPr>
                <w:p w14:paraId="72C9DD9C">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100</w:t>
                  </w:r>
                </w:p>
              </w:tc>
            </w:tr>
            <w:tr w14:paraId="42F5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6" w:hRule="atLeast"/>
              </w:trPr>
              <w:tc>
                <w:tcPr>
                  <w:tcW w:w="423" w:type="pct"/>
                  <w:vMerge w:val="continue"/>
                  <w:noWrap w:val="0"/>
                  <w:vAlign w:val="center"/>
                </w:tcPr>
                <w:p w14:paraId="5257DBDB">
                  <w:pPr>
                    <w:widowControl/>
                    <w:spacing w:line="240" w:lineRule="auto"/>
                    <w:jc w:val="center"/>
                    <w:textAlignment w:val="center"/>
                    <w:rPr>
                      <w:rFonts w:hint="eastAsia" w:eastAsia="宋体"/>
                      <w:color w:val="auto"/>
                      <w:kern w:val="0"/>
                      <w:sz w:val="18"/>
                      <w:szCs w:val="18"/>
                      <w:lang w:val="en-US" w:eastAsia="zh-CN" w:bidi="ar"/>
                    </w:rPr>
                  </w:pPr>
                </w:p>
              </w:tc>
              <w:tc>
                <w:tcPr>
                  <w:tcW w:w="528" w:type="pct"/>
                  <w:noWrap w:val="0"/>
                  <w:vAlign w:val="center"/>
                </w:tcPr>
                <w:p w14:paraId="2BB32A70">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氮氧化物</w:t>
                  </w:r>
                </w:p>
              </w:tc>
              <w:tc>
                <w:tcPr>
                  <w:tcW w:w="429" w:type="pct"/>
                  <w:shd w:val="clear" w:color="auto" w:fill="auto"/>
                  <w:noWrap w:val="0"/>
                  <w:vAlign w:val="center"/>
                </w:tcPr>
                <w:p w14:paraId="0DE756E9">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eastAsia="宋体"/>
                      <w:color w:val="auto"/>
                      <w:kern w:val="0"/>
                      <w:sz w:val="18"/>
                      <w:szCs w:val="18"/>
                      <w:lang w:val="en-US" w:eastAsia="zh-CN" w:bidi="ar"/>
                    </w:rPr>
                    <w:t>1</w:t>
                  </w:r>
                  <w:r>
                    <w:rPr>
                      <w:rFonts w:hint="eastAsia"/>
                      <w:color w:val="auto"/>
                      <w:kern w:val="0"/>
                      <w:sz w:val="18"/>
                      <w:szCs w:val="18"/>
                      <w:lang w:val="en-US" w:eastAsia="zh-CN" w:bidi="ar"/>
                    </w:rPr>
                    <w:t>10</w:t>
                  </w:r>
                </w:p>
              </w:tc>
              <w:tc>
                <w:tcPr>
                  <w:tcW w:w="435" w:type="pct"/>
                  <w:shd w:val="clear" w:color="auto" w:fill="auto"/>
                  <w:noWrap w:val="0"/>
                  <w:vAlign w:val="center"/>
                </w:tcPr>
                <w:p w14:paraId="2EC2399C">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300</w:t>
                  </w:r>
                </w:p>
              </w:tc>
              <w:tc>
                <w:tcPr>
                  <w:tcW w:w="848" w:type="pct"/>
                  <w:shd w:val="clear" w:color="auto" w:fill="auto"/>
                  <w:noWrap w:val="0"/>
                  <w:vAlign w:val="center"/>
                </w:tcPr>
                <w:p w14:paraId="6C20F550">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152</w:t>
                  </w:r>
                  <w:r>
                    <w:rPr>
                      <w:rFonts w:hint="eastAsia" w:ascii="Times New Roman" w:hAnsi="Times New Roman" w:eastAsia="宋体" w:cs="宋体"/>
                      <w:color w:val="auto"/>
                      <w:kern w:val="0"/>
                      <w:sz w:val="18"/>
                      <w:szCs w:val="18"/>
                      <w:highlight w:val="none"/>
                      <w:lang w:val="en-US" w:eastAsia="zh-CN" w:bidi="ar"/>
                    </w:rPr>
                    <w:t xml:space="preserve"> </w:t>
                  </w:r>
                </w:p>
              </w:tc>
              <w:tc>
                <w:tcPr>
                  <w:tcW w:w="950" w:type="pct"/>
                  <w:noWrap w:val="0"/>
                  <w:vAlign w:val="center"/>
                </w:tcPr>
                <w:p w14:paraId="03F364D5">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0.12</w:t>
                  </w:r>
                </w:p>
              </w:tc>
              <w:tc>
                <w:tcPr>
                  <w:tcW w:w="392" w:type="pct"/>
                  <w:noWrap w:val="0"/>
                  <w:vAlign w:val="center"/>
                </w:tcPr>
                <w:p w14:paraId="0F2C408C">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0.09</w:t>
                  </w:r>
                </w:p>
              </w:tc>
              <w:tc>
                <w:tcPr>
                  <w:tcW w:w="262" w:type="pct"/>
                  <w:noWrap w:val="0"/>
                  <w:vAlign w:val="center"/>
                </w:tcPr>
                <w:p w14:paraId="3B36338F">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50</w:t>
                  </w:r>
                </w:p>
              </w:tc>
              <w:tc>
                <w:tcPr>
                  <w:tcW w:w="730" w:type="pct"/>
                  <w:noWrap w:val="0"/>
                  <w:vAlign w:val="center"/>
                </w:tcPr>
                <w:p w14:paraId="5CE4757E">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100</w:t>
                  </w:r>
                </w:p>
              </w:tc>
            </w:tr>
            <w:tr w14:paraId="7B85A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423" w:type="pct"/>
                  <w:noWrap w:val="0"/>
                  <w:vAlign w:val="center"/>
                </w:tcPr>
                <w:p w14:paraId="02C4060F">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w:t>
                  </w:r>
                </w:p>
              </w:tc>
              <w:tc>
                <w:tcPr>
                  <w:tcW w:w="528" w:type="pct"/>
                  <w:noWrap w:val="0"/>
                  <w:vAlign w:val="center"/>
                </w:tcPr>
                <w:p w14:paraId="6C1B0781">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氨</w:t>
                  </w:r>
                </w:p>
              </w:tc>
              <w:tc>
                <w:tcPr>
                  <w:tcW w:w="429" w:type="pct"/>
                  <w:noWrap w:val="0"/>
                  <w:vAlign w:val="center"/>
                </w:tcPr>
                <w:p w14:paraId="45375174">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5</w:t>
                  </w:r>
                </w:p>
              </w:tc>
              <w:tc>
                <w:tcPr>
                  <w:tcW w:w="435" w:type="pct"/>
                  <w:noWrap w:val="0"/>
                  <w:vAlign w:val="center"/>
                </w:tcPr>
                <w:p w14:paraId="7FE452D3">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w:t>
                  </w:r>
                </w:p>
              </w:tc>
              <w:tc>
                <w:tcPr>
                  <w:tcW w:w="848" w:type="pct"/>
                  <w:noWrap w:val="0"/>
                  <w:vAlign w:val="center"/>
                </w:tcPr>
                <w:p w14:paraId="1304454C">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w:t>
                  </w:r>
                </w:p>
              </w:tc>
              <w:tc>
                <w:tcPr>
                  <w:tcW w:w="950" w:type="pct"/>
                  <w:noWrap w:val="0"/>
                  <w:vAlign w:val="center"/>
                </w:tcPr>
                <w:p w14:paraId="469F03E5">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4.0</w:t>
                  </w:r>
                </w:p>
              </w:tc>
              <w:tc>
                <w:tcPr>
                  <w:tcW w:w="392" w:type="pct"/>
                  <w:noWrap w:val="0"/>
                  <w:vAlign w:val="center"/>
                </w:tcPr>
                <w:p w14:paraId="3F29F319">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w:t>
                  </w:r>
                </w:p>
              </w:tc>
              <w:tc>
                <w:tcPr>
                  <w:tcW w:w="262" w:type="pct"/>
                  <w:noWrap w:val="0"/>
                  <w:vAlign w:val="center"/>
                </w:tcPr>
                <w:p w14:paraId="607617FA">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730" w:type="pct"/>
                  <w:noWrap w:val="0"/>
                  <w:vAlign w:val="center"/>
                </w:tcPr>
                <w:p w14:paraId="3FDC423C">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w:t>
                  </w:r>
                </w:p>
              </w:tc>
            </w:tr>
          </w:tbl>
          <w:p w14:paraId="3CD096DD">
            <w:pPr>
              <w:ind w:firstLine="480" w:firstLineChars="200"/>
              <w:rPr>
                <w:color w:val="auto"/>
              </w:rPr>
            </w:pPr>
            <w:r>
              <w:rPr>
                <w:color w:val="auto"/>
              </w:rPr>
              <w:t>用《大气有害物质无组织排放卫生防护距离推导技术导则（GB/T39499-2020）》中的要求，无组织排放多种有害气体的工业企业，当计算的两种或两种以上的有害气体的卫生防护距离在同一级别时，该类工业企业的卫生防护距离应提高一级。依据以上原则，项目生产厂房设置的卫生防护距离为100米。</w:t>
            </w:r>
          </w:p>
          <w:p w14:paraId="342CD988">
            <w:pPr>
              <w:ind w:firstLine="480" w:firstLineChars="200"/>
              <w:rPr>
                <w:color w:val="auto"/>
              </w:rPr>
            </w:pPr>
            <w:r>
              <w:rPr>
                <w:rFonts w:hint="eastAsia"/>
                <w:color w:val="auto"/>
                <w:lang w:val="en-US" w:eastAsia="zh-CN"/>
              </w:rPr>
              <w:t>现有环境防护距离为8#厂房为执行边界的100m范围包络线防护距离；结合现有防护距离，并根据本次环境防护</w:t>
            </w:r>
            <w:r>
              <w:rPr>
                <w:color w:val="auto"/>
              </w:rPr>
              <w:t>距离计算结果，确定</w:t>
            </w:r>
            <w:r>
              <w:rPr>
                <w:rFonts w:hint="eastAsia"/>
                <w:color w:val="auto"/>
                <w:lang w:val="en-US" w:eastAsia="zh-CN"/>
              </w:rPr>
              <w:t>以本项目所在厂房</w:t>
            </w:r>
            <w:r>
              <w:rPr>
                <w:color w:val="auto"/>
              </w:rPr>
              <w:t>四周设置100m的环境防护距离</w:t>
            </w:r>
            <w:r>
              <w:rPr>
                <w:rFonts w:hint="eastAsia"/>
                <w:color w:val="auto"/>
              </w:rPr>
              <w:t>（见附图</w:t>
            </w:r>
            <w:r>
              <w:rPr>
                <w:rFonts w:hint="eastAsia"/>
                <w:color w:val="auto"/>
                <w:lang w:val="en-US" w:eastAsia="zh-CN"/>
              </w:rPr>
              <w:t>9</w:t>
            </w:r>
            <w:r>
              <w:rPr>
                <w:rFonts w:hint="eastAsia"/>
                <w:color w:val="auto"/>
              </w:rPr>
              <w:t>）</w:t>
            </w:r>
            <w:r>
              <w:rPr>
                <w:rFonts w:hint="eastAsia"/>
                <w:color w:val="auto"/>
                <w:lang w:eastAsia="zh-CN"/>
              </w:rPr>
              <w:t>，</w:t>
            </w:r>
            <w:r>
              <w:rPr>
                <w:rFonts w:hint="eastAsia"/>
                <w:color w:val="auto"/>
                <w:lang w:val="en-US" w:eastAsia="zh-CN"/>
              </w:rPr>
              <w:t>本项目北侧、西侧未突破现有防护距离，东侧、南侧边界执行的100m范围包络线防护距离</w:t>
            </w:r>
            <w:r>
              <w:rPr>
                <w:color w:val="auto"/>
              </w:rPr>
              <w:t>。根据现场勘查</w:t>
            </w:r>
            <w:r>
              <w:rPr>
                <w:rFonts w:hint="eastAsia"/>
                <w:color w:val="auto"/>
                <w:lang w:eastAsia="zh-CN"/>
              </w:rPr>
              <w:t>，</w:t>
            </w:r>
            <w:r>
              <w:rPr>
                <w:rFonts w:hint="eastAsia"/>
                <w:color w:val="auto"/>
                <w:lang w:val="en-US" w:eastAsia="zh-CN"/>
              </w:rPr>
              <w:t>本项目所在厂房</w:t>
            </w:r>
            <w:r>
              <w:rPr>
                <w:color w:val="auto"/>
              </w:rPr>
              <w:t>周边100m范围内无村庄等环境敏感点。同时建议规划部门不得批准在</w:t>
            </w:r>
            <w:r>
              <w:rPr>
                <w:rFonts w:hint="eastAsia"/>
                <w:color w:val="auto"/>
                <w:lang w:val="en-US" w:eastAsia="zh-CN"/>
              </w:rPr>
              <w:t>所在厂房</w:t>
            </w:r>
            <w:r>
              <w:rPr>
                <w:color w:val="auto"/>
              </w:rPr>
              <w:t>周边100m的环境防护距离内新建居民点、学校、医院以及食品加工企业等敏感点。</w:t>
            </w:r>
          </w:p>
          <w:p w14:paraId="321D5FC8">
            <w:pPr>
              <w:rPr>
                <w:color w:val="auto"/>
                <w:szCs w:val="24"/>
              </w:rPr>
            </w:pPr>
            <w:r>
              <w:rPr>
                <w:rFonts w:hint="eastAsia"/>
                <w:b/>
                <w:color w:val="auto"/>
                <w:szCs w:val="24"/>
              </w:rPr>
              <w:t>二、废水</w:t>
            </w:r>
          </w:p>
          <w:p w14:paraId="07348BB9">
            <w:pPr>
              <w:rPr>
                <w:b/>
                <w:color w:val="auto"/>
              </w:rPr>
            </w:pPr>
            <w:r>
              <w:rPr>
                <w:b/>
                <w:color w:val="auto"/>
              </w:rPr>
              <w:t>1</w:t>
            </w:r>
            <w:r>
              <w:rPr>
                <w:rFonts w:hint="eastAsia"/>
                <w:b/>
                <w:color w:val="auto"/>
              </w:rPr>
              <w:t>、废水源强分析</w:t>
            </w:r>
          </w:p>
          <w:p w14:paraId="5AEAB660">
            <w:pPr>
              <w:ind w:firstLine="480" w:firstLineChars="200"/>
              <w:rPr>
                <w:color w:val="auto"/>
              </w:rPr>
            </w:pPr>
            <w:r>
              <w:rPr>
                <w:rFonts w:hint="eastAsia"/>
                <w:color w:val="auto"/>
              </w:rPr>
              <w:t>本项目运营期产生的废水主要为生活污水</w:t>
            </w:r>
            <w:r>
              <w:rPr>
                <w:rFonts w:hint="eastAsia"/>
                <w:color w:val="auto"/>
                <w:lang w:eastAsia="zh-CN"/>
              </w:rPr>
              <w:t>、冷却水</w:t>
            </w:r>
            <w:r>
              <w:rPr>
                <w:rFonts w:hint="eastAsia"/>
                <w:color w:val="auto"/>
                <w:lang w:val="en-US" w:eastAsia="zh-CN"/>
              </w:rPr>
              <w:t>排水及食堂废水</w:t>
            </w:r>
            <w:r>
              <w:rPr>
                <w:rFonts w:hint="eastAsia"/>
                <w:color w:val="auto"/>
              </w:rPr>
              <w:t>。</w:t>
            </w:r>
          </w:p>
          <w:p w14:paraId="6308A6FD">
            <w:pPr>
              <w:ind w:firstLine="480" w:firstLineChars="200"/>
              <w:rPr>
                <w:rFonts w:hint="eastAsia"/>
                <w:color w:val="auto"/>
                <w:kern w:val="0"/>
                <w:lang w:eastAsia="zh-CN"/>
              </w:rPr>
            </w:pPr>
            <w:r>
              <w:rPr>
                <w:rFonts w:hint="eastAsia"/>
                <w:color w:val="auto"/>
              </w:rPr>
              <w:t>根据项目水平衡图，本项目</w:t>
            </w:r>
            <w:r>
              <w:rPr>
                <w:color w:val="auto"/>
              </w:rPr>
              <w:t>生活</w:t>
            </w:r>
            <w:r>
              <w:rPr>
                <w:rFonts w:hint="eastAsia"/>
                <w:color w:val="auto"/>
              </w:rPr>
              <w:t>污水</w:t>
            </w:r>
            <w:r>
              <w:rPr>
                <w:color w:val="auto"/>
              </w:rPr>
              <w:t>排放量为</w:t>
            </w:r>
            <w:r>
              <w:rPr>
                <w:rFonts w:hint="eastAsia"/>
                <w:color w:val="auto"/>
                <w:lang w:val="en-US" w:eastAsia="zh-CN"/>
              </w:rPr>
              <w:t>504</w:t>
            </w:r>
            <w:r>
              <w:rPr>
                <w:rFonts w:hint="eastAsia"/>
                <w:color w:val="auto"/>
              </w:rPr>
              <w:t>t/a（</w:t>
            </w:r>
            <w:r>
              <w:rPr>
                <w:rFonts w:hint="eastAsia"/>
                <w:color w:val="auto"/>
                <w:lang w:val="en-US" w:eastAsia="zh-CN"/>
              </w:rPr>
              <w:t>1.68</w:t>
            </w:r>
            <w:r>
              <w:rPr>
                <w:rFonts w:hint="eastAsia"/>
                <w:color w:val="auto"/>
              </w:rPr>
              <w:t>t/d）</w:t>
            </w:r>
            <w:r>
              <w:rPr>
                <w:color w:val="auto"/>
              </w:rPr>
              <w:t>。</w:t>
            </w:r>
            <w:r>
              <w:rPr>
                <w:rFonts w:hint="eastAsia"/>
                <w:color w:val="auto"/>
                <w:kern w:val="0"/>
              </w:rPr>
              <w:t>生活污水主要污染物产生</w:t>
            </w:r>
            <w:r>
              <w:rPr>
                <w:rFonts w:hint="eastAsia"/>
                <w:color w:val="auto"/>
                <w:kern w:val="0"/>
                <w:lang w:val="en-US" w:eastAsia="zh-CN"/>
              </w:rPr>
              <w:t>量及</w:t>
            </w:r>
            <w:r>
              <w:rPr>
                <w:rFonts w:hint="eastAsia"/>
                <w:color w:val="auto"/>
                <w:kern w:val="0"/>
              </w:rPr>
              <w:t>浓度为</w:t>
            </w:r>
            <w:r>
              <w:rPr>
                <w:color w:val="auto"/>
                <w:kern w:val="0"/>
              </w:rPr>
              <w:t xml:space="preserve">COD </w:t>
            </w:r>
            <w:r>
              <w:rPr>
                <w:rFonts w:hint="eastAsia"/>
                <w:color w:val="auto"/>
                <w:kern w:val="0"/>
                <w:lang w:val="en-US" w:eastAsia="zh-CN"/>
              </w:rPr>
              <w:t>34</w:t>
            </w:r>
            <w:r>
              <w:rPr>
                <w:color w:val="auto"/>
                <w:kern w:val="0"/>
              </w:rPr>
              <w:t>0mg/L</w:t>
            </w:r>
            <w:r>
              <w:rPr>
                <w:rFonts w:hint="eastAsia"/>
                <w:color w:val="auto"/>
                <w:kern w:val="0"/>
              </w:rPr>
              <w:t>、B</w:t>
            </w:r>
            <w:r>
              <w:rPr>
                <w:color w:val="auto"/>
                <w:kern w:val="0"/>
              </w:rPr>
              <w:t>OD</w:t>
            </w:r>
            <w:r>
              <w:rPr>
                <w:color w:val="auto"/>
                <w:kern w:val="0"/>
                <w:vertAlign w:val="subscript"/>
              </w:rPr>
              <w:t>5</w:t>
            </w:r>
            <w:r>
              <w:rPr>
                <w:rFonts w:hint="eastAsia"/>
                <w:color w:val="auto"/>
                <w:kern w:val="0"/>
              </w:rPr>
              <w:t xml:space="preserve"> </w:t>
            </w:r>
            <w:r>
              <w:rPr>
                <w:rFonts w:hint="eastAsia"/>
                <w:color w:val="auto"/>
                <w:kern w:val="0"/>
                <w:lang w:val="en-US" w:eastAsia="zh-CN"/>
              </w:rPr>
              <w:t>200</w:t>
            </w:r>
            <w:r>
              <w:rPr>
                <w:color w:val="auto"/>
                <w:kern w:val="0"/>
              </w:rPr>
              <w:t>mg/L</w:t>
            </w:r>
            <w:r>
              <w:rPr>
                <w:rFonts w:hint="eastAsia"/>
                <w:color w:val="auto"/>
                <w:kern w:val="0"/>
              </w:rPr>
              <w:t>、S</w:t>
            </w:r>
            <w:r>
              <w:rPr>
                <w:color w:val="auto"/>
                <w:kern w:val="0"/>
              </w:rPr>
              <w:t xml:space="preserve">S </w:t>
            </w:r>
            <w:r>
              <w:rPr>
                <w:rFonts w:hint="eastAsia"/>
                <w:color w:val="auto"/>
                <w:kern w:val="0"/>
                <w:lang w:val="en-US" w:eastAsia="zh-CN"/>
              </w:rPr>
              <w:t>20</w:t>
            </w:r>
            <w:r>
              <w:rPr>
                <w:color w:val="auto"/>
                <w:kern w:val="0"/>
              </w:rPr>
              <w:t>0mg/L</w:t>
            </w:r>
            <w:r>
              <w:rPr>
                <w:rFonts w:hint="eastAsia"/>
                <w:color w:val="auto"/>
                <w:kern w:val="0"/>
              </w:rPr>
              <w:t>、氨氮</w:t>
            </w:r>
            <w:r>
              <w:rPr>
                <w:rFonts w:hint="eastAsia"/>
                <w:color w:val="auto"/>
                <w:kern w:val="0"/>
                <w:lang w:val="en-US" w:eastAsia="zh-CN"/>
              </w:rPr>
              <w:t>32.6</w:t>
            </w:r>
            <w:r>
              <w:rPr>
                <w:color w:val="auto"/>
                <w:kern w:val="0"/>
              </w:rPr>
              <w:t>mg/L</w:t>
            </w:r>
            <w:r>
              <w:rPr>
                <w:rFonts w:hint="eastAsia"/>
                <w:color w:val="auto"/>
                <w:kern w:val="0"/>
                <w:lang w:eastAsia="zh-CN"/>
              </w:rPr>
              <w:t>；生活污水经化粪池预处理达标后由厂区污水管网总排口汇入江南产业集中区第一污水处理厂。</w:t>
            </w:r>
          </w:p>
          <w:p w14:paraId="7F2A0D07">
            <w:pPr>
              <w:ind w:firstLine="480" w:firstLineChars="200"/>
              <w:rPr>
                <w:rFonts w:hint="default"/>
                <w:color w:val="auto"/>
                <w:kern w:val="0"/>
                <w:lang w:val="en-US" w:eastAsia="zh-CN"/>
              </w:rPr>
            </w:pPr>
            <w:r>
              <w:rPr>
                <w:rFonts w:hint="eastAsia"/>
                <w:color w:val="auto"/>
              </w:rPr>
              <w:t>本项目</w:t>
            </w:r>
            <w:r>
              <w:rPr>
                <w:rFonts w:hint="eastAsia"/>
                <w:color w:val="auto"/>
                <w:lang w:val="en-US" w:eastAsia="zh-CN"/>
              </w:rPr>
              <w:t>食堂废水</w:t>
            </w:r>
            <w:r>
              <w:rPr>
                <w:color w:val="auto"/>
              </w:rPr>
              <w:t>排放量为</w:t>
            </w:r>
            <w:r>
              <w:rPr>
                <w:rFonts w:hint="eastAsia"/>
                <w:color w:val="auto"/>
                <w:lang w:val="en-US" w:eastAsia="zh-CN"/>
              </w:rPr>
              <w:t>144</w:t>
            </w:r>
            <w:r>
              <w:rPr>
                <w:rFonts w:hint="eastAsia"/>
                <w:color w:val="auto"/>
              </w:rPr>
              <w:t>t/a（</w:t>
            </w:r>
            <w:r>
              <w:rPr>
                <w:rFonts w:hint="eastAsia"/>
                <w:color w:val="auto"/>
                <w:lang w:val="en-US" w:eastAsia="zh-CN"/>
              </w:rPr>
              <w:t>0.48</w:t>
            </w:r>
            <w:r>
              <w:rPr>
                <w:rFonts w:hint="eastAsia"/>
                <w:color w:val="auto"/>
              </w:rPr>
              <w:t>t/d）</w:t>
            </w:r>
            <w:r>
              <w:rPr>
                <w:rFonts w:hint="eastAsia"/>
                <w:color w:val="auto"/>
                <w:lang w:eastAsia="zh-CN"/>
              </w:rPr>
              <w:t>，</w:t>
            </w:r>
            <w:r>
              <w:rPr>
                <w:rFonts w:hint="eastAsia"/>
                <w:color w:val="auto"/>
                <w:lang w:val="en-US" w:eastAsia="zh-CN"/>
              </w:rPr>
              <w:t>食堂废水</w:t>
            </w:r>
            <w:r>
              <w:rPr>
                <w:rFonts w:hint="eastAsia"/>
                <w:color w:val="auto"/>
                <w:kern w:val="0"/>
              </w:rPr>
              <w:t>主要污染物产生浓度为</w:t>
            </w:r>
            <w:r>
              <w:rPr>
                <w:color w:val="auto"/>
                <w:kern w:val="0"/>
              </w:rPr>
              <w:t xml:space="preserve">COD </w:t>
            </w:r>
            <w:r>
              <w:rPr>
                <w:rFonts w:hint="eastAsia"/>
                <w:color w:val="auto"/>
                <w:kern w:val="0"/>
                <w:lang w:val="en-US" w:eastAsia="zh-CN"/>
              </w:rPr>
              <w:t>2</w:t>
            </w:r>
            <w:r>
              <w:rPr>
                <w:rFonts w:hint="eastAsia"/>
                <w:color w:val="auto"/>
                <w:kern w:val="0"/>
              </w:rPr>
              <w:t>0</w:t>
            </w:r>
            <w:r>
              <w:rPr>
                <w:color w:val="auto"/>
                <w:kern w:val="0"/>
              </w:rPr>
              <w:t>0mg/L</w:t>
            </w:r>
            <w:r>
              <w:rPr>
                <w:rFonts w:hint="eastAsia"/>
                <w:color w:val="auto"/>
                <w:kern w:val="0"/>
              </w:rPr>
              <w:t>、B</w:t>
            </w:r>
            <w:r>
              <w:rPr>
                <w:color w:val="auto"/>
                <w:kern w:val="0"/>
              </w:rPr>
              <w:t>OD</w:t>
            </w:r>
            <w:r>
              <w:rPr>
                <w:color w:val="auto"/>
                <w:kern w:val="0"/>
                <w:vertAlign w:val="subscript"/>
              </w:rPr>
              <w:t>5</w:t>
            </w:r>
            <w:r>
              <w:rPr>
                <w:rFonts w:hint="eastAsia"/>
                <w:color w:val="auto"/>
                <w:kern w:val="0"/>
              </w:rPr>
              <w:t xml:space="preserve"> </w:t>
            </w:r>
            <w:r>
              <w:rPr>
                <w:rFonts w:hint="eastAsia"/>
                <w:color w:val="auto"/>
                <w:kern w:val="0"/>
                <w:lang w:val="en-US" w:eastAsia="zh-CN"/>
              </w:rPr>
              <w:t>80</w:t>
            </w:r>
            <w:r>
              <w:rPr>
                <w:color w:val="auto"/>
                <w:kern w:val="0"/>
              </w:rPr>
              <w:t>mg/L</w:t>
            </w:r>
            <w:r>
              <w:rPr>
                <w:rFonts w:hint="eastAsia"/>
                <w:color w:val="auto"/>
                <w:kern w:val="0"/>
              </w:rPr>
              <w:t>、S</w:t>
            </w:r>
            <w:r>
              <w:rPr>
                <w:color w:val="auto"/>
                <w:kern w:val="0"/>
              </w:rPr>
              <w:t>S 1</w:t>
            </w:r>
            <w:r>
              <w:rPr>
                <w:rFonts w:hint="eastAsia"/>
                <w:color w:val="auto"/>
                <w:kern w:val="0"/>
                <w:lang w:val="en-US" w:eastAsia="zh-CN"/>
              </w:rPr>
              <w:t>0</w:t>
            </w:r>
            <w:r>
              <w:rPr>
                <w:color w:val="auto"/>
                <w:kern w:val="0"/>
              </w:rPr>
              <w:t>0mg/L</w:t>
            </w:r>
            <w:r>
              <w:rPr>
                <w:rFonts w:hint="eastAsia"/>
                <w:color w:val="auto"/>
                <w:kern w:val="0"/>
              </w:rPr>
              <w:t>、氨氮</w:t>
            </w:r>
            <w:r>
              <w:rPr>
                <w:rFonts w:hint="eastAsia"/>
                <w:color w:val="auto"/>
                <w:kern w:val="0"/>
                <w:lang w:val="en-US" w:eastAsia="zh-CN"/>
              </w:rPr>
              <w:t>2</w:t>
            </w:r>
            <w:r>
              <w:rPr>
                <w:rFonts w:hint="eastAsia"/>
                <w:color w:val="auto"/>
                <w:kern w:val="0"/>
              </w:rPr>
              <w:t>0</w:t>
            </w:r>
            <w:r>
              <w:rPr>
                <w:color w:val="auto"/>
                <w:kern w:val="0"/>
              </w:rPr>
              <w:t>mg/L</w:t>
            </w:r>
            <w:r>
              <w:rPr>
                <w:rFonts w:hint="eastAsia"/>
                <w:color w:val="auto"/>
                <w:kern w:val="0"/>
                <w:lang w:eastAsia="zh-CN"/>
              </w:rPr>
              <w:t>、</w:t>
            </w:r>
            <w:r>
              <w:rPr>
                <w:rFonts w:hint="eastAsia"/>
                <w:color w:val="auto"/>
                <w:kern w:val="0"/>
                <w:lang w:val="en-US" w:eastAsia="zh-CN"/>
              </w:rPr>
              <w:t>动植物油100</w:t>
            </w:r>
            <w:r>
              <w:rPr>
                <w:color w:val="auto"/>
                <w:kern w:val="0"/>
              </w:rPr>
              <w:t>mg/L</w:t>
            </w:r>
            <w:r>
              <w:rPr>
                <w:rFonts w:hint="eastAsia"/>
                <w:color w:val="auto"/>
                <w:kern w:val="0"/>
                <w:lang w:eastAsia="zh-CN"/>
              </w:rPr>
              <w:t>；</w:t>
            </w:r>
            <w:r>
              <w:rPr>
                <w:rFonts w:hint="eastAsia"/>
                <w:color w:val="auto"/>
                <w:lang w:val="en-US" w:eastAsia="zh-CN"/>
              </w:rPr>
              <w:t>食堂废水经隔油池处理后</w:t>
            </w:r>
            <w:r>
              <w:rPr>
                <w:rFonts w:hint="eastAsia"/>
                <w:color w:val="auto"/>
                <w:kern w:val="0"/>
                <w:lang w:eastAsia="zh-CN"/>
              </w:rPr>
              <w:t>由厂区污水管网总排口汇入江南产业集中区第一污水处理厂。</w:t>
            </w:r>
          </w:p>
          <w:p w14:paraId="5C8FE84E">
            <w:pPr>
              <w:ind w:firstLine="480" w:firstLineChars="200"/>
              <w:rPr>
                <w:rFonts w:hint="default"/>
                <w:color w:val="auto"/>
                <w:kern w:val="0"/>
                <w:lang w:val="en-US"/>
              </w:rPr>
            </w:pPr>
            <w:r>
              <w:rPr>
                <w:rFonts w:hint="eastAsia"/>
                <w:color w:val="auto"/>
                <w:kern w:val="0"/>
                <w:lang w:val="en-US" w:eastAsia="zh-CN"/>
              </w:rPr>
              <w:t>本次冷却水排放量为</w:t>
            </w:r>
            <w:r>
              <w:rPr>
                <w:rFonts w:hint="eastAsia"/>
                <w:color w:val="auto"/>
                <w:lang w:val="en-US" w:eastAsia="zh-CN"/>
              </w:rPr>
              <w:t>4</w:t>
            </w:r>
            <w:r>
              <w:rPr>
                <w:rFonts w:hint="eastAsia"/>
                <w:color w:val="auto"/>
              </w:rPr>
              <w:t>t/a（0.</w:t>
            </w:r>
            <w:r>
              <w:rPr>
                <w:rFonts w:hint="eastAsia"/>
                <w:color w:val="auto"/>
                <w:lang w:val="en-US" w:eastAsia="zh-CN"/>
              </w:rPr>
              <w:t>013</w:t>
            </w:r>
            <w:r>
              <w:rPr>
                <w:rFonts w:hint="eastAsia"/>
                <w:color w:val="auto"/>
              </w:rPr>
              <w:t>t/d），</w:t>
            </w:r>
            <w:r>
              <w:rPr>
                <w:rFonts w:hint="eastAsia"/>
                <w:color w:val="auto"/>
                <w:kern w:val="0"/>
              </w:rPr>
              <w:t>主要污染物产生浓度为</w:t>
            </w:r>
            <w:r>
              <w:rPr>
                <w:color w:val="auto"/>
                <w:kern w:val="0"/>
              </w:rPr>
              <w:t xml:space="preserve">COD </w:t>
            </w:r>
            <w:r>
              <w:rPr>
                <w:rFonts w:hint="eastAsia"/>
                <w:color w:val="auto"/>
                <w:kern w:val="0"/>
                <w:lang w:val="en-US" w:eastAsia="zh-CN"/>
              </w:rPr>
              <w:t>2</w:t>
            </w:r>
            <w:r>
              <w:rPr>
                <w:rFonts w:hint="eastAsia"/>
                <w:color w:val="auto"/>
                <w:kern w:val="0"/>
              </w:rPr>
              <w:t>0</w:t>
            </w:r>
            <w:r>
              <w:rPr>
                <w:color w:val="auto"/>
                <w:kern w:val="0"/>
              </w:rPr>
              <w:t>0mg/L</w:t>
            </w:r>
            <w:r>
              <w:rPr>
                <w:rFonts w:hint="eastAsia"/>
                <w:color w:val="auto"/>
                <w:kern w:val="0"/>
                <w:lang w:eastAsia="zh-CN"/>
              </w:rPr>
              <w:t>、</w:t>
            </w:r>
            <w:r>
              <w:rPr>
                <w:rFonts w:hint="eastAsia"/>
                <w:color w:val="auto"/>
                <w:kern w:val="0"/>
              </w:rPr>
              <w:t>S</w:t>
            </w:r>
            <w:r>
              <w:rPr>
                <w:color w:val="auto"/>
                <w:kern w:val="0"/>
              </w:rPr>
              <w:t>S 1</w:t>
            </w:r>
            <w:r>
              <w:rPr>
                <w:rFonts w:hint="eastAsia"/>
                <w:color w:val="auto"/>
                <w:kern w:val="0"/>
                <w:lang w:val="en-US" w:eastAsia="zh-CN"/>
              </w:rPr>
              <w:t>0</w:t>
            </w:r>
            <w:r>
              <w:rPr>
                <w:color w:val="auto"/>
                <w:kern w:val="0"/>
              </w:rPr>
              <w:t>0mg/L</w:t>
            </w:r>
            <w:r>
              <w:rPr>
                <w:rFonts w:hint="eastAsia"/>
                <w:color w:val="auto"/>
                <w:kern w:val="0"/>
              </w:rPr>
              <w:t>。</w:t>
            </w:r>
            <w:r>
              <w:rPr>
                <w:rFonts w:hint="eastAsia"/>
                <w:color w:val="auto"/>
                <w:kern w:val="0"/>
                <w:lang w:val="en-US" w:eastAsia="zh-CN"/>
              </w:rPr>
              <w:t>冷却水废水经</w:t>
            </w:r>
            <w:r>
              <w:rPr>
                <w:rFonts w:hint="eastAsia"/>
                <w:color w:val="auto"/>
                <w:kern w:val="0"/>
                <w:lang w:eastAsia="zh-CN"/>
              </w:rPr>
              <w:t>厂区污水管网总排口</w:t>
            </w:r>
            <w:r>
              <w:rPr>
                <w:rFonts w:hint="eastAsia"/>
                <w:color w:val="auto"/>
                <w:kern w:val="0"/>
                <w:lang w:val="en-US" w:eastAsia="zh-CN"/>
              </w:rPr>
              <w:t>排</w:t>
            </w:r>
            <w:r>
              <w:rPr>
                <w:rFonts w:hint="eastAsia"/>
                <w:color w:val="auto"/>
                <w:kern w:val="0"/>
                <w:lang w:eastAsia="zh-CN"/>
              </w:rPr>
              <w:t>入江南产业集中区第一污水处理厂。</w:t>
            </w:r>
          </w:p>
          <w:p w14:paraId="740AE2BA">
            <w:pPr>
              <w:rPr>
                <w:color w:val="auto"/>
              </w:rPr>
            </w:pPr>
            <w:r>
              <w:rPr>
                <w:rFonts w:hint="eastAsia"/>
                <w:color w:val="auto"/>
                <w:lang w:val="en-US" w:eastAsia="zh-CN"/>
              </w:rPr>
              <w:t>废水</w:t>
            </w:r>
            <w:r>
              <w:rPr>
                <w:color w:val="auto"/>
              </w:rPr>
              <w:t>产</w:t>
            </w:r>
            <w:r>
              <w:rPr>
                <w:rFonts w:hint="eastAsia"/>
                <w:color w:val="auto"/>
              </w:rPr>
              <w:t>排放</w:t>
            </w:r>
            <w:r>
              <w:rPr>
                <w:color w:val="auto"/>
              </w:rPr>
              <w:t>情况如</w:t>
            </w:r>
            <w:r>
              <w:rPr>
                <w:rFonts w:hint="eastAsia"/>
                <w:color w:val="auto"/>
              </w:rPr>
              <w:t>下</w:t>
            </w:r>
            <w:r>
              <w:rPr>
                <w:color w:val="auto"/>
              </w:rPr>
              <w:t>表所示</w:t>
            </w:r>
            <w:r>
              <w:rPr>
                <w:rFonts w:hint="eastAsia"/>
                <w:color w:val="auto"/>
              </w:rPr>
              <w:t>。</w:t>
            </w:r>
          </w:p>
          <w:p w14:paraId="5598AF5F">
            <w:pPr>
              <w:ind w:firstLine="480" w:firstLineChars="200"/>
              <w:jc w:val="center"/>
              <w:rPr>
                <w:rFonts w:hint="eastAsia" w:ascii="黑体" w:hAnsi="黑体" w:eastAsia="黑体"/>
                <w:color w:val="auto"/>
              </w:rPr>
            </w:pPr>
            <w:r>
              <w:rPr>
                <w:rFonts w:ascii="黑体" w:hAnsi="黑体" w:eastAsia="黑体"/>
                <w:color w:val="auto"/>
              </w:rPr>
              <w:t>表</w:t>
            </w:r>
            <w:r>
              <w:rPr>
                <w:rFonts w:eastAsia="黑体"/>
                <w:color w:val="auto"/>
              </w:rPr>
              <w:t>4-</w:t>
            </w:r>
            <w:r>
              <w:rPr>
                <w:rFonts w:hint="eastAsia" w:eastAsia="黑体"/>
                <w:color w:val="auto"/>
              </w:rPr>
              <w:t>1</w:t>
            </w:r>
            <w:r>
              <w:rPr>
                <w:rFonts w:hint="eastAsia" w:eastAsia="黑体"/>
                <w:color w:val="auto"/>
                <w:lang w:val="en-US" w:eastAsia="zh-CN"/>
              </w:rPr>
              <w:t>1</w:t>
            </w:r>
            <w:r>
              <w:rPr>
                <w:rFonts w:ascii="黑体" w:hAnsi="黑体" w:eastAsia="黑体"/>
                <w:color w:val="auto"/>
              </w:rPr>
              <w:t xml:space="preserve">  </w:t>
            </w:r>
            <w:r>
              <w:rPr>
                <w:rFonts w:hint="eastAsia" w:ascii="黑体" w:hAnsi="黑体" w:eastAsia="黑体"/>
                <w:color w:val="auto"/>
                <w:lang w:val="en-US" w:eastAsia="zh-CN"/>
              </w:rPr>
              <w:t>本项目</w:t>
            </w:r>
            <w:r>
              <w:rPr>
                <w:rFonts w:ascii="黑体" w:hAnsi="黑体" w:eastAsia="黑体"/>
                <w:color w:val="auto"/>
              </w:rPr>
              <w:t>废水污染源产排</w:t>
            </w:r>
            <w:r>
              <w:rPr>
                <w:rFonts w:hint="eastAsia" w:ascii="黑体" w:hAnsi="黑体" w:eastAsia="黑体"/>
                <w:color w:val="auto"/>
              </w:rPr>
              <w:t>放</w:t>
            </w:r>
            <w:r>
              <w:rPr>
                <w:rFonts w:ascii="黑体" w:hAnsi="黑体" w:eastAsia="黑体"/>
                <w:color w:val="auto"/>
              </w:rPr>
              <w:t>情况一览表</w:t>
            </w:r>
          </w:p>
          <w:tbl>
            <w:tblPr>
              <w:tblStyle w:val="69"/>
              <w:tblW w:w="4997" w:type="pct"/>
              <w:tblInd w:w="0" w:type="dxa"/>
              <w:tblLayout w:type="fixed"/>
              <w:tblCellMar>
                <w:top w:w="0" w:type="dxa"/>
                <w:left w:w="108" w:type="dxa"/>
                <w:bottom w:w="0" w:type="dxa"/>
                <w:right w:w="108" w:type="dxa"/>
              </w:tblCellMar>
            </w:tblPr>
            <w:tblGrid>
              <w:gridCol w:w="346"/>
              <w:gridCol w:w="463"/>
              <w:gridCol w:w="675"/>
              <w:gridCol w:w="780"/>
              <w:gridCol w:w="726"/>
              <w:gridCol w:w="624"/>
              <w:gridCol w:w="559"/>
              <w:gridCol w:w="697"/>
              <w:gridCol w:w="488"/>
              <w:gridCol w:w="770"/>
              <w:gridCol w:w="836"/>
              <w:gridCol w:w="602"/>
              <w:gridCol w:w="925"/>
              <w:gridCol w:w="572"/>
            </w:tblGrid>
            <w:tr w14:paraId="628437A4">
              <w:tblPrEx>
                <w:tblCellMar>
                  <w:top w:w="0" w:type="dxa"/>
                  <w:left w:w="108" w:type="dxa"/>
                  <w:bottom w:w="0" w:type="dxa"/>
                  <w:right w:w="108" w:type="dxa"/>
                </w:tblCellMar>
              </w:tblPrEx>
              <w:trPr>
                <w:trHeight w:val="340" w:hRule="atLeast"/>
              </w:trPr>
              <w:tc>
                <w:tcPr>
                  <w:tcW w:w="44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38E3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类别</w:t>
                  </w:r>
                </w:p>
              </w:tc>
              <w:tc>
                <w:tcPr>
                  <w:tcW w:w="3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A18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污染物种类</w:t>
                  </w:r>
                </w:p>
              </w:tc>
              <w:tc>
                <w:tcPr>
                  <w:tcW w:w="8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59260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产生源强</w:t>
                  </w:r>
                </w:p>
              </w:tc>
              <w:tc>
                <w:tcPr>
                  <w:tcW w:w="3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F0F7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治理工艺</w:t>
                  </w:r>
                </w:p>
              </w:tc>
              <w:tc>
                <w:tcPr>
                  <w:tcW w:w="3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8B1B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是否为可行技术</w:t>
                  </w:r>
                </w:p>
              </w:tc>
              <w:tc>
                <w:tcPr>
                  <w:tcW w:w="3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3EEAB">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废水量</w:t>
                  </w:r>
                  <w:r>
                    <w:rPr>
                      <w:color w:val="auto"/>
                      <w:kern w:val="0"/>
                      <w:sz w:val="18"/>
                      <w:szCs w:val="18"/>
                      <w:lang w:bidi="ar"/>
                    </w:rPr>
                    <w:t>m</w:t>
                  </w:r>
                  <w:r>
                    <w:rPr>
                      <w:color w:val="auto"/>
                      <w:kern w:val="0"/>
                      <w:sz w:val="18"/>
                      <w:szCs w:val="18"/>
                      <w:vertAlign w:val="superscript"/>
                      <w:lang w:bidi="ar"/>
                    </w:rPr>
                    <w:t>3</w:t>
                  </w:r>
                  <w:r>
                    <w:rPr>
                      <w:color w:val="auto"/>
                      <w:kern w:val="0"/>
                      <w:sz w:val="18"/>
                      <w:szCs w:val="18"/>
                      <w:lang w:bidi="ar"/>
                    </w:rPr>
                    <w:t>/a</w:t>
                  </w:r>
                </w:p>
              </w:tc>
              <w:tc>
                <w:tcPr>
                  <w:tcW w:w="2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F6862">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kern w:val="0"/>
                      <w:sz w:val="18"/>
                      <w:szCs w:val="18"/>
                      <w:lang w:bidi="ar"/>
                    </w:rPr>
                    <w:t>处理效率</w:t>
                  </w:r>
                  <w:r>
                    <w:rPr>
                      <w:rFonts w:hint="eastAsia" w:cs="宋体"/>
                      <w:color w:val="auto"/>
                      <w:kern w:val="0"/>
                      <w:sz w:val="18"/>
                      <w:szCs w:val="18"/>
                      <w:lang w:val="en-US" w:eastAsia="zh-CN" w:bidi="ar"/>
                    </w:rPr>
                    <w:t>%</w:t>
                  </w:r>
                </w:p>
              </w:tc>
              <w:tc>
                <w:tcPr>
                  <w:tcW w:w="88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B642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排放源强</w:t>
                  </w:r>
                </w:p>
              </w:tc>
              <w:tc>
                <w:tcPr>
                  <w:tcW w:w="33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EFBA0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接管限值（</w:t>
                  </w:r>
                  <w:r>
                    <w:rPr>
                      <w:color w:val="auto"/>
                      <w:kern w:val="0"/>
                      <w:sz w:val="18"/>
                      <w:szCs w:val="18"/>
                      <w:lang w:bidi="ar"/>
                    </w:rPr>
                    <w:t>mg/L</w:t>
                  </w:r>
                  <w:r>
                    <w:rPr>
                      <w:rFonts w:hint="eastAsia" w:cs="宋体"/>
                      <w:color w:val="auto"/>
                      <w:kern w:val="0"/>
                      <w:sz w:val="18"/>
                      <w:szCs w:val="18"/>
                      <w:lang w:bidi="ar"/>
                    </w:rPr>
                    <w:t>）</w:t>
                  </w:r>
                </w:p>
              </w:tc>
              <w:tc>
                <w:tcPr>
                  <w:tcW w:w="82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1713">
                  <w:pPr>
                    <w:widowControl/>
                    <w:spacing w:line="240" w:lineRule="auto"/>
                    <w:jc w:val="center"/>
                    <w:textAlignment w:val="center"/>
                    <w:rPr>
                      <w:rFonts w:cs="宋体"/>
                      <w:color w:val="auto"/>
                      <w:sz w:val="18"/>
                      <w:szCs w:val="18"/>
                    </w:rPr>
                  </w:pPr>
                  <w:r>
                    <w:rPr>
                      <w:rFonts w:hint="eastAsia" w:cs="宋体"/>
                      <w:color w:val="auto"/>
                      <w:kern w:val="0"/>
                      <w:sz w:val="18"/>
                      <w:szCs w:val="18"/>
                      <w:lang w:val="en-US" w:eastAsia="zh-CN" w:bidi="ar"/>
                    </w:rPr>
                    <w:t>外排</w:t>
                  </w:r>
                  <w:r>
                    <w:rPr>
                      <w:rFonts w:hint="eastAsia" w:cs="宋体"/>
                      <w:color w:val="auto"/>
                      <w:kern w:val="0"/>
                      <w:sz w:val="18"/>
                      <w:szCs w:val="18"/>
                      <w:lang w:bidi="ar"/>
                    </w:rPr>
                    <w:t>环境量</w:t>
                  </w:r>
                </w:p>
              </w:tc>
            </w:tr>
            <w:tr w14:paraId="5D051B8C">
              <w:tblPrEx>
                <w:tblCellMar>
                  <w:top w:w="0" w:type="dxa"/>
                  <w:left w:w="108" w:type="dxa"/>
                  <w:bottom w:w="0" w:type="dxa"/>
                  <w:right w:w="108" w:type="dxa"/>
                </w:tblCellMar>
              </w:tblPrEx>
              <w:trPr>
                <w:trHeight w:val="340" w:hRule="atLeast"/>
              </w:trPr>
              <w:tc>
                <w:tcPr>
                  <w:tcW w:w="44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731BE">
                  <w:pPr>
                    <w:spacing w:line="240" w:lineRule="auto"/>
                    <w:jc w:val="center"/>
                    <w:rPr>
                      <w:rFonts w:cs="宋体"/>
                      <w:color w:val="auto"/>
                      <w:sz w:val="18"/>
                      <w:szCs w:val="18"/>
                    </w:rPr>
                  </w:pPr>
                </w:p>
              </w:tc>
              <w:tc>
                <w:tcPr>
                  <w:tcW w:w="3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2E04">
                  <w:pPr>
                    <w:spacing w:line="240" w:lineRule="auto"/>
                    <w:jc w:val="center"/>
                    <w:rPr>
                      <w:rFonts w:cs="宋体"/>
                      <w:color w:val="auto"/>
                      <w:sz w:val="18"/>
                      <w:szCs w:val="18"/>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B9E4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产生量</w:t>
                  </w:r>
                  <w:r>
                    <w:rPr>
                      <w:color w:val="auto"/>
                      <w:kern w:val="0"/>
                      <w:sz w:val="18"/>
                      <w:szCs w:val="18"/>
                      <w:lang w:bidi="ar"/>
                    </w:rPr>
                    <w:t>(t/a)</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50CEB">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产生浓度</w:t>
                  </w:r>
                  <w:r>
                    <w:rPr>
                      <w:color w:val="auto"/>
                      <w:kern w:val="0"/>
                      <w:sz w:val="18"/>
                      <w:szCs w:val="18"/>
                      <w:lang w:bidi="ar"/>
                    </w:rPr>
                    <w:t>(mg/L)</w:t>
                  </w:r>
                </w:p>
              </w:tc>
              <w:tc>
                <w:tcPr>
                  <w:tcW w:w="344"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32504F4">
                  <w:pPr>
                    <w:spacing w:line="240" w:lineRule="auto"/>
                    <w:jc w:val="center"/>
                    <w:rPr>
                      <w:rFonts w:cs="宋体"/>
                      <w:color w:val="auto"/>
                      <w:sz w:val="18"/>
                      <w:szCs w:val="18"/>
                    </w:rPr>
                  </w:pPr>
                </w:p>
              </w:tc>
              <w:tc>
                <w:tcPr>
                  <w:tcW w:w="3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37CDC">
                  <w:pPr>
                    <w:spacing w:line="240" w:lineRule="auto"/>
                    <w:jc w:val="center"/>
                    <w:rPr>
                      <w:rFonts w:cs="宋体"/>
                      <w:color w:val="auto"/>
                      <w:sz w:val="18"/>
                      <w:szCs w:val="18"/>
                    </w:rPr>
                  </w:pPr>
                </w:p>
              </w:tc>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85F79">
                  <w:pPr>
                    <w:spacing w:line="240" w:lineRule="auto"/>
                    <w:jc w:val="center"/>
                    <w:rPr>
                      <w:rFonts w:cs="宋体"/>
                      <w:color w:val="auto"/>
                      <w:sz w:val="18"/>
                      <w:szCs w:val="18"/>
                    </w:rPr>
                  </w:pPr>
                </w:p>
              </w:tc>
              <w:tc>
                <w:tcPr>
                  <w:tcW w:w="2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16A2B">
                  <w:pPr>
                    <w:spacing w:line="240" w:lineRule="auto"/>
                    <w:jc w:val="center"/>
                    <w:rPr>
                      <w:rFonts w:cs="宋体"/>
                      <w:color w:val="auto"/>
                      <w:sz w:val="18"/>
                      <w:szCs w:val="18"/>
                    </w:rPr>
                  </w:pP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90FA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排放量</w:t>
                  </w:r>
                  <w:r>
                    <w:rPr>
                      <w:color w:val="auto"/>
                      <w:kern w:val="0"/>
                      <w:sz w:val="18"/>
                      <w:szCs w:val="18"/>
                      <w:lang w:bidi="ar"/>
                    </w:rPr>
                    <w:t>(t/a)</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8B6B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排放浓度</w:t>
                  </w:r>
                  <w:r>
                    <w:rPr>
                      <w:color w:val="auto"/>
                      <w:kern w:val="0"/>
                      <w:sz w:val="18"/>
                      <w:szCs w:val="18"/>
                      <w:lang w:bidi="ar"/>
                    </w:rPr>
                    <w:t>(mg/L)</w:t>
                  </w:r>
                </w:p>
              </w:tc>
              <w:tc>
                <w:tcPr>
                  <w:tcW w:w="3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87ED5">
                  <w:pPr>
                    <w:spacing w:line="240" w:lineRule="auto"/>
                    <w:jc w:val="center"/>
                    <w:rPr>
                      <w:rFonts w:cs="宋体"/>
                      <w:color w:val="auto"/>
                      <w:sz w:val="18"/>
                      <w:szCs w:val="18"/>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FDEF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排放量</w:t>
                  </w:r>
                  <w:r>
                    <w:rPr>
                      <w:color w:val="auto"/>
                      <w:kern w:val="0"/>
                      <w:sz w:val="18"/>
                      <w:szCs w:val="18"/>
                      <w:lang w:bidi="ar"/>
                    </w:rPr>
                    <w:t>(t/a)</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C510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排放浓度</w:t>
                  </w:r>
                  <w:r>
                    <w:rPr>
                      <w:color w:val="auto"/>
                      <w:kern w:val="0"/>
                      <w:sz w:val="18"/>
                      <w:szCs w:val="18"/>
                      <w:lang w:bidi="ar"/>
                    </w:rPr>
                    <w:t>(mg/L)</w:t>
                  </w:r>
                </w:p>
              </w:tc>
            </w:tr>
            <w:tr w14:paraId="7007187E">
              <w:tblPrEx>
                <w:tblCellMar>
                  <w:top w:w="0" w:type="dxa"/>
                  <w:left w:w="108" w:type="dxa"/>
                  <w:bottom w:w="0" w:type="dxa"/>
                  <w:right w:w="108" w:type="dxa"/>
                </w:tblCellMar>
              </w:tblPrEx>
              <w:trPr>
                <w:trHeight w:val="340" w:hRule="atLeast"/>
              </w:trPr>
              <w:tc>
                <w:tcPr>
                  <w:tcW w:w="190" w:type="pct"/>
                  <w:vMerge w:val="restart"/>
                  <w:tcBorders>
                    <w:top w:val="single" w:color="000000" w:sz="4" w:space="0"/>
                    <w:left w:val="single" w:color="000000" w:sz="4" w:space="0"/>
                    <w:right w:val="single" w:color="000000" w:sz="4" w:space="0"/>
                  </w:tcBorders>
                  <w:shd w:val="clear" w:color="auto" w:fill="auto"/>
                  <w:vAlign w:val="center"/>
                </w:tcPr>
                <w:p w14:paraId="2D8B3EDD">
                  <w:pPr>
                    <w:widowControl/>
                    <w:spacing w:line="240" w:lineRule="auto"/>
                    <w:jc w:val="center"/>
                    <w:textAlignment w:val="center"/>
                    <w:rPr>
                      <w:rFonts w:cs="宋体"/>
                      <w:color w:val="auto"/>
                      <w:sz w:val="18"/>
                      <w:szCs w:val="18"/>
                    </w:rPr>
                  </w:pPr>
                  <w:bookmarkStart w:id="71" w:name="OLE_LINK12" w:colFirst="4" w:colLast="4"/>
                  <w:r>
                    <w:rPr>
                      <w:rFonts w:hint="eastAsia" w:cs="宋体"/>
                      <w:color w:val="auto"/>
                      <w:kern w:val="0"/>
                      <w:sz w:val="18"/>
                      <w:szCs w:val="18"/>
                      <w:lang w:bidi="ar"/>
                    </w:rPr>
                    <w:t>本项目</w:t>
                  </w:r>
                </w:p>
              </w:tc>
              <w:tc>
                <w:tcPr>
                  <w:tcW w:w="2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1D22B4">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生活污水</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41531">
                  <w:pPr>
                    <w:widowControl/>
                    <w:spacing w:line="240" w:lineRule="auto"/>
                    <w:jc w:val="center"/>
                    <w:textAlignment w:val="center"/>
                    <w:rPr>
                      <w:color w:val="auto"/>
                      <w:sz w:val="18"/>
                      <w:szCs w:val="18"/>
                    </w:rPr>
                  </w:pPr>
                  <w:r>
                    <w:rPr>
                      <w:color w:val="auto"/>
                      <w:kern w:val="0"/>
                      <w:sz w:val="18"/>
                      <w:szCs w:val="18"/>
                      <w:lang w:bidi="ar"/>
                    </w:rPr>
                    <w:t>COD</w:t>
                  </w:r>
                </w:p>
              </w:tc>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63F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0.171 </w:t>
                  </w:r>
                </w:p>
              </w:tc>
              <w:tc>
                <w:tcPr>
                  <w:tcW w:w="400" w:type="pct"/>
                  <w:tcBorders>
                    <w:top w:val="single" w:color="000000" w:sz="4" w:space="0"/>
                    <w:left w:val="single" w:color="000000" w:sz="4" w:space="0"/>
                    <w:bottom w:val="single" w:color="000000" w:sz="4" w:space="0"/>
                    <w:right w:val="single" w:color="auto" w:sz="4" w:space="0"/>
                  </w:tcBorders>
                  <w:shd w:val="clear" w:color="auto" w:fill="auto"/>
                  <w:vAlign w:val="center"/>
                </w:tcPr>
                <w:p w14:paraId="25D2BBC6">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340</w:t>
                  </w:r>
                </w:p>
              </w:tc>
              <w:tc>
                <w:tcPr>
                  <w:tcW w:w="34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091A54E">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化粪池</w:t>
                  </w:r>
                </w:p>
              </w:tc>
              <w:tc>
                <w:tcPr>
                  <w:tcW w:w="308" w:type="pct"/>
                  <w:vMerge w:val="restart"/>
                  <w:tcBorders>
                    <w:top w:val="single" w:color="000000" w:sz="4" w:space="0"/>
                    <w:left w:val="single" w:color="auto" w:sz="4" w:space="0"/>
                    <w:right w:val="single" w:color="000000" w:sz="4" w:space="0"/>
                  </w:tcBorders>
                  <w:shd w:val="clear" w:color="auto" w:fill="auto"/>
                  <w:noWrap/>
                  <w:vAlign w:val="center"/>
                </w:tcPr>
                <w:p w14:paraId="60F14B45">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是</w:t>
                  </w:r>
                </w:p>
              </w:tc>
              <w:tc>
                <w:tcPr>
                  <w:tcW w:w="3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A1CE07">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504</w:t>
                  </w:r>
                </w:p>
              </w:tc>
              <w:tc>
                <w:tcPr>
                  <w:tcW w:w="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42B91">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49F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0.146 </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87B13">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289</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B038">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500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1EB32">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0.025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4781">
                  <w:pPr>
                    <w:widowControl/>
                    <w:spacing w:line="240" w:lineRule="auto"/>
                    <w:jc w:val="center"/>
                    <w:textAlignment w:val="center"/>
                    <w:rPr>
                      <w:color w:val="auto"/>
                      <w:sz w:val="18"/>
                      <w:szCs w:val="18"/>
                    </w:rPr>
                  </w:pPr>
                  <w:r>
                    <w:rPr>
                      <w:color w:val="auto"/>
                      <w:kern w:val="0"/>
                      <w:sz w:val="18"/>
                      <w:szCs w:val="18"/>
                      <w:lang w:bidi="ar"/>
                    </w:rPr>
                    <w:t>50</w:t>
                  </w:r>
                </w:p>
              </w:tc>
            </w:tr>
            <w:tr w14:paraId="1C78F196">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7BB5414F">
                  <w:pPr>
                    <w:spacing w:line="240" w:lineRule="auto"/>
                    <w:jc w:val="center"/>
                    <w:rPr>
                      <w:rFonts w:cs="宋体"/>
                      <w:color w:val="auto"/>
                      <w:sz w:val="18"/>
                      <w:szCs w:val="18"/>
                    </w:rPr>
                  </w:pPr>
                </w:p>
              </w:tc>
              <w:tc>
                <w:tcPr>
                  <w:tcW w:w="2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FE33C">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E9E4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氨氮</w:t>
                  </w:r>
                </w:p>
              </w:tc>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7151">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0.016 </w:t>
                  </w:r>
                </w:p>
              </w:tc>
              <w:tc>
                <w:tcPr>
                  <w:tcW w:w="400" w:type="pct"/>
                  <w:tcBorders>
                    <w:top w:val="single" w:color="000000" w:sz="4" w:space="0"/>
                    <w:left w:val="single" w:color="000000" w:sz="4" w:space="0"/>
                    <w:bottom w:val="single" w:color="000000" w:sz="4" w:space="0"/>
                    <w:right w:val="single" w:color="auto" w:sz="4" w:space="0"/>
                  </w:tcBorders>
                  <w:shd w:val="clear" w:color="auto" w:fill="auto"/>
                  <w:vAlign w:val="center"/>
                </w:tcPr>
                <w:p w14:paraId="25036118">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32.6</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8966ED">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78B489A0">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6519B">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6845">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0E09">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0.016 </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8BDE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32.6</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04D28">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35</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A1164">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0.003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98AED">
                  <w:pPr>
                    <w:widowControl/>
                    <w:spacing w:line="240" w:lineRule="auto"/>
                    <w:jc w:val="center"/>
                    <w:textAlignment w:val="center"/>
                    <w:rPr>
                      <w:color w:val="auto"/>
                      <w:sz w:val="18"/>
                      <w:szCs w:val="18"/>
                    </w:rPr>
                  </w:pPr>
                  <w:r>
                    <w:rPr>
                      <w:color w:val="auto"/>
                      <w:kern w:val="0"/>
                      <w:sz w:val="18"/>
                      <w:szCs w:val="18"/>
                      <w:lang w:bidi="ar"/>
                    </w:rPr>
                    <w:t>5</w:t>
                  </w:r>
                </w:p>
              </w:tc>
            </w:tr>
            <w:tr w14:paraId="4D85CA6C">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4E13ACB2">
                  <w:pPr>
                    <w:spacing w:line="240" w:lineRule="auto"/>
                    <w:jc w:val="center"/>
                    <w:rPr>
                      <w:rFonts w:cs="宋体"/>
                      <w:color w:val="auto"/>
                      <w:sz w:val="18"/>
                      <w:szCs w:val="18"/>
                    </w:rPr>
                  </w:pPr>
                </w:p>
              </w:tc>
              <w:tc>
                <w:tcPr>
                  <w:tcW w:w="2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A34D1">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0B2AE">
                  <w:pPr>
                    <w:widowControl/>
                    <w:spacing w:line="240" w:lineRule="auto"/>
                    <w:jc w:val="center"/>
                    <w:textAlignment w:val="center"/>
                    <w:rPr>
                      <w:color w:val="auto"/>
                      <w:sz w:val="18"/>
                      <w:szCs w:val="18"/>
                    </w:rPr>
                  </w:pPr>
                  <w:r>
                    <w:rPr>
                      <w:color w:val="auto"/>
                      <w:kern w:val="0"/>
                      <w:sz w:val="18"/>
                      <w:szCs w:val="18"/>
                      <w:lang w:bidi="ar"/>
                    </w:rPr>
                    <w:t>BOD</w:t>
                  </w:r>
                  <w:r>
                    <w:rPr>
                      <w:color w:val="auto"/>
                      <w:kern w:val="0"/>
                      <w:sz w:val="18"/>
                      <w:szCs w:val="18"/>
                      <w:vertAlign w:val="subscript"/>
                      <w:lang w:bidi="ar"/>
                    </w:rPr>
                    <w:t>5</w:t>
                  </w:r>
                </w:p>
              </w:tc>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1F502">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0.101 </w:t>
                  </w:r>
                </w:p>
              </w:tc>
              <w:tc>
                <w:tcPr>
                  <w:tcW w:w="400" w:type="pct"/>
                  <w:tcBorders>
                    <w:top w:val="single" w:color="000000" w:sz="4" w:space="0"/>
                    <w:left w:val="single" w:color="000000" w:sz="4" w:space="0"/>
                    <w:bottom w:val="single" w:color="000000" w:sz="4" w:space="0"/>
                    <w:right w:val="single" w:color="auto" w:sz="4" w:space="0"/>
                  </w:tcBorders>
                  <w:shd w:val="clear" w:color="auto" w:fill="auto"/>
                  <w:vAlign w:val="center"/>
                </w:tcPr>
                <w:p w14:paraId="5D5852B7">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200</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4F6F9DD">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250E90AA">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B732E">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F0DD7">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93E5D">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0.086 </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28D5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170</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3F458">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300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7588">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0.005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7809">
                  <w:pPr>
                    <w:widowControl/>
                    <w:spacing w:line="240" w:lineRule="auto"/>
                    <w:jc w:val="center"/>
                    <w:textAlignment w:val="center"/>
                    <w:rPr>
                      <w:color w:val="auto"/>
                      <w:sz w:val="18"/>
                      <w:szCs w:val="18"/>
                    </w:rPr>
                  </w:pPr>
                  <w:r>
                    <w:rPr>
                      <w:color w:val="auto"/>
                      <w:kern w:val="0"/>
                      <w:sz w:val="18"/>
                      <w:szCs w:val="18"/>
                      <w:lang w:bidi="ar"/>
                    </w:rPr>
                    <w:t>10</w:t>
                  </w:r>
                </w:p>
              </w:tc>
            </w:tr>
            <w:tr w14:paraId="5D4BFA09">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5C4A47CB">
                  <w:pPr>
                    <w:spacing w:line="240" w:lineRule="auto"/>
                    <w:jc w:val="center"/>
                    <w:rPr>
                      <w:rFonts w:cs="宋体"/>
                      <w:color w:val="auto"/>
                      <w:sz w:val="18"/>
                      <w:szCs w:val="18"/>
                    </w:rPr>
                  </w:pPr>
                </w:p>
              </w:tc>
              <w:tc>
                <w:tcPr>
                  <w:tcW w:w="2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D6ED9">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0B4D3">
                  <w:pPr>
                    <w:widowControl/>
                    <w:spacing w:line="240" w:lineRule="auto"/>
                    <w:jc w:val="center"/>
                    <w:textAlignment w:val="center"/>
                    <w:rPr>
                      <w:color w:val="auto"/>
                      <w:sz w:val="18"/>
                      <w:szCs w:val="18"/>
                    </w:rPr>
                  </w:pPr>
                  <w:r>
                    <w:rPr>
                      <w:color w:val="auto"/>
                      <w:kern w:val="0"/>
                      <w:sz w:val="18"/>
                      <w:szCs w:val="18"/>
                      <w:lang w:bidi="ar"/>
                    </w:rPr>
                    <w:t>SS</w:t>
                  </w:r>
                </w:p>
              </w:tc>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31DD8">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0.101 </w:t>
                  </w:r>
                </w:p>
              </w:tc>
              <w:tc>
                <w:tcPr>
                  <w:tcW w:w="400" w:type="pct"/>
                  <w:tcBorders>
                    <w:top w:val="single" w:color="000000" w:sz="4" w:space="0"/>
                    <w:left w:val="single" w:color="000000" w:sz="4" w:space="0"/>
                    <w:bottom w:val="single" w:color="000000" w:sz="4" w:space="0"/>
                    <w:right w:val="single" w:color="auto" w:sz="4" w:space="0"/>
                  </w:tcBorders>
                  <w:shd w:val="clear" w:color="auto" w:fill="auto"/>
                  <w:vAlign w:val="center"/>
                </w:tcPr>
                <w:p w14:paraId="23D7ADB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200</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858B62">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3CA1FC31">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5009E">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27B26">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1F0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0.050 </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7A68D">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100</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F1649">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400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DA435">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0.005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3D15">
                  <w:pPr>
                    <w:widowControl/>
                    <w:spacing w:line="240" w:lineRule="auto"/>
                    <w:jc w:val="center"/>
                    <w:textAlignment w:val="center"/>
                    <w:rPr>
                      <w:color w:val="auto"/>
                      <w:sz w:val="18"/>
                      <w:szCs w:val="18"/>
                    </w:rPr>
                  </w:pPr>
                  <w:r>
                    <w:rPr>
                      <w:color w:val="auto"/>
                      <w:kern w:val="0"/>
                      <w:sz w:val="18"/>
                      <w:szCs w:val="18"/>
                      <w:lang w:bidi="ar"/>
                    </w:rPr>
                    <w:t>10</w:t>
                  </w:r>
                </w:p>
              </w:tc>
            </w:tr>
            <w:bookmarkEnd w:id="71"/>
            <w:tr w14:paraId="06A8E27B">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4B58AD70">
                  <w:pPr>
                    <w:spacing w:line="240" w:lineRule="auto"/>
                    <w:jc w:val="center"/>
                    <w:rPr>
                      <w:rFonts w:cs="宋体"/>
                      <w:color w:val="auto"/>
                      <w:sz w:val="18"/>
                      <w:szCs w:val="18"/>
                    </w:rPr>
                  </w:pPr>
                </w:p>
              </w:tc>
              <w:tc>
                <w:tcPr>
                  <w:tcW w:w="255" w:type="pct"/>
                  <w:vMerge w:val="restart"/>
                  <w:tcBorders>
                    <w:top w:val="single" w:color="000000" w:sz="4" w:space="0"/>
                    <w:left w:val="single" w:color="000000" w:sz="4" w:space="0"/>
                    <w:right w:val="single" w:color="000000" w:sz="4" w:space="0"/>
                  </w:tcBorders>
                  <w:shd w:val="clear" w:color="auto" w:fill="auto"/>
                  <w:vAlign w:val="center"/>
                </w:tcPr>
                <w:p w14:paraId="04182324">
                  <w:pPr>
                    <w:spacing w:line="240" w:lineRule="auto"/>
                    <w:jc w:val="center"/>
                    <w:rPr>
                      <w:rFonts w:hint="default" w:eastAsia="宋体" w:cs="宋体"/>
                      <w:color w:val="auto"/>
                      <w:sz w:val="18"/>
                      <w:szCs w:val="18"/>
                      <w:lang w:val="en-US" w:eastAsia="zh-CN"/>
                    </w:rPr>
                  </w:pPr>
                  <w:r>
                    <w:rPr>
                      <w:rFonts w:hint="eastAsia" w:cs="宋体"/>
                      <w:color w:val="auto"/>
                      <w:sz w:val="18"/>
                      <w:szCs w:val="18"/>
                      <w:lang w:val="en-US" w:eastAsia="zh-CN"/>
                    </w:rPr>
                    <w:t>食堂废水</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F0A53">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COD</w:t>
                  </w:r>
                </w:p>
              </w:tc>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DDEE">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0.029 </w:t>
                  </w:r>
                </w:p>
              </w:tc>
              <w:tc>
                <w:tcPr>
                  <w:tcW w:w="400" w:type="pct"/>
                  <w:tcBorders>
                    <w:top w:val="single" w:color="000000" w:sz="4" w:space="0"/>
                    <w:left w:val="single" w:color="000000" w:sz="4" w:space="0"/>
                    <w:bottom w:val="single" w:color="000000" w:sz="4" w:space="0"/>
                    <w:right w:val="single" w:color="auto" w:sz="4" w:space="0"/>
                  </w:tcBorders>
                  <w:shd w:val="clear" w:color="auto" w:fill="auto"/>
                  <w:vAlign w:val="center"/>
                </w:tcPr>
                <w:p w14:paraId="2706F7E7">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200</w:t>
                  </w:r>
                </w:p>
              </w:tc>
              <w:tc>
                <w:tcPr>
                  <w:tcW w:w="34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D43C8C">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隔油池</w:t>
                  </w:r>
                </w:p>
              </w:tc>
              <w:tc>
                <w:tcPr>
                  <w:tcW w:w="308" w:type="pct"/>
                  <w:vMerge w:val="continue"/>
                  <w:tcBorders>
                    <w:left w:val="single" w:color="auto" w:sz="4" w:space="0"/>
                    <w:right w:val="single" w:color="000000" w:sz="4" w:space="0"/>
                  </w:tcBorders>
                  <w:shd w:val="clear" w:color="auto" w:fill="auto"/>
                  <w:noWrap/>
                  <w:vAlign w:val="center"/>
                </w:tcPr>
                <w:p w14:paraId="66CCF0B4">
                  <w:pPr>
                    <w:widowControl/>
                    <w:spacing w:line="240" w:lineRule="auto"/>
                    <w:jc w:val="center"/>
                    <w:textAlignment w:val="center"/>
                    <w:rPr>
                      <w:rFonts w:hint="eastAsia"/>
                      <w:color w:val="auto"/>
                      <w:kern w:val="0"/>
                      <w:sz w:val="18"/>
                      <w:szCs w:val="18"/>
                      <w:lang w:val="en-US" w:eastAsia="zh-CN" w:bidi="ar"/>
                    </w:rPr>
                  </w:pPr>
                </w:p>
              </w:tc>
              <w:tc>
                <w:tcPr>
                  <w:tcW w:w="384" w:type="pct"/>
                  <w:vMerge w:val="restart"/>
                  <w:tcBorders>
                    <w:top w:val="single" w:color="000000" w:sz="4" w:space="0"/>
                    <w:left w:val="single" w:color="000000" w:sz="4" w:space="0"/>
                    <w:right w:val="single" w:color="000000" w:sz="4" w:space="0"/>
                  </w:tcBorders>
                  <w:shd w:val="clear" w:color="auto" w:fill="auto"/>
                  <w:vAlign w:val="center"/>
                </w:tcPr>
                <w:p w14:paraId="7853700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144</w:t>
                  </w:r>
                </w:p>
              </w:tc>
              <w:tc>
                <w:tcPr>
                  <w:tcW w:w="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78846">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002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0.014 </w:t>
                  </w:r>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271DF">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100</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0CE9">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500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9B28E">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0.007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FBE9">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50</w:t>
                  </w:r>
                </w:p>
              </w:tc>
            </w:tr>
            <w:tr w14:paraId="46CB7C6A">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57DD9E87">
                  <w:pPr>
                    <w:spacing w:line="240" w:lineRule="auto"/>
                    <w:jc w:val="center"/>
                    <w:rPr>
                      <w:rFonts w:cs="宋体"/>
                      <w:color w:val="auto"/>
                      <w:sz w:val="18"/>
                      <w:szCs w:val="18"/>
                    </w:rPr>
                  </w:pPr>
                </w:p>
              </w:tc>
              <w:tc>
                <w:tcPr>
                  <w:tcW w:w="255" w:type="pct"/>
                  <w:vMerge w:val="continue"/>
                  <w:tcBorders>
                    <w:left w:val="single" w:color="000000" w:sz="4" w:space="0"/>
                    <w:right w:val="single" w:color="000000" w:sz="4" w:space="0"/>
                  </w:tcBorders>
                  <w:shd w:val="clear" w:color="auto" w:fill="auto"/>
                  <w:vAlign w:val="center"/>
                </w:tcPr>
                <w:p w14:paraId="024F6A97">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auto" w:sz="4" w:space="0"/>
                    <w:right w:val="single" w:color="000000" w:sz="4" w:space="0"/>
                  </w:tcBorders>
                  <w:shd w:val="clear" w:color="auto" w:fill="auto"/>
                  <w:vAlign w:val="center"/>
                </w:tcPr>
                <w:p w14:paraId="34C90074">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氨氮</w:t>
                  </w:r>
                </w:p>
              </w:tc>
              <w:tc>
                <w:tcPr>
                  <w:tcW w:w="43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CAC1FB0">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0.003 </w:t>
                  </w:r>
                </w:p>
              </w:tc>
              <w:tc>
                <w:tcPr>
                  <w:tcW w:w="400" w:type="pct"/>
                  <w:tcBorders>
                    <w:top w:val="single" w:color="000000" w:sz="4" w:space="0"/>
                    <w:left w:val="single" w:color="000000" w:sz="4" w:space="0"/>
                    <w:bottom w:val="single" w:color="auto" w:sz="4" w:space="0"/>
                    <w:right w:val="single" w:color="auto" w:sz="4" w:space="0"/>
                  </w:tcBorders>
                  <w:shd w:val="clear" w:color="auto" w:fill="auto"/>
                  <w:vAlign w:val="center"/>
                </w:tcPr>
                <w:p w14:paraId="04BA0C3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20</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C1D79B">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7EC66150">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000000" w:sz="4" w:space="0"/>
                    <w:right w:val="single" w:color="000000" w:sz="4" w:space="0"/>
                  </w:tcBorders>
                  <w:shd w:val="clear" w:color="auto" w:fill="auto"/>
                  <w:vAlign w:val="center"/>
                </w:tcPr>
                <w:p w14:paraId="237EFA36">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auto" w:sz="4" w:space="0"/>
                    <w:right w:val="single" w:color="000000" w:sz="4" w:space="0"/>
                  </w:tcBorders>
                  <w:shd w:val="clear" w:color="auto" w:fill="auto"/>
                  <w:vAlign w:val="center"/>
                </w:tcPr>
                <w:p w14:paraId="48AE4E3D">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E832279">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0.002 </w:t>
                  </w:r>
                </w:p>
              </w:tc>
              <w:tc>
                <w:tcPr>
                  <w:tcW w:w="461" w:type="pct"/>
                  <w:tcBorders>
                    <w:top w:val="single" w:color="000000" w:sz="4" w:space="0"/>
                    <w:left w:val="single" w:color="000000" w:sz="4" w:space="0"/>
                    <w:bottom w:val="single" w:color="auto" w:sz="4" w:space="0"/>
                    <w:right w:val="single" w:color="000000" w:sz="4" w:space="0"/>
                  </w:tcBorders>
                  <w:shd w:val="clear" w:color="auto" w:fill="auto"/>
                  <w:vAlign w:val="center"/>
                </w:tcPr>
                <w:p w14:paraId="333C4E5D">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15</w:t>
                  </w:r>
                </w:p>
              </w:tc>
              <w:tc>
                <w:tcPr>
                  <w:tcW w:w="332" w:type="pct"/>
                  <w:tcBorders>
                    <w:top w:val="single" w:color="000000" w:sz="4" w:space="0"/>
                    <w:left w:val="single" w:color="000000" w:sz="4" w:space="0"/>
                    <w:bottom w:val="single" w:color="auto" w:sz="4" w:space="0"/>
                    <w:right w:val="single" w:color="000000" w:sz="4" w:space="0"/>
                  </w:tcBorders>
                  <w:shd w:val="clear" w:color="auto" w:fill="auto"/>
                  <w:vAlign w:val="center"/>
                </w:tcPr>
                <w:p w14:paraId="76148530">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35</w:t>
                  </w:r>
                </w:p>
              </w:tc>
              <w:tc>
                <w:tcPr>
                  <w:tcW w:w="51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F81CE6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0.001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83DEF">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5</w:t>
                  </w:r>
                </w:p>
              </w:tc>
            </w:tr>
            <w:tr w14:paraId="675663C4">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09B5A8DF">
                  <w:pPr>
                    <w:spacing w:line="240" w:lineRule="auto"/>
                    <w:jc w:val="center"/>
                    <w:rPr>
                      <w:rFonts w:cs="宋体"/>
                      <w:color w:val="auto"/>
                      <w:sz w:val="18"/>
                      <w:szCs w:val="18"/>
                    </w:rPr>
                  </w:pPr>
                </w:p>
              </w:tc>
              <w:tc>
                <w:tcPr>
                  <w:tcW w:w="255" w:type="pct"/>
                  <w:vMerge w:val="continue"/>
                  <w:tcBorders>
                    <w:left w:val="single" w:color="000000" w:sz="4" w:space="0"/>
                    <w:right w:val="single" w:color="000000" w:sz="4" w:space="0"/>
                  </w:tcBorders>
                  <w:shd w:val="clear" w:color="auto" w:fill="auto"/>
                  <w:vAlign w:val="center"/>
                </w:tcPr>
                <w:p w14:paraId="66EA4FE3">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auto" w:sz="4" w:space="0"/>
                    <w:right w:val="single" w:color="000000" w:sz="4" w:space="0"/>
                  </w:tcBorders>
                  <w:shd w:val="clear" w:color="auto" w:fill="auto"/>
                  <w:vAlign w:val="center"/>
                </w:tcPr>
                <w:p w14:paraId="1FF1C081">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BOD</w:t>
                  </w:r>
                  <w:r>
                    <w:rPr>
                      <w:color w:val="auto"/>
                      <w:kern w:val="0"/>
                      <w:sz w:val="18"/>
                      <w:szCs w:val="18"/>
                      <w:vertAlign w:val="subscript"/>
                      <w:lang w:bidi="ar"/>
                    </w:rPr>
                    <w:t>5</w:t>
                  </w:r>
                </w:p>
              </w:tc>
              <w:tc>
                <w:tcPr>
                  <w:tcW w:w="43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866B256">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0.012 </w:t>
                  </w:r>
                </w:p>
              </w:tc>
              <w:tc>
                <w:tcPr>
                  <w:tcW w:w="400" w:type="pct"/>
                  <w:tcBorders>
                    <w:top w:val="single" w:color="000000" w:sz="4" w:space="0"/>
                    <w:left w:val="single" w:color="000000" w:sz="4" w:space="0"/>
                    <w:bottom w:val="single" w:color="auto" w:sz="4" w:space="0"/>
                    <w:right w:val="single" w:color="auto" w:sz="4" w:space="0"/>
                  </w:tcBorders>
                  <w:shd w:val="clear" w:color="auto" w:fill="auto"/>
                  <w:vAlign w:val="center"/>
                </w:tcPr>
                <w:p w14:paraId="5513EA09">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80</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CC57E4">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1B7F440F">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000000" w:sz="4" w:space="0"/>
                    <w:right w:val="single" w:color="000000" w:sz="4" w:space="0"/>
                  </w:tcBorders>
                  <w:shd w:val="clear" w:color="auto" w:fill="auto"/>
                  <w:vAlign w:val="center"/>
                </w:tcPr>
                <w:p w14:paraId="3D967BFD">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auto" w:sz="4" w:space="0"/>
                    <w:right w:val="single" w:color="000000" w:sz="4" w:space="0"/>
                  </w:tcBorders>
                  <w:shd w:val="clear" w:color="auto" w:fill="auto"/>
                  <w:vAlign w:val="center"/>
                </w:tcPr>
                <w:p w14:paraId="793E7C5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297F867">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0.004 </w:t>
                  </w:r>
                </w:p>
              </w:tc>
              <w:tc>
                <w:tcPr>
                  <w:tcW w:w="461" w:type="pct"/>
                  <w:tcBorders>
                    <w:top w:val="single" w:color="000000" w:sz="4" w:space="0"/>
                    <w:left w:val="single" w:color="000000" w:sz="4" w:space="0"/>
                    <w:bottom w:val="single" w:color="auto" w:sz="4" w:space="0"/>
                    <w:right w:val="single" w:color="000000" w:sz="4" w:space="0"/>
                  </w:tcBorders>
                  <w:shd w:val="clear" w:color="auto" w:fill="auto"/>
                  <w:vAlign w:val="center"/>
                </w:tcPr>
                <w:p w14:paraId="7121A203">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30</w:t>
                  </w:r>
                </w:p>
              </w:tc>
              <w:tc>
                <w:tcPr>
                  <w:tcW w:w="332" w:type="pct"/>
                  <w:tcBorders>
                    <w:top w:val="single" w:color="000000" w:sz="4" w:space="0"/>
                    <w:left w:val="single" w:color="000000" w:sz="4" w:space="0"/>
                    <w:bottom w:val="single" w:color="auto" w:sz="4" w:space="0"/>
                    <w:right w:val="single" w:color="000000" w:sz="4" w:space="0"/>
                  </w:tcBorders>
                  <w:shd w:val="clear" w:color="auto" w:fill="auto"/>
                  <w:vAlign w:val="center"/>
                </w:tcPr>
                <w:p w14:paraId="18033390">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200</w:t>
                  </w:r>
                </w:p>
              </w:tc>
              <w:tc>
                <w:tcPr>
                  <w:tcW w:w="51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8CF4F43">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0.001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6001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w:t>
                  </w:r>
                </w:p>
              </w:tc>
            </w:tr>
            <w:tr w14:paraId="2E711B1A">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30992EB8">
                  <w:pPr>
                    <w:spacing w:line="240" w:lineRule="auto"/>
                    <w:jc w:val="center"/>
                    <w:rPr>
                      <w:rFonts w:cs="宋体"/>
                      <w:color w:val="auto"/>
                      <w:sz w:val="18"/>
                      <w:szCs w:val="18"/>
                    </w:rPr>
                  </w:pPr>
                </w:p>
              </w:tc>
              <w:tc>
                <w:tcPr>
                  <w:tcW w:w="255" w:type="pct"/>
                  <w:vMerge w:val="continue"/>
                  <w:tcBorders>
                    <w:left w:val="single" w:color="000000" w:sz="4" w:space="0"/>
                    <w:right w:val="single" w:color="000000" w:sz="4" w:space="0"/>
                  </w:tcBorders>
                  <w:shd w:val="clear" w:color="auto" w:fill="auto"/>
                  <w:vAlign w:val="center"/>
                </w:tcPr>
                <w:p w14:paraId="4719BEB0">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auto" w:sz="4" w:space="0"/>
                    <w:right w:val="single" w:color="000000" w:sz="4" w:space="0"/>
                  </w:tcBorders>
                  <w:shd w:val="clear" w:color="auto" w:fill="auto"/>
                  <w:vAlign w:val="center"/>
                </w:tcPr>
                <w:p w14:paraId="6C6692E5">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SS</w:t>
                  </w:r>
                </w:p>
              </w:tc>
              <w:tc>
                <w:tcPr>
                  <w:tcW w:w="43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0C6BF8E">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0.014 </w:t>
                  </w:r>
                </w:p>
              </w:tc>
              <w:tc>
                <w:tcPr>
                  <w:tcW w:w="400" w:type="pct"/>
                  <w:tcBorders>
                    <w:top w:val="single" w:color="000000" w:sz="4" w:space="0"/>
                    <w:left w:val="single" w:color="000000" w:sz="4" w:space="0"/>
                    <w:bottom w:val="single" w:color="auto" w:sz="4" w:space="0"/>
                    <w:right w:val="single" w:color="auto" w:sz="4" w:space="0"/>
                  </w:tcBorders>
                  <w:shd w:val="clear" w:color="auto" w:fill="auto"/>
                  <w:vAlign w:val="center"/>
                </w:tcPr>
                <w:p w14:paraId="586BC412">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100</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F24B9B">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79D8D587">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000000" w:sz="4" w:space="0"/>
                    <w:right w:val="single" w:color="000000" w:sz="4" w:space="0"/>
                  </w:tcBorders>
                  <w:shd w:val="clear" w:color="auto" w:fill="auto"/>
                  <w:vAlign w:val="center"/>
                </w:tcPr>
                <w:p w14:paraId="5CAB616C">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auto" w:sz="4" w:space="0"/>
                    <w:right w:val="single" w:color="000000" w:sz="4" w:space="0"/>
                  </w:tcBorders>
                  <w:shd w:val="clear" w:color="auto" w:fill="auto"/>
                  <w:vAlign w:val="center"/>
                </w:tcPr>
                <w:p w14:paraId="75D0F84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F94C910">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0.010 </w:t>
                  </w:r>
                </w:p>
              </w:tc>
              <w:tc>
                <w:tcPr>
                  <w:tcW w:w="461" w:type="pct"/>
                  <w:tcBorders>
                    <w:top w:val="single" w:color="000000" w:sz="4" w:space="0"/>
                    <w:left w:val="single" w:color="000000" w:sz="4" w:space="0"/>
                    <w:bottom w:val="single" w:color="auto" w:sz="4" w:space="0"/>
                    <w:right w:val="single" w:color="000000" w:sz="4" w:space="0"/>
                  </w:tcBorders>
                  <w:shd w:val="clear" w:color="auto" w:fill="auto"/>
                  <w:vAlign w:val="center"/>
                </w:tcPr>
                <w:p w14:paraId="010CB62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70</w:t>
                  </w:r>
                </w:p>
              </w:tc>
              <w:tc>
                <w:tcPr>
                  <w:tcW w:w="332" w:type="pct"/>
                  <w:tcBorders>
                    <w:top w:val="single" w:color="000000" w:sz="4" w:space="0"/>
                    <w:left w:val="single" w:color="000000" w:sz="4" w:space="0"/>
                    <w:bottom w:val="single" w:color="auto" w:sz="4" w:space="0"/>
                    <w:right w:val="single" w:color="000000" w:sz="4" w:space="0"/>
                  </w:tcBorders>
                  <w:shd w:val="clear" w:color="auto" w:fill="auto"/>
                  <w:vAlign w:val="center"/>
                </w:tcPr>
                <w:p w14:paraId="179CA40B">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350</w:t>
                  </w:r>
                </w:p>
              </w:tc>
              <w:tc>
                <w:tcPr>
                  <w:tcW w:w="51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B2D0F36">
                  <w:pPr>
                    <w:widowControl/>
                    <w:spacing w:line="240" w:lineRule="auto"/>
                    <w:jc w:val="center"/>
                    <w:textAlignment w:val="center"/>
                    <w:rPr>
                      <w:rFonts w:hint="eastAsia"/>
                      <w:color w:val="auto"/>
                      <w:kern w:val="0"/>
                      <w:sz w:val="18"/>
                      <w:szCs w:val="18"/>
                      <w:lang w:val="en-US" w:eastAsia="zh-CN" w:bidi="ar"/>
                    </w:rPr>
                  </w:pPr>
                  <w:r>
                    <w:rPr>
                      <w:rFonts w:hint="eastAsia"/>
                      <w:color w:val="auto"/>
                      <w:kern w:val="0"/>
                      <w:sz w:val="18"/>
                      <w:szCs w:val="18"/>
                      <w:lang w:val="en-US" w:eastAsia="zh-CN" w:bidi="ar"/>
                    </w:rPr>
                    <w:t xml:space="preserve">0.001 </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997C">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w:t>
                  </w:r>
                </w:p>
              </w:tc>
            </w:tr>
            <w:tr w14:paraId="193AB8AE">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33F1D432">
                  <w:pPr>
                    <w:spacing w:line="240" w:lineRule="auto"/>
                    <w:jc w:val="center"/>
                    <w:rPr>
                      <w:rFonts w:cs="宋体"/>
                      <w:color w:val="auto"/>
                      <w:sz w:val="18"/>
                      <w:szCs w:val="18"/>
                    </w:rPr>
                  </w:pPr>
                </w:p>
              </w:tc>
              <w:tc>
                <w:tcPr>
                  <w:tcW w:w="255" w:type="pct"/>
                  <w:vMerge w:val="continue"/>
                  <w:tcBorders>
                    <w:left w:val="single" w:color="000000" w:sz="4" w:space="0"/>
                    <w:bottom w:val="single" w:color="auto" w:sz="4" w:space="0"/>
                    <w:right w:val="single" w:color="000000" w:sz="4" w:space="0"/>
                  </w:tcBorders>
                  <w:shd w:val="clear" w:color="auto" w:fill="auto"/>
                  <w:vAlign w:val="center"/>
                </w:tcPr>
                <w:p w14:paraId="4DD1BFD8">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auto" w:sz="4" w:space="0"/>
                    <w:right w:val="single" w:color="000000" w:sz="4" w:space="0"/>
                  </w:tcBorders>
                  <w:shd w:val="clear" w:color="auto" w:fill="auto"/>
                  <w:vAlign w:val="center"/>
                </w:tcPr>
                <w:p w14:paraId="3D63C402">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动植物油</w:t>
                  </w:r>
                </w:p>
              </w:tc>
              <w:tc>
                <w:tcPr>
                  <w:tcW w:w="43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39C6CFE">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0.014</w:t>
                  </w:r>
                </w:p>
              </w:tc>
              <w:tc>
                <w:tcPr>
                  <w:tcW w:w="400" w:type="pct"/>
                  <w:tcBorders>
                    <w:top w:val="single" w:color="000000" w:sz="4" w:space="0"/>
                    <w:left w:val="single" w:color="000000" w:sz="4" w:space="0"/>
                    <w:bottom w:val="single" w:color="auto" w:sz="4" w:space="0"/>
                    <w:right w:val="single" w:color="auto" w:sz="4" w:space="0"/>
                  </w:tcBorders>
                  <w:shd w:val="clear" w:color="auto" w:fill="auto"/>
                  <w:vAlign w:val="center"/>
                </w:tcPr>
                <w:p w14:paraId="10CAA7C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100</w:t>
                  </w:r>
                </w:p>
              </w:tc>
              <w:tc>
                <w:tcPr>
                  <w:tcW w:w="34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625D43">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1AFF6D29">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000000" w:sz="4" w:space="0"/>
                    <w:bottom w:val="single" w:color="auto" w:sz="4" w:space="0"/>
                    <w:right w:val="single" w:color="000000" w:sz="4" w:space="0"/>
                  </w:tcBorders>
                  <w:shd w:val="clear" w:color="auto" w:fill="auto"/>
                  <w:vAlign w:val="center"/>
                </w:tcPr>
                <w:p w14:paraId="297B3182">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auto" w:sz="4" w:space="0"/>
                    <w:right w:val="single" w:color="000000" w:sz="4" w:space="0"/>
                  </w:tcBorders>
                  <w:shd w:val="clear" w:color="auto" w:fill="auto"/>
                  <w:vAlign w:val="center"/>
                </w:tcPr>
                <w:p w14:paraId="655ECB99">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29B3D3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0.001</w:t>
                  </w:r>
                </w:p>
              </w:tc>
              <w:tc>
                <w:tcPr>
                  <w:tcW w:w="461" w:type="pct"/>
                  <w:tcBorders>
                    <w:top w:val="single" w:color="000000" w:sz="4" w:space="0"/>
                    <w:left w:val="single" w:color="000000" w:sz="4" w:space="0"/>
                    <w:bottom w:val="single" w:color="auto" w:sz="4" w:space="0"/>
                    <w:right w:val="single" w:color="000000" w:sz="4" w:space="0"/>
                  </w:tcBorders>
                  <w:shd w:val="clear" w:color="auto" w:fill="auto"/>
                  <w:vAlign w:val="center"/>
                </w:tcPr>
                <w:p w14:paraId="2B59548C">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55</w:t>
                  </w:r>
                </w:p>
              </w:tc>
              <w:tc>
                <w:tcPr>
                  <w:tcW w:w="332" w:type="pct"/>
                  <w:tcBorders>
                    <w:top w:val="single" w:color="000000" w:sz="4" w:space="0"/>
                    <w:left w:val="single" w:color="000000" w:sz="4" w:space="0"/>
                    <w:bottom w:val="single" w:color="auto" w:sz="4" w:space="0"/>
                    <w:right w:val="single" w:color="000000" w:sz="4" w:space="0"/>
                  </w:tcBorders>
                  <w:shd w:val="clear" w:color="auto" w:fill="auto"/>
                  <w:vAlign w:val="center"/>
                </w:tcPr>
                <w:p w14:paraId="66F02AD2">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100</w:t>
                  </w:r>
                </w:p>
              </w:tc>
              <w:tc>
                <w:tcPr>
                  <w:tcW w:w="51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F38854E">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0.0001</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DCED">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w:t>
                  </w:r>
                </w:p>
              </w:tc>
            </w:tr>
            <w:tr w14:paraId="23C0DB65">
              <w:tblPrEx>
                <w:tblCellMar>
                  <w:top w:w="0" w:type="dxa"/>
                  <w:left w:w="108" w:type="dxa"/>
                  <w:bottom w:w="0" w:type="dxa"/>
                  <w:right w:w="108" w:type="dxa"/>
                </w:tblCellMar>
              </w:tblPrEx>
              <w:trPr>
                <w:trHeight w:val="477" w:hRule="atLeast"/>
              </w:trPr>
              <w:tc>
                <w:tcPr>
                  <w:tcW w:w="190" w:type="pct"/>
                  <w:vMerge w:val="continue"/>
                  <w:tcBorders>
                    <w:left w:val="single" w:color="000000" w:sz="4" w:space="0"/>
                    <w:right w:val="single" w:color="000000" w:sz="4" w:space="0"/>
                  </w:tcBorders>
                  <w:shd w:val="clear" w:color="auto" w:fill="auto"/>
                  <w:vAlign w:val="center"/>
                </w:tcPr>
                <w:p w14:paraId="09422D66">
                  <w:pPr>
                    <w:spacing w:line="240" w:lineRule="auto"/>
                    <w:jc w:val="center"/>
                    <w:rPr>
                      <w:rFonts w:cs="宋体"/>
                      <w:color w:val="auto"/>
                      <w:sz w:val="18"/>
                      <w:szCs w:val="18"/>
                    </w:rPr>
                  </w:pPr>
                </w:p>
              </w:tc>
              <w:tc>
                <w:tcPr>
                  <w:tcW w:w="255" w:type="pct"/>
                  <w:vMerge w:val="restart"/>
                  <w:tcBorders>
                    <w:left w:val="single" w:color="000000" w:sz="4" w:space="0"/>
                    <w:right w:val="single" w:color="000000" w:sz="4" w:space="0"/>
                  </w:tcBorders>
                  <w:shd w:val="clear" w:color="auto" w:fill="auto"/>
                  <w:vAlign w:val="center"/>
                </w:tcPr>
                <w:p w14:paraId="3909F300">
                  <w:pPr>
                    <w:spacing w:line="240" w:lineRule="auto"/>
                    <w:jc w:val="center"/>
                    <w:rPr>
                      <w:rFonts w:cs="宋体"/>
                      <w:color w:val="auto"/>
                      <w:sz w:val="18"/>
                      <w:szCs w:val="18"/>
                    </w:rPr>
                  </w:pPr>
                  <w:r>
                    <w:rPr>
                      <w:rFonts w:hint="eastAsia" w:cs="宋体"/>
                      <w:color w:val="auto"/>
                      <w:sz w:val="18"/>
                      <w:szCs w:val="18"/>
                      <w:lang w:val="en-US" w:eastAsia="zh-CN"/>
                    </w:rPr>
                    <w:t>冷却排水</w:t>
                  </w:r>
                </w:p>
              </w:tc>
              <w:tc>
                <w:tcPr>
                  <w:tcW w:w="372" w:type="pct"/>
                  <w:tcBorders>
                    <w:top w:val="single" w:color="000000" w:sz="4" w:space="0"/>
                    <w:left w:val="single" w:color="000000" w:sz="4" w:space="0"/>
                    <w:bottom w:val="single" w:color="auto" w:sz="4" w:space="0"/>
                    <w:right w:val="single" w:color="000000" w:sz="4" w:space="0"/>
                  </w:tcBorders>
                  <w:shd w:val="clear" w:color="auto" w:fill="auto"/>
                  <w:vAlign w:val="center"/>
                </w:tcPr>
                <w:p w14:paraId="24194F03">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color w:val="auto"/>
                      <w:kern w:val="0"/>
                      <w:sz w:val="18"/>
                      <w:szCs w:val="18"/>
                      <w:lang w:bidi="ar"/>
                    </w:rPr>
                    <w:t>COD</w:t>
                  </w:r>
                </w:p>
              </w:tc>
              <w:tc>
                <w:tcPr>
                  <w:tcW w:w="43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A1E75FE">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 xml:space="preserve">0.0008 </w:t>
                  </w:r>
                </w:p>
              </w:tc>
              <w:tc>
                <w:tcPr>
                  <w:tcW w:w="400" w:type="pct"/>
                  <w:tcBorders>
                    <w:top w:val="single" w:color="000000" w:sz="4" w:space="0"/>
                    <w:left w:val="single" w:color="000000" w:sz="4" w:space="0"/>
                    <w:bottom w:val="single" w:color="auto" w:sz="4" w:space="0"/>
                    <w:right w:val="single" w:color="auto" w:sz="4" w:space="0"/>
                  </w:tcBorders>
                  <w:shd w:val="clear" w:color="auto" w:fill="auto"/>
                  <w:vAlign w:val="center"/>
                </w:tcPr>
                <w:p w14:paraId="790D2C8C">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200</w:t>
                  </w:r>
                </w:p>
              </w:tc>
              <w:tc>
                <w:tcPr>
                  <w:tcW w:w="344" w:type="pct"/>
                  <w:vMerge w:val="restart"/>
                  <w:tcBorders>
                    <w:top w:val="single" w:color="auto" w:sz="4" w:space="0"/>
                    <w:left w:val="single" w:color="auto" w:sz="4" w:space="0"/>
                    <w:right w:val="single" w:color="auto" w:sz="4" w:space="0"/>
                  </w:tcBorders>
                  <w:shd w:val="clear" w:color="auto" w:fill="auto"/>
                  <w:vAlign w:val="center"/>
                </w:tcPr>
                <w:p w14:paraId="68C155C0">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308" w:type="pct"/>
                  <w:vMerge w:val="continue"/>
                  <w:tcBorders>
                    <w:left w:val="single" w:color="auto" w:sz="4" w:space="0"/>
                    <w:right w:val="single" w:color="000000" w:sz="4" w:space="0"/>
                  </w:tcBorders>
                  <w:shd w:val="clear" w:color="auto" w:fill="auto"/>
                  <w:noWrap/>
                  <w:vAlign w:val="center"/>
                </w:tcPr>
                <w:p w14:paraId="448A6571">
                  <w:pPr>
                    <w:widowControl/>
                    <w:spacing w:line="240" w:lineRule="auto"/>
                    <w:jc w:val="center"/>
                    <w:textAlignment w:val="center"/>
                    <w:rPr>
                      <w:rFonts w:hint="eastAsia"/>
                      <w:color w:val="auto"/>
                      <w:kern w:val="0"/>
                      <w:sz w:val="18"/>
                      <w:szCs w:val="18"/>
                      <w:lang w:val="en-US" w:eastAsia="zh-CN" w:bidi="ar"/>
                    </w:rPr>
                  </w:pPr>
                </w:p>
              </w:tc>
              <w:tc>
                <w:tcPr>
                  <w:tcW w:w="384" w:type="pct"/>
                  <w:vMerge w:val="restart"/>
                  <w:tcBorders>
                    <w:left w:val="single" w:color="000000" w:sz="4" w:space="0"/>
                    <w:right w:val="single" w:color="000000" w:sz="4" w:space="0"/>
                  </w:tcBorders>
                  <w:shd w:val="clear" w:color="auto" w:fill="auto"/>
                  <w:vAlign w:val="center"/>
                </w:tcPr>
                <w:p w14:paraId="2834139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4</w:t>
                  </w:r>
                </w:p>
              </w:tc>
              <w:tc>
                <w:tcPr>
                  <w:tcW w:w="269" w:type="pct"/>
                  <w:tcBorders>
                    <w:top w:val="single" w:color="000000" w:sz="4" w:space="0"/>
                    <w:left w:val="single" w:color="000000" w:sz="4" w:space="0"/>
                    <w:bottom w:val="single" w:color="auto" w:sz="4" w:space="0"/>
                    <w:right w:val="single" w:color="000000" w:sz="4" w:space="0"/>
                  </w:tcBorders>
                  <w:shd w:val="clear" w:color="auto" w:fill="auto"/>
                  <w:vAlign w:val="center"/>
                </w:tcPr>
                <w:p w14:paraId="62B430B8">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8783EE3">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 xml:space="preserve">0.0008 </w:t>
                  </w:r>
                </w:p>
              </w:tc>
              <w:tc>
                <w:tcPr>
                  <w:tcW w:w="461" w:type="pct"/>
                  <w:tcBorders>
                    <w:top w:val="single" w:color="000000" w:sz="4" w:space="0"/>
                    <w:left w:val="single" w:color="000000" w:sz="4" w:space="0"/>
                    <w:bottom w:val="single" w:color="auto" w:sz="4" w:space="0"/>
                    <w:right w:val="single" w:color="000000" w:sz="4" w:space="0"/>
                  </w:tcBorders>
                  <w:shd w:val="clear" w:color="auto" w:fill="auto"/>
                  <w:vAlign w:val="center"/>
                </w:tcPr>
                <w:p w14:paraId="7564B777">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200</w:t>
                  </w:r>
                </w:p>
              </w:tc>
              <w:tc>
                <w:tcPr>
                  <w:tcW w:w="332" w:type="pct"/>
                  <w:tcBorders>
                    <w:top w:val="single" w:color="000000" w:sz="4" w:space="0"/>
                    <w:left w:val="single" w:color="000000" w:sz="4" w:space="0"/>
                    <w:bottom w:val="single" w:color="auto" w:sz="4" w:space="0"/>
                    <w:right w:val="single" w:color="000000" w:sz="4" w:space="0"/>
                  </w:tcBorders>
                  <w:shd w:val="clear" w:color="auto" w:fill="auto"/>
                  <w:vAlign w:val="center"/>
                </w:tcPr>
                <w:p w14:paraId="7F1F93E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500</w:t>
                  </w:r>
                </w:p>
              </w:tc>
              <w:tc>
                <w:tcPr>
                  <w:tcW w:w="51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CB11067">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0.001</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4D33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50</w:t>
                  </w:r>
                </w:p>
              </w:tc>
            </w:tr>
            <w:tr w14:paraId="2333294C">
              <w:tblPrEx>
                <w:tblCellMar>
                  <w:top w:w="0" w:type="dxa"/>
                  <w:left w:w="108" w:type="dxa"/>
                  <w:bottom w:w="0" w:type="dxa"/>
                  <w:right w:w="108" w:type="dxa"/>
                </w:tblCellMar>
              </w:tblPrEx>
              <w:trPr>
                <w:trHeight w:val="340" w:hRule="atLeast"/>
              </w:trPr>
              <w:tc>
                <w:tcPr>
                  <w:tcW w:w="190" w:type="pct"/>
                  <w:vMerge w:val="continue"/>
                  <w:tcBorders>
                    <w:left w:val="single" w:color="000000" w:sz="4" w:space="0"/>
                    <w:right w:val="single" w:color="000000" w:sz="4" w:space="0"/>
                  </w:tcBorders>
                  <w:shd w:val="clear" w:color="auto" w:fill="auto"/>
                  <w:vAlign w:val="center"/>
                </w:tcPr>
                <w:p w14:paraId="084896BC">
                  <w:pPr>
                    <w:spacing w:line="240" w:lineRule="auto"/>
                    <w:jc w:val="center"/>
                    <w:rPr>
                      <w:rFonts w:cs="宋体"/>
                      <w:color w:val="auto"/>
                      <w:sz w:val="18"/>
                      <w:szCs w:val="18"/>
                    </w:rPr>
                  </w:pPr>
                </w:p>
              </w:tc>
              <w:tc>
                <w:tcPr>
                  <w:tcW w:w="255" w:type="pct"/>
                  <w:vMerge w:val="continue"/>
                  <w:tcBorders>
                    <w:left w:val="single" w:color="000000" w:sz="4" w:space="0"/>
                    <w:bottom w:val="single" w:color="auto" w:sz="4" w:space="0"/>
                    <w:right w:val="single" w:color="000000" w:sz="4" w:space="0"/>
                  </w:tcBorders>
                  <w:shd w:val="clear" w:color="auto" w:fill="auto"/>
                  <w:vAlign w:val="center"/>
                </w:tcPr>
                <w:p w14:paraId="22AD9C79">
                  <w:pPr>
                    <w:spacing w:line="240" w:lineRule="auto"/>
                    <w:jc w:val="center"/>
                    <w:rPr>
                      <w:rFonts w:cs="宋体"/>
                      <w:color w:val="auto"/>
                      <w:sz w:val="18"/>
                      <w:szCs w:val="18"/>
                    </w:rPr>
                  </w:pPr>
                </w:p>
              </w:tc>
              <w:tc>
                <w:tcPr>
                  <w:tcW w:w="372" w:type="pct"/>
                  <w:tcBorders>
                    <w:top w:val="single" w:color="000000" w:sz="4" w:space="0"/>
                    <w:left w:val="single" w:color="000000" w:sz="4" w:space="0"/>
                    <w:bottom w:val="single" w:color="auto" w:sz="4" w:space="0"/>
                    <w:right w:val="single" w:color="000000" w:sz="4" w:space="0"/>
                  </w:tcBorders>
                  <w:shd w:val="clear" w:color="auto" w:fill="auto"/>
                  <w:vAlign w:val="center"/>
                </w:tcPr>
                <w:p w14:paraId="36F8E9F5">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color w:val="auto"/>
                      <w:kern w:val="0"/>
                      <w:sz w:val="18"/>
                      <w:szCs w:val="18"/>
                      <w:lang w:bidi="ar"/>
                    </w:rPr>
                    <w:t>SS</w:t>
                  </w:r>
                </w:p>
              </w:tc>
              <w:tc>
                <w:tcPr>
                  <w:tcW w:w="43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7588CB3">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 xml:space="preserve">0.0004 </w:t>
                  </w:r>
                </w:p>
              </w:tc>
              <w:tc>
                <w:tcPr>
                  <w:tcW w:w="400" w:type="pct"/>
                  <w:tcBorders>
                    <w:top w:val="single" w:color="000000" w:sz="4" w:space="0"/>
                    <w:left w:val="single" w:color="000000" w:sz="4" w:space="0"/>
                    <w:bottom w:val="single" w:color="auto" w:sz="4" w:space="0"/>
                    <w:right w:val="single" w:color="auto" w:sz="4" w:space="0"/>
                  </w:tcBorders>
                  <w:shd w:val="clear" w:color="auto" w:fill="auto"/>
                  <w:vAlign w:val="center"/>
                </w:tcPr>
                <w:p w14:paraId="557E71C0">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100</w:t>
                  </w:r>
                </w:p>
              </w:tc>
              <w:tc>
                <w:tcPr>
                  <w:tcW w:w="344" w:type="pct"/>
                  <w:vMerge w:val="continue"/>
                  <w:tcBorders>
                    <w:left w:val="single" w:color="auto" w:sz="4" w:space="0"/>
                    <w:bottom w:val="single" w:color="auto" w:sz="4" w:space="0"/>
                    <w:right w:val="single" w:color="auto" w:sz="4" w:space="0"/>
                  </w:tcBorders>
                  <w:shd w:val="clear" w:color="auto" w:fill="auto"/>
                  <w:vAlign w:val="center"/>
                </w:tcPr>
                <w:p w14:paraId="10A88F2F">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000000" w:sz="4" w:space="0"/>
                  </w:tcBorders>
                  <w:shd w:val="clear" w:color="auto" w:fill="auto"/>
                  <w:noWrap/>
                  <w:vAlign w:val="center"/>
                </w:tcPr>
                <w:p w14:paraId="738F3ACC">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000000" w:sz="4" w:space="0"/>
                    <w:bottom w:val="single" w:color="auto" w:sz="4" w:space="0"/>
                    <w:right w:val="single" w:color="000000" w:sz="4" w:space="0"/>
                  </w:tcBorders>
                  <w:shd w:val="clear" w:color="auto" w:fill="auto"/>
                  <w:vAlign w:val="center"/>
                </w:tcPr>
                <w:p w14:paraId="060F1B4C">
                  <w:pPr>
                    <w:widowControl/>
                    <w:spacing w:line="240" w:lineRule="auto"/>
                    <w:jc w:val="center"/>
                    <w:textAlignment w:val="center"/>
                    <w:rPr>
                      <w:rFonts w:hint="eastAsia"/>
                      <w:color w:val="auto"/>
                      <w:kern w:val="0"/>
                      <w:sz w:val="18"/>
                      <w:szCs w:val="18"/>
                      <w:lang w:val="en-US" w:eastAsia="zh-CN" w:bidi="ar"/>
                    </w:rPr>
                  </w:pPr>
                </w:p>
              </w:tc>
              <w:tc>
                <w:tcPr>
                  <w:tcW w:w="269" w:type="pct"/>
                  <w:tcBorders>
                    <w:top w:val="single" w:color="000000" w:sz="4" w:space="0"/>
                    <w:left w:val="single" w:color="000000" w:sz="4" w:space="0"/>
                    <w:bottom w:val="single" w:color="auto" w:sz="4" w:space="0"/>
                    <w:right w:val="single" w:color="000000" w:sz="4" w:space="0"/>
                  </w:tcBorders>
                  <w:shd w:val="clear" w:color="auto" w:fill="auto"/>
                  <w:vAlign w:val="center"/>
                </w:tcPr>
                <w:p w14:paraId="6733A358">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F888E3C">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 xml:space="preserve">0.0004 </w:t>
                  </w:r>
                </w:p>
              </w:tc>
              <w:tc>
                <w:tcPr>
                  <w:tcW w:w="461" w:type="pct"/>
                  <w:tcBorders>
                    <w:top w:val="single" w:color="000000" w:sz="4" w:space="0"/>
                    <w:left w:val="single" w:color="000000" w:sz="4" w:space="0"/>
                    <w:bottom w:val="single" w:color="auto" w:sz="4" w:space="0"/>
                    <w:right w:val="single" w:color="000000" w:sz="4" w:space="0"/>
                  </w:tcBorders>
                  <w:shd w:val="clear" w:color="auto" w:fill="auto"/>
                  <w:vAlign w:val="center"/>
                </w:tcPr>
                <w:p w14:paraId="507C66B2">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100</w:t>
                  </w:r>
                </w:p>
              </w:tc>
              <w:tc>
                <w:tcPr>
                  <w:tcW w:w="332" w:type="pct"/>
                  <w:tcBorders>
                    <w:top w:val="single" w:color="000000" w:sz="4" w:space="0"/>
                    <w:left w:val="single" w:color="000000" w:sz="4" w:space="0"/>
                    <w:bottom w:val="single" w:color="auto" w:sz="4" w:space="0"/>
                    <w:right w:val="single" w:color="000000" w:sz="4" w:space="0"/>
                  </w:tcBorders>
                  <w:shd w:val="clear" w:color="auto" w:fill="auto"/>
                  <w:vAlign w:val="center"/>
                </w:tcPr>
                <w:p w14:paraId="732B39E4">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350</w:t>
                  </w:r>
                </w:p>
              </w:tc>
              <w:tc>
                <w:tcPr>
                  <w:tcW w:w="51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3F9407B9">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kern w:val="2"/>
                      <w:sz w:val="18"/>
                      <w:szCs w:val="18"/>
                      <w:lang w:val="en-US" w:eastAsia="zh-CN" w:bidi="ar-SA"/>
                    </w:rPr>
                    <w:t>0.0001</w:t>
                  </w:r>
                </w:p>
              </w:tc>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72EB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w:t>
                  </w:r>
                </w:p>
              </w:tc>
            </w:tr>
            <w:tr w14:paraId="2A7DEA2C">
              <w:tblPrEx>
                <w:tblCellMar>
                  <w:top w:w="0" w:type="dxa"/>
                  <w:left w:w="108" w:type="dxa"/>
                  <w:bottom w:w="0" w:type="dxa"/>
                  <w:right w:w="108" w:type="dxa"/>
                </w:tblCellMar>
              </w:tblPrEx>
              <w:trPr>
                <w:trHeight w:val="340" w:hRule="atLeast"/>
              </w:trPr>
              <w:tc>
                <w:tcPr>
                  <w:tcW w:w="19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F12FF41">
                  <w:pPr>
                    <w:spacing w:line="240" w:lineRule="auto"/>
                    <w:jc w:val="center"/>
                    <w:rPr>
                      <w:rFonts w:hint="eastAsia" w:eastAsia="宋体" w:cs="宋体"/>
                      <w:color w:val="auto"/>
                      <w:sz w:val="18"/>
                      <w:szCs w:val="18"/>
                      <w:lang w:val="en-US" w:eastAsia="zh-CN"/>
                    </w:rPr>
                  </w:pPr>
                  <w:r>
                    <w:rPr>
                      <w:rFonts w:hint="eastAsia" w:cs="宋体"/>
                      <w:color w:val="auto"/>
                      <w:sz w:val="18"/>
                      <w:szCs w:val="18"/>
                      <w:lang w:val="en-US" w:eastAsia="zh-CN"/>
                    </w:rPr>
                    <w:t>合计</w:t>
                  </w:r>
                </w:p>
              </w:tc>
              <w:tc>
                <w:tcPr>
                  <w:tcW w:w="25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A428E4">
                  <w:pPr>
                    <w:spacing w:line="240" w:lineRule="auto"/>
                    <w:jc w:val="center"/>
                    <w:rPr>
                      <w:rFonts w:hint="default" w:eastAsia="宋体" w:cs="宋体"/>
                      <w:color w:val="auto"/>
                      <w:sz w:val="18"/>
                      <w:szCs w:val="18"/>
                      <w:lang w:val="en-US" w:eastAsia="zh-CN"/>
                    </w:rPr>
                  </w:pPr>
                  <w:r>
                    <w:rPr>
                      <w:rFonts w:hint="eastAsia" w:cs="宋体"/>
                      <w:color w:val="auto"/>
                      <w:sz w:val="18"/>
                      <w:szCs w:val="18"/>
                      <w:lang w:val="en-US" w:eastAsia="zh-CN"/>
                    </w:rPr>
                    <w:t>综合废水</w:t>
                  </w: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468AF7C9">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COD</w:t>
                  </w:r>
                </w:p>
              </w:tc>
              <w:tc>
                <w:tcPr>
                  <w:tcW w:w="4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16B03E">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0.206</w:t>
                  </w:r>
                </w:p>
              </w:tc>
              <w:tc>
                <w:tcPr>
                  <w:tcW w:w="400" w:type="pct"/>
                  <w:tcBorders>
                    <w:top w:val="single" w:color="auto" w:sz="4" w:space="0"/>
                    <w:left w:val="single" w:color="auto" w:sz="4" w:space="0"/>
                    <w:bottom w:val="single" w:color="auto" w:sz="4" w:space="0"/>
                    <w:right w:val="single" w:color="auto" w:sz="4" w:space="0"/>
                  </w:tcBorders>
                  <w:shd w:val="clear" w:color="auto" w:fill="auto"/>
                  <w:vAlign w:val="center"/>
                </w:tcPr>
                <w:p w14:paraId="004D05B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w:t>
                  </w:r>
                </w:p>
              </w:tc>
              <w:tc>
                <w:tcPr>
                  <w:tcW w:w="344" w:type="pct"/>
                  <w:vMerge w:val="restart"/>
                  <w:tcBorders>
                    <w:top w:val="single" w:color="auto" w:sz="4" w:space="0"/>
                    <w:left w:val="single" w:color="auto" w:sz="4" w:space="0"/>
                    <w:right w:val="single" w:color="auto" w:sz="4" w:space="0"/>
                  </w:tcBorders>
                  <w:shd w:val="clear" w:color="auto" w:fill="auto"/>
                  <w:vAlign w:val="center"/>
                </w:tcPr>
                <w:p w14:paraId="33731124">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308" w:type="pct"/>
                  <w:vMerge w:val="restart"/>
                  <w:tcBorders>
                    <w:top w:val="single" w:color="auto" w:sz="4" w:space="0"/>
                    <w:left w:val="single" w:color="auto" w:sz="4" w:space="0"/>
                    <w:right w:val="single" w:color="auto" w:sz="4" w:space="0"/>
                  </w:tcBorders>
                  <w:shd w:val="clear" w:color="auto" w:fill="auto"/>
                  <w:noWrap/>
                  <w:vAlign w:val="center"/>
                </w:tcPr>
                <w:p w14:paraId="7F090C58">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是</w:t>
                  </w:r>
                </w:p>
              </w:tc>
              <w:tc>
                <w:tcPr>
                  <w:tcW w:w="384" w:type="pct"/>
                  <w:vMerge w:val="restart"/>
                  <w:tcBorders>
                    <w:top w:val="single" w:color="auto" w:sz="4" w:space="0"/>
                    <w:left w:val="single" w:color="auto" w:sz="4" w:space="0"/>
                    <w:right w:val="single" w:color="auto" w:sz="4" w:space="0"/>
                  </w:tcBorders>
                  <w:shd w:val="clear" w:color="auto" w:fill="auto"/>
                  <w:vAlign w:val="center"/>
                </w:tcPr>
                <w:p w14:paraId="10A04F58">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652</w:t>
                  </w:r>
                </w:p>
              </w:tc>
              <w:tc>
                <w:tcPr>
                  <w:tcW w:w="269" w:type="pct"/>
                  <w:vMerge w:val="restart"/>
                  <w:tcBorders>
                    <w:top w:val="single" w:color="auto" w:sz="4" w:space="0"/>
                    <w:left w:val="single" w:color="auto" w:sz="4" w:space="0"/>
                    <w:right w:val="single" w:color="auto" w:sz="4" w:space="0"/>
                  </w:tcBorders>
                  <w:shd w:val="clear" w:color="auto" w:fill="auto"/>
                  <w:vAlign w:val="center"/>
                </w:tcPr>
                <w:p w14:paraId="5FCC49DC">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w:t>
                  </w:r>
                </w:p>
              </w:tc>
              <w:tc>
                <w:tcPr>
                  <w:tcW w:w="4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8FC46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0.166</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3AA9AA7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221.93</w:t>
                  </w:r>
                </w:p>
              </w:tc>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1E011BC7">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500</w:t>
                  </w:r>
                </w:p>
              </w:tc>
              <w:tc>
                <w:tcPr>
                  <w:tcW w:w="5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F51749">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0.038 </w:t>
                  </w:r>
                </w:p>
              </w:tc>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396C5C">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50</w:t>
                  </w:r>
                </w:p>
              </w:tc>
            </w:tr>
            <w:tr w14:paraId="0AA0305A">
              <w:tblPrEx>
                <w:tblCellMar>
                  <w:top w:w="0" w:type="dxa"/>
                  <w:left w:w="108" w:type="dxa"/>
                  <w:bottom w:w="0" w:type="dxa"/>
                  <w:right w:w="108" w:type="dxa"/>
                </w:tblCellMar>
              </w:tblPrEx>
              <w:trPr>
                <w:trHeight w:val="340" w:hRule="atLeast"/>
              </w:trPr>
              <w:tc>
                <w:tcPr>
                  <w:tcW w:w="19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D51E75">
                  <w:pPr>
                    <w:spacing w:line="240" w:lineRule="auto"/>
                    <w:jc w:val="center"/>
                    <w:rPr>
                      <w:rFonts w:cs="宋体"/>
                      <w:color w:val="auto"/>
                      <w:sz w:val="18"/>
                      <w:szCs w:val="18"/>
                    </w:rPr>
                  </w:pPr>
                </w:p>
              </w:tc>
              <w:tc>
                <w:tcPr>
                  <w:tcW w:w="25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F6DD4D">
                  <w:pPr>
                    <w:spacing w:line="240" w:lineRule="auto"/>
                    <w:jc w:val="center"/>
                    <w:rPr>
                      <w:rFonts w:cs="宋体"/>
                      <w:color w:val="auto"/>
                      <w:sz w:val="18"/>
                      <w:szCs w:val="18"/>
                    </w:rPr>
                  </w:pP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261620A8">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氨氮</w:t>
                  </w:r>
                </w:p>
              </w:tc>
              <w:tc>
                <w:tcPr>
                  <w:tcW w:w="4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769ED5">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0.019</w:t>
                  </w:r>
                </w:p>
              </w:tc>
              <w:tc>
                <w:tcPr>
                  <w:tcW w:w="400" w:type="pct"/>
                  <w:tcBorders>
                    <w:top w:val="single" w:color="auto" w:sz="4" w:space="0"/>
                    <w:left w:val="single" w:color="auto" w:sz="4" w:space="0"/>
                    <w:bottom w:val="single" w:color="auto" w:sz="4" w:space="0"/>
                    <w:right w:val="single" w:color="auto" w:sz="4" w:space="0"/>
                  </w:tcBorders>
                  <w:shd w:val="clear" w:color="auto" w:fill="auto"/>
                  <w:vAlign w:val="center"/>
                </w:tcPr>
                <w:p w14:paraId="7F38A08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w:t>
                  </w:r>
                </w:p>
              </w:tc>
              <w:tc>
                <w:tcPr>
                  <w:tcW w:w="344" w:type="pct"/>
                  <w:vMerge w:val="continue"/>
                  <w:tcBorders>
                    <w:left w:val="single" w:color="auto" w:sz="4" w:space="0"/>
                    <w:right w:val="single" w:color="auto" w:sz="4" w:space="0"/>
                  </w:tcBorders>
                  <w:shd w:val="clear" w:color="auto" w:fill="auto"/>
                  <w:vAlign w:val="center"/>
                </w:tcPr>
                <w:p w14:paraId="2628AEB8">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auto" w:sz="4" w:space="0"/>
                  </w:tcBorders>
                  <w:shd w:val="clear" w:color="auto" w:fill="auto"/>
                  <w:noWrap/>
                  <w:vAlign w:val="center"/>
                </w:tcPr>
                <w:p w14:paraId="4745DEEC">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auto" w:sz="4" w:space="0"/>
                    <w:right w:val="single" w:color="auto" w:sz="4" w:space="0"/>
                  </w:tcBorders>
                  <w:shd w:val="clear" w:color="auto" w:fill="auto"/>
                  <w:vAlign w:val="center"/>
                </w:tcPr>
                <w:p w14:paraId="1503A20E">
                  <w:pPr>
                    <w:widowControl/>
                    <w:spacing w:line="240" w:lineRule="auto"/>
                    <w:jc w:val="center"/>
                    <w:textAlignment w:val="center"/>
                    <w:rPr>
                      <w:rFonts w:hint="eastAsia"/>
                      <w:color w:val="auto"/>
                      <w:kern w:val="0"/>
                      <w:sz w:val="18"/>
                      <w:szCs w:val="18"/>
                      <w:lang w:val="en-US" w:eastAsia="zh-CN" w:bidi="ar"/>
                    </w:rPr>
                  </w:pPr>
                </w:p>
              </w:tc>
              <w:tc>
                <w:tcPr>
                  <w:tcW w:w="269" w:type="pct"/>
                  <w:vMerge w:val="continue"/>
                  <w:tcBorders>
                    <w:left w:val="single" w:color="auto" w:sz="4" w:space="0"/>
                    <w:right w:val="single" w:color="auto" w:sz="4" w:space="0"/>
                  </w:tcBorders>
                  <w:shd w:val="clear" w:color="auto" w:fill="auto"/>
                  <w:vAlign w:val="center"/>
                </w:tcPr>
                <w:p w14:paraId="53948E9C">
                  <w:pPr>
                    <w:widowControl/>
                    <w:spacing w:line="240" w:lineRule="auto"/>
                    <w:jc w:val="center"/>
                    <w:textAlignment w:val="center"/>
                    <w:rPr>
                      <w:rFonts w:hint="eastAsia"/>
                      <w:color w:val="auto"/>
                      <w:kern w:val="0"/>
                      <w:sz w:val="18"/>
                      <w:szCs w:val="18"/>
                      <w:lang w:val="en-US" w:eastAsia="zh-CN" w:bidi="ar"/>
                    </w:rPr>
                  </w:pPr>
                </w:p>
              </w:tc>
              <w:tc>
                <w:tcPr>
                  <w:tcW w:w="4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0CEE11">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0.018</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5DE461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24.06</w:t>
                  </w:r>
                </w:p>
              </w:tc>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4FFB5EF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35</w:t>
                  </w:r>
                </w:p>
              </w:tc>
              <w:tc>
                <w:tcPr>
                  <w:tcW w:w="5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E90F65">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0.004 </w:t>
                  </w:r>
                </w:p>
              </w:tc>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FD6C45">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5</w:t>
                  </w:r>
                </w:p>
              </w:tc>
            </w:tr>
            <w:tr w14:paraId="7B4244B2">
              <w:tblPrEx>
                <w:tblCellMar>
                  <w:top w:w="0" w:type="dxa"/>
                  <w:left w:w="108" w:type="dxa"/>
                  <w:bottom w:w="0" w:type="dxa"/>
                  <w:right w:w="108" w:type="dxa"/>
                </w:tblCellMar>
              </w:tblPrEx>
              <w:trPr>
                <w:trHeight w:val="340" w:hRule="atLeast"/>
              </w:trPr>
              <w:tc>
                <w:tcPr>
                  <w:tcW w:w="19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A2CB07">
                  <w:pPr>
                    <w:spacing w:line="240" w:lineRule="auto"/>
                    <w:jc w:val="center"/>
                    <w:rPr>
                      <w:rFonts w:cs="宋体"/>
                      <w:color w:val="auto"/>
                      <w:sz w:val="18"/>
                      <w:szCs w:val="18"/>
                    </w:rPr>
                  </w:pPr>
                </w:p>
              </w:tc>
              <w:tc>
                <w:tcPr>
                  <w:tcW w:w="25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75545C">
                  <w:pPr>
                    <w:spacing w:line="240" w:lineRule="auto"/>
                    <w:jc w:val="center"/>
                    <w:rPr>
                      <w:rFonts w:cs="宋体"/>
                      <w:color w:val="auto"/>
                      <w:sz w:val="18"/>
                      <w:szCs w:val="18"/>
                    </w:rPr>
                  </w:pP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009B94A5">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BOD</w:t>
                  </w:r>
                  <w:r>
                    <w:rPr>
                      <w:color w:val="auto"/>
                      <w:kern w:val="0"/>
                      <w:sz w:val="18"/>
                      <w:szCs w:val="18"/>
                      <w:vertAlign w:val="subscript"/>
                      <w:lang w:bidi="ar"/>
                    </w:rPr>
                    <w:t>5</w:t>
                  </w:r>
                </w:p>
              </w:tc>
              <w:tc>
                <w:tcPr>
                  <w:tcW w:w="4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2A813C">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0.113</w:t>
                  </w:r>
                </w:p>
              </w:tc>
              <w:tc>
                <w:tcPr>
                  <w:tcW w:w="400" w:type="pct"/>
                  <w:tcBorders>
                    <w:top w:val="single" w:color="auto" w:sz="4" w:space="0"/>
                    <w:left w:val="single" w:color="auto" w:sz="4" w:space="0"/>
                    <w:bottom w:val="single" w:color="auto" w:sz="4" w:space="0"/>
                    <w:right w:val="single" w:color="auto" w:sz="4" w:space="0"/>
                  </w:tcBorders>
                  <w:shd w:val="clear" w:color="auto" w:fill="auto"/>
                  <w:vAlign w:val="center"/>
                </w:tcPr>
                <w:p w14:paraId="1D5EA8E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w:t>
                  </w:r>
                </w:p>
              </w:tc>
              <w:tc>
                <w:tcPr>
                  <w:tcW w:w="344" w:type="pct"/>
                  <w:vMerge w:val="continue"/>
                  <w:tcBorders>
                    <w:left w:val="single" w:color="auto" w:sz="4" w:space="0"/>
                    <w:right w:val="single" w:color="auto" w:sz="4" w:space="0"/>
                  </w:tcBorders>
                  <w:shd w:val="clear" w:color="auto" w:fill="auto"/>
                  <w:vAlign w:val="center"/>
                </w:tcPr>
                <w:p w14:paraId="5F70D6C0">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auto" w:sz="4" w:space="0"/>
                  </w:tcBorders>
                  <w:shd w:val="clear" w:color="auto" w:fill="auto"/>
                  <w:noWrap/>
                  <w:vAlign w:val="center"/>
                </w:tcPr>
                <w:p w14:paraId="0A6C67DA">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auto" w:sz="4" w:space="0"/>
                    <w:right w:val="single" w:color="auto" w:sz="4" w:space="0"/>
                  </w:tcBorders>
                  <w:shd w:val="clear" w:color="auto" w:fill="auto"/>
                  <w:vAlign w:val="center"/>
                </w:tcPr>
                <w:p w14:paraId="1D6C8709">
                  <w:pPr>
                    <w:widowControl/>
                    <w:spacing w:line="240" w:lineRule="auto"/>
                    <w:jc w:val="center"/>
                    <w:textAlignment w:val="center"/>
                    <w:rPr>
                      <w:rFonts w:hint="eastAsia"/>
                      <w:color w:val="auto"/>
                      <w:kern w:val="0"/>
                      <w:sz w:val="18"/>
                      <w:szCs w:val="18"/>
                      <w:lang w:val="en-US" w:eastAsia="zh-CN" w:bidi="ar"/>
                    </w:rPr>
                  </w:pPr>
                </w:p>
              </w:tc>
              <w:tc>
                <w:tcPr>
                  <w:tcW w:w="269" w:type="pct"/>
                  <w:vMerge w:val="continue"/>
                  <w:tcBorders>
                    <w:left w:val="single" w:color="auto" w:sz="4" w:space="0"/>
                    <w:right w:val="single" w:color="auto" w:sz="4" w:space="0"/>
                  </w:tcBorders>
                  <w:shd w:val="clear" w:color="auto" w:fill="auto"/>
                  <w:vAlign w:val="center"/>
                </w:tcPr>
                <w:p w14:paraId="28B81726">
                  <w:pPr>
                    <w:widowControl/>
                    <w:spacing w:line="240" w:lineRule="auto"/>
                    <w:jc w:val="center"/>
                    <w:textAlignment w:val="center"/>
                    <w:rPr>
                      <w:rFonts w:hint="eastAsia"/>
                      <w:color w:val="auto"/>
                      <w:kern w:val="0"/>
                      <w:sz w:val="18"/>
                      <w:szCs w:val="18"/>
                      <w:lang w:val="en-US" w:eastAsia="zh-CN" w:bidi="ar"/>
                    </w:rPr>
                  </w:pPr>
                </w:p>
              </w:tc>
              <w:tc>
                <w:tcPr>
                  <w:tcW w:w="4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663E42">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 xml:space="preserve">0.09 </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21CAE4BE">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120.32</w:t>
                  </w:r>
                </w:p>
              </w:tc>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36AEC9E8">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300</w:t>
                  </w:r>
                </w:p>
              </w:tc>
              <w:tc>
                <w:tcPr>
                  <w:tcW w:w="5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4763F4">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0.008 </w:t>
                  </w:r>
                </w:p>
              </w:tc>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C4B55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w:t>
                  </w:r>
                </w:p>
              </w:tc>
            </w:tr>
            <w:tr w14:paraId="06D6BBD5">
              <w:tblPrEx>
                <w:tblCellMar>
                  <w:top w:w="0" w:type="dxa"/>
                  <w:left w:w="108" w:type="dxa"/>
                  <w:bottom w:w="0" w:type="dxa"/>
                  <w:right w:w="108" w:type="dxa"/>
                </w:tblCellMar>
              </w:tblPrEx>
              <w:trPr>
                <w:trHeight w:val="340" w:hRule="atLeast"/>
              </w:trPr>
              <w:tc>
                <w:tcPr>
                  <w:tcW w:w="19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2EA84A">
                  <w:pPr>
                    <w:spacing w:line="240" w:lineRule="auto"/>
                    <w:jc w:val="center"/>
                    <w:rPr>
                      <w:rFonts w:cs="宋体"/>
                      <w:color w:val="auto"/>
                      <w:sz w:val="18"/>
                      <w:szCs w:val="18"/>
                    </w:rPr>
                  </w:pPr>
                </w:p>
              </w:tc>
              <w:tc>
                <w:tcPr>
                  <w:tcW w:w="25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4E77BD">
                  <w:pPr>
                    <w:spacing w:line="240" w:lineRule="auto"/>
                    <w:jc w:val="center"/>
                    <w:rPr>
                      <w:rFonts w:cs="宋体"/>
                      <w:color w:val="auto"/>
                      <w:sz w:val="18"/>
                      <w:szCs w:val="18"/>
                    </w:rPr>
                  </w:pP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533C2FDC">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SS</w:t>
                  </w:r>
                </w:p>
              </w:tc>
              <w:tc>
                <w:tcPr>
                  <w:tcW w:w="4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8A9A3E">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0.118</w:t>
                  </w:r>
                </w:p>
              </w:tc>
              <w:tc>
                <w:tcPr>
                  <w:tcW w:w="400" w:type="pct"/>
                  <w:tcBorders>
                    <w:top w:val="single" w:color="auto" w:sz="4" w:space="0"/>
                    <w:left w:val="single" w:color="auto" w:sz="4" w:space="0"/>
                    <w:bottom w:val="single" w:color="auto" w:sz="4" w:space="0"/>
                    <w:right w:val="single" w:color="auto" w:sz="4" w:space="0"/>
                  </w:tcBorders>
                  <w:shd w:val="clear" w:color="auto" w:fill="auto"/>
                  <w:vAlign w:val="center"/>
                </w:tcPr>
                <w:p w14:paraId="526A9994">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w:t>
                  </w:r>
                </w:p>
              </w:tc>
              <w:tc>
                <w:tcPr>
                  <w:tcW w:w="344" w:type="pct"/>
                  <w:vMerge w:val="continue"/>
                  <w:tcBorders>
                    <w:left w:val="single" w:color="auto" w:sz="4" w:space="0"/>
                    <w:right w:val="single" w:color="auto" w:sz="4" w:space="0"/>
                  </w:tcBorders>
                  <w:shd w:val="clear" w:color="auto" w:fill="auto"/>
                  <w:vAlign w:val="center"/>
                </w:tcPr>
                <w:p w14:paraId="44294D2F">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right w:val="single" w:color="auto" w:sz="4" w:space="0"/>
                  </w:tcBorders>
                  <w:shd w:val="clear" w:color="auto" w:fill="auto"/>
                  <w:noWrap/>
                  <w:vAlign w:val="center"/>
                </w:tcPr>
                <w:p w14:paraId="712C64AA">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auto" w:sz="4" w:space="0"/>
                    <w:right w:val="single" w:color="auto" w:sz="4" w:space="0"/>
                  </w:tcBorders>
                  <w:shd w:val="clear" w:color="auto" w:fill="auto"/>
                  <w:vAlign w:val="center"/>
                </w:tcPr>
                <w:p w14:paraId="35FA75D4">
                  <w:pPr>
                    <w:widowControl/>
                    <w:spacing w:line="240" w:lineRule="auto"/>
                    <w:jc w:val="center"/>
                    <w:textAlignment w:val="center"/>
                    <w:rPr>
                      <w:rFonts w:hint="eastAsia"/>
                      <w:color w:val="auto"/>
                      <w:kern w:val="0"/>
                      <w:sz w:val="18"/>
                      <w:szCs w:val="18"/>
                      <w:lang w:val="en-US" w:eastAsia="zh-CN" w:bidi="ar"/>
                    </w:rPr>
                  </w:pPr>
                </w:p>
              </w:tc>
              <w:tc>
                <w:tcPr>
                  <w:tcW w:w="269" w:type="pct"/>
                  <w:vMerge w:val="continue"/>
                  <w:tcBorders>
                    <w:left w:val="single" w:color="auto" w:sz="4" w:space="0"/>
                    <w:right w:val="single" w:color="auto" w:sz="4" w:space="0"/>
                  </w:tcBorders>
                  <w:shd w:val="clear" w:color="auto" w:fill="auto"/>
                  <w:vAlign w:val="center"/>
                </w:tcPr>
                <w:p w14:paraId="1AC86EAD">
                  <w:pPr>
                    <w:widowControl/>
                    <w:spacing w:line="240" w:lineRule="auto"/>
                    <w:jc w:val="center"/>
                    <w:textAlignment w:val="center"/>
                    <w:rPr>
                      <w:rFonts w:hint="eastAsia"/>
                      <w:color w:val="auto"/>
                      <w:kern w:val="0"/>
                      <w:sz w:val="18"/>
                      <w:szCs w:val="18"/>
                      <w:lang w:val="en-US" w:eastAsia="zh-CN" w:bidi="ar"/>
                    </w:rPr>
                  </w:pPr>
                </w:p>
              </w:tc>
              <w:tc>
                <w:tcPr>
                  <w:tcW w:w="4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AF88F2">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0.063</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7F8F6723">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84.22</w:t>
                  </w:r>
                </w:p>
              </w:tc>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23D8406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400</w:t>
                  </w:r>
                </w:p>
              </w:tc>
              <w:tc>
                <w:tcPr>
                  <w:tcW w:w="5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28955B">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 xml:space="preserve">0.008 </w:t>
                  </w:r>
                </w:p>
              </w:tc>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DEDD43">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w:t>
                  </w:r>
                </w:p>
              </w:tc>
            </w:tr>
            <w:tr w14:paraId="697CF540">
              <w:tblPrEx>
                <w:tblCellMar>
                  <w:top w:w="0" w:type="dxa"/>
                  <w:left w:w="108" w:type="dxa"/>
                  <w:bottom w:w="0" w:type="dxa"/>
                  <w:right w:w="108" w:type="dxa"/>
                </w:tblCellMar>
              </w:tblPrEx>
              <w:trPr>
                <w:trHeight w:val="340" w:hRule="atLeast"/>
              </w:trPr>
              <w:tc>
                <w:tcPr>
                  <w:tcW w:w="19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E0C3D7">
                  <w:pPr>
                    <w:spacing w:line="240" w:lineRule="auto"/>
                    <w:jc w:val="center"/>
                    <w:rPr>
                      <w:rFonts w:cs="宋体"/>
                      <w:color w:val="auto"/>
                      <w:sz w:val="18"/>
                      <w:szCs w:val="18"/>
                    </w:rPr>
                  </w:pPr>
                </w:p>
              </w:tc>
              <w:tc>
                <w:tcPr>
                  <w:tcW w:w="25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4CCAE0">
                  <w:pPr>
                    <w:spacing w:line="240" w:lineRule="auto"/>
                    <w:jc w:val="center"/>
                    <w:rPr>
                      <w:rFonts w:cs="宋体"/>
                      <w:color w:val="auto"/>
                      <w:sz w:val="18"/>
                      <w:szCs w:val="18"/>
                    </w:rPr>
                  </w:pPr>
                </w:p>
              </w:tc>
              <w:tc>
                <w:tcPr>
                  <w:tcW w:w="372" w:type="pct"/>
                  <w:tcBorders>
                    <w:top w:val="single" w:color="auto" w:sz="4" w:space="0"/>
                    <w:left w:val="single" w:color="auto" w:sz="4" w:space="0"/>
                    <w:bottom w:val="single" w:color="auto" w:sz="4" w:space="0"/>
                    <w:right w:val="single" w:color="auto" w:sz="4" w:space="0"/>
                  </w:tcBorders>
                  <w:shd w:val="clear" w:color="auto" w:fill="auto"/>
                  <w:vAlign w:val="center"/>
                </w:tcPr>
                <w:p w14:paraId="7420038C">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动植物油</w:t>
                  </w:r>
                </w:p>
              </w:tc>
              <w:tc>
                <w:tcPr>
                  <w:tcW w:w="43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0D92DC">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0.014</w:t>
                  </w:r>
                </w:p>
              </w:tc>
              <w:tc>
                <w:tcPr>
                  <w:tcW w:w="400" w:type="pct"/>
                  <w:tcBorders>
                    <w:top w:val="single" w:color="auto" w:sz="4" w:space="0"/>
                    <w:left w:val="single" w:color="auto" w:sz="4" w:space="0"/>
                    <w:bottom w:val="single" w:color="auto" w:sz="4" w:space="0"/>
                    <w:right w:val="single" w:color="auto" w:sz="4" w:space="0"/>
                  </w:tcBorders>
                  <w:shd w:val="clear" w:color="auto" w:fill="auto"/>
                  <w:vAlign w:val="center"/>
                </w:tcPr>
                <w:p w14:paraId="7A0199FB">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w:t>
                  </w:r>
                </w:p>
              </w:tc>
              <w:tc>
                <w:tcPr>
                  <w:tcW w:w="344" w:type="pct"/>
                  <w:vMerge w:val="continue"/>
                  <w:tcBorders>
                    <w:left w:val="single" w:color="auto" w:sz="4" w:space="0"/>
                    <w:bottom w:val="single" w:color="auto" w:sz="4" w:space="0"/>
                    <w:right w:val="single" w:color="auto" w:sz="4" w:space="0"/>
                  </w:tcBorders>
                  <w:shd w:val="clear" w:color="auto" w:fill="auto"/>
                  <w:vAlign w:val="center"/>
                </w:tcPr>
                <w:p w14:paraId="3B73E5FE">
                  <w:pPr>
                    <w:widowControl/>
                    <w:spacing w:line="240" w:lineRule="auto"/>
                    <w:jc w:val="center"/>
                    <w:textAlignment w:val="center"/>
                    <w:rPr>
                      <w:rFonts w:hint="eastAsia"/>
                      <w:color w:val="auto"/>
                      <w:kern w:val="0"/>
                      <w:sz w:val="18"/>
                      <w:szCs w:val="18"/>
                      <w:lang w:val="en-US" w:eastAsia="zh-CN" w:bidi="ar"/>
                    </w:rPr>
                  </w:pPr>
                </w:p>
              </w:tc>
              <w:tc>
                <w:tcPr>
                  <w:tcW w:w="308" w:type="pct"/>
                  <w:vMerge w:val="continue"/>
                  <w:tcBorders>
                    <w:left w:val="single" w:color="auto" w:sz="4" w:space="0"/>
                    <w:bottom w:val="single" w:color="auto" w:sz="4" w:space="0"/>
                    <w:right w:val="single" w:color="auto" w:sz="4" w:space="0"/>
                  </w:tcBorders>
                  <w:shd w:val="clear" w:color="auto" w:fill="auto"/>
                  <w:noWrap/>
                  <w:vAlign w:val="center"/>
                </w:tcPr>
                <w:p w14:paraId="4AB0BB00">
                  <w:pPr>
                    <w:widowControl/>
                    <w:spacing w:line="240" w:lineRule="auto"/>
                    <w:jc w:val="center"/>
                    <w:textAlignment w:val="center"/>
                    <w:rPr>
                      <w:rFonts w:hint="eastAsia"/>
                      <w:color w:val="auto"/>
                      <w:kern w:val="0"/>
                      <w:sz w:val="18"/>
                      <w:szCs w:val="18"/>
                      <w:lang w:val="en-US" w:eastAsia="zh-CN" w:bidi="ar"/>
                    </w:rPr>
                  </w:pPr>
                </w:p>
              </w:tc>
              <w:tc>
                <w:tcPr>
                  <w:tcW w:w="384" w:type="pct"/>
                  <w:vMerge w:val="continue"/>
                  <w:tcBorders>
                    <w:left w:val="single" w:color="auto" w:sz="4" w:space="0"/>
                    <w:bottom w:val="single" w:color="auto" w:sz="4" w:space="0"/>
                    <w:right w:val="single" w:color="auto" w:sz="4" w:space="0"/>
                  </w:tcBorders>
                  <w:shd w:val="clear" w:color="auto" w:fill="auto"/>
                  <w:vAlign w:val="center"/>
                </w:tcPr>
                <w:p w14:paraId="0CE2258E">
                  <w:pPr>
                    <w:widowControl/>
                    <w:spacing w:line="240" w:lineRule="auto"/>
                    <w:jc w:val="center"/>
                    <w:textAlignment w:val="center"/>
                    <w:rPr>
                      <w:rFonts w:hint="eastAsia"/>
                      <w:color w:val="auto"/>
                      <w:kern w:val="0"/>
                      <w:sz w:val="18"/>
                      <w:szCs w:val="18"/>
                      <w:lang w:val="en-US" w:eastAsia="zh-CN" w:bidi="ar"/>
                    </w:rPr>
                  </w:pPr>
                </w:p>
              </w:tc>
              <w:tc>
                <w:tcPr>
                  <w:tcW w:w="269" w:type="pct"/>
                  <w:vMerge w:val="continue"/>
                  <w:tcBorders>
                    <w:left w:val="single" w:color="auto" w:sz="4" w:space="0"/>
                    <w:bottom w:val="single" w:color="auto" w:sz="4" w:space="0"/>
                    <w:right w:val="single" w:color="auto" w:sz="4" w:space="0"/>
                  </w:tcBorders>
                  <w:shd w:val="clear" w:color="auto" w:fill="auto"/>
                  <w:vAlign w:val="center"/>
                </w:tcPr>
                <w:p w14:paraId="122BA402">
                  <w:pPr>
                    <w:widowControl/>
                    <w:spacing w:line="240" w:lineRule="auto"/>
                    <w:jc w:val="center"/>
                    <w:textAlignment w:val="center"/>
                    <w:rPr>
                      <w:rFonts w:hint="eastAsia"/>
                      <w:color w:val="auto"/>
                      <w:kern w:val="0"/>
                      <w:sz w:val="18"/>
                      <w:szCs w:val="18"/>
                      <w:lang w:val="en-US" w:eastAsia="zh-CN" w:bidi="ar"/>
                    </w:rPr>
                  </w:pPr>
                </w:p>
              </w:tc>
              <w:tc>
                <w:tcPr>
                  <w:tcW w:w="42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57EAE6">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0.001</w:t>
                  </w:r>
                </w:p>
              </w:tc>
              <w:tc>
                <w:tcPr>
                  <w:tcW w:w="461" w:type="pct"/>
                  <w:tcBorders>
                    <w:top w:val="single" w:color="auto" w:sz="4" w:space="0"/>
                    <w:left w:val="single" w:color="auto" w:sz="4" w:space="0"/>
                    <w:bottom w:val="single" w:color="auto" w:sz="4" w:space="0"/>
                    <w:right w:val="single" w:color="auto" w:sz="4" w:space="0"/>
                  </w:tcBorders>
                  <w:shd w:val="clear" w:color="auto" w:fill="auto"/>
                  <w:vAlign w:val="center"/>
                </w:tcPr>
                <w:p w14:paraId="4C39E6C5">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1.34</w:t>
                  </w:r>
                </w:p>
              </w:tc>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0B7C73CD">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100</w:t>
                  </w:r>
                </w:p>
              </w:tc>
              <w:tc>
                <w:tcPr>
                  <w:tcW w:w="5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5A281A">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0.0004</w:t>
                  </w:r>
                </w:p>
              </w:tc>
              <w:tc>
                <w:tcPr>
                  <w:tcW w:w="3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DDC116">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w:t>
                  </w:r>
                </w:p>
              </w:tc>
            </w:tr>
          </w:tbl>
          <w:p w14:paraId="093237B7">
            <w:pPr>
              <w:ind w:firstLine="480" w:firstLineChars="200"/>
              <w:jc w:val="center"/>
              <w:rPr>
                <w:rFonts w:hint="eastAsia" w:ascii="黑体" w:hAnsi="黑体" w:eastAsia="黑体"/>
                <w:color w:val="auto"/>
              </w:rPr>
            </w:pPr>
            <w:r>
              <w:rPr>
                <w:rFonts w:ascii="黑体" w:hAnsi="黑体" w:eastAsia="黑体"/>
                <w:color w:val="auto"/>
              </w:rPr>
              <w:t>表</w:t>
            </w:r>
            <w:r>
              <w:rPr>
                <w:rFonts w:eastAsia="黑体"/>
                <w:color w:val="auto"/>
              </w:rPr>
              <w:t>4-</w:t>
            </w:r>
            <w:r>
              <w:rPr>
                <w:rFonts w:hint="eastAsia" w:eastAsia="黑体"/>
                <w:color w:val="auto"/>
              </w:rPr>
              <w:t>1</w:t>
            </w:r>
            <w:r>
              <w:rPr>
                <w:rFonts w:hint="eastAsia" w:eastAsia="黑体"/>
                <w:color w:val="auto"/>
                <w:lang w:val="en-US" w:eastAsia="zh-CN"/>
              </w:rPr>
              <w:t>2</w:t>
            </w:r>
            <w:r>
              <w:rPr>
                <w:rFonts w:ascii="黑体" w:hAnsi="黑体" w:eastAsia="黑体"/>
                <w:color w:val="auto"/>
              </w:rPr>
              <w:t xml:space="preserve">  </w:t>
            </w:r>
            <w:r>
              <w:rPr>
                <w:rFonts w:hint="eastAsia" w:ascii="黑体" w:hAnsi="黑体" w:eastAsia="黑体"/>
                <w:color w:val="auto"/>
                <w:lang w:val="en-US" w:eastAsia="zh-CN"/>
              </w:rPr>
              <w:t>本项目</w:t>
            </w:r>
            <w:r>
              <w:rPr>
                <w:rFonts w:ascii="黑体" w:hAnsi="黑体" w:eastAsia="黑体"/>
                <w:color w:val="auto"/>
              </w:rPr>
              <w:t>废水污染源</w:t>
            </w:r>
            <w:r>
              <w:rPr>
                <w:rFonts w:hint="eastAsia" w:ascii="黑体" w:hAnsi="黑体" w:eastAsia="黑体"/>
                <w:color w:val="auto"/>
              </w:rPr>
              <w:t>参数及监测要求</w:t>
            </w:r>
            <w:r>
              <w:rPr>
                <w:rFonts w:ascii="黑体" w:hAnsi="黑体" w:eastAsia="黑体"/>
                <w:color w:val="auto"/>
              </w:rPr>
              <w:t>一览表</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08" w:type="dxa"/>
                <w:bottom w:w="0" w:type="dxa"/>
                <w:right w:w="108" w:type="dxa"/>
              </w:tblCellMar>
            </w:tblPr>
            <w:tblGrid>
              <w:gridCol w:w="789"/>
              <w:gridCol w:w="609"/>
              <w:gridCol w:w="1006"/>
              <w:gridCol w:w="1238"/>
              <w:gridCol w:w="792"/>
              <w:gridCol w:w="903"/>
              <w:gridCol w:w="680"/>
              <w:gridCol w:w="941"/>
              <w:gridCol w:w="1051"/>
              <w:gridCol w:w="1049"/>
            </w:tblGrid>
            <w:tr w14:paraId="542C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40" w:hRule="atLeast"/>
                <w:jc w:val="center"/>
              </w:trPr>
              <w:tc>
                <w:tcPr>
                  <w:tcW w:w="2010" w:type="pct"/>
                  <w:gridSpan w:val="4"/>
                  <w:shd w:val="clear" w:color="auto" w:fill="auto"/>
                  <w:vAlign w:val="center"/>
                </w:tcPr>
                <w:p w14:paraId="5AD9828B">
                  <w:pPr>
                    <w:spacing w:line="240" w:lineRule="auto"/>
                    <w:jc w:val="center"/>
                    <w:rPr>
                      <w:color w:val="auto"/>
                      <w:sz w:val="18"/>
                      <w:szCs w:val="18"/>
                    </w:rPr>
                  </w:pPr>
                  <w:r>
                    <w:rPr>
                      <w:rFonts w:hint="eastAsia"/>
                      <w:color w:val="auto"/>
                      <w:sz w:val="18"/>
                      <w:szCs w:val="18"/>
                    </w:rPr>
                    <w:t>排放口基本情况</w:t>
                  </w:r>
                </w:p>
              </w:tc>
              <w:tc>
                <w:tcPr>
                  <w:tcW w:w="437" w:type="pct"/>
                  <w:vMerge w:val="restart"/>
                  <w:shd w:val="clear" w:color="auto" w:fill="auto"/>
                  <w:vAlign w:val="center"/>
                </w:tcPr>
                <w:p w14:paraId="738CFCFE">
                  <w:pPr>
                    <w:spacing w:line="240" w:lineRule="auto"/>
                    <w:jc w:val="center"/>
                    <w:rPr>
                      <w:color w:val="auto"/>
                      <w:sz w:val="18"/>
                      <w:szCs w:val="18"/>
                    </w:rPr>
                  </w:pPr>
                  <w:r>
                    <w:rPr>
                      <w:rFonts w:hint="eastAsia"/>
                      <w:color w:val="auto"/>
                      <w:sz w:val="18"/>
                      <w:szCs w:val="18"/>
                    </w:rPr>
                    <w:t>排放方式</w:t>
                  </w:r>
                </w:p>
              </w:tc>
              <w:tc>
                <w:tcPr>
                  <w:tcW w:w="498" w:type="pct"/>
                  <w:vMerge w:val="restart"/>
                  <w:shd w:val="clear" w:color="auto" w:fill="auto"/>
                  <w:vAlign w:val="center"/>
                </w:tcPr>
                <w:p w14:paraId="0E439648">
                  <w:pPr>
                    <w:spacing w:line="240" w:lineRule="auto"/>
                    <w:jc w:val="center"/>
                    <w:rPr>
                      <w:color w:val="auto"/>
                      <w:sz w:val="18"/>
                      <w:szCs w:val="18"/>
                    </w:rPr>
                  </w:pPr>
                  <w:r>
                    <w:rPr>
                      <w:rFonts w:hint="eastAsia"/>
                      <w:color w:val="auto"/>
                      <w:sz w:val="18"/>
                      <w:szCs w:val="18"/>
                    </w:rPr>
                    <w:t>排放去向</w:t>
                  </w:r>
                </w:p>
              </w:tc>
              <w:tc>
                <w:tcPr>
                  <w:tcW w:w="375" w:type="pct"/>
                  <w:vMerge w:val="restart"/>
                  <w:shd w:val="clear" w:color="auto" w:fill="auto"/>
                  <w:vAlign w:val="center"/>
                </w:tcPr>
                <w:p w14:paraId="09D09D19">
                  <w:pPr>
                    <w:spacing w:line="240" w:lineRule="auto"/>
                    <w:jc w:val="center"/>
                    <w:rPr>
                      <w:color w:val="auto"/>
                      <w:sz w:val="18"/>
                      <w:szCs w:val="18"/>
                    </w:rPr>
                  </w:pPr>
                  <w:r>
                    <w:rPr>
                      <w:rFonts w:hint="eastAsia"/>
                      <w:color w:val="auto"/>
                      <w:sz w:val="18"/>
                      <w:szCs w:val="18"/>
                    </w:rPr>
                    <w:t>排放规律</w:t>
                  </w:r>
                </w:p>
              </w:tc>
              <w:tc>
                <w:tcPr>
                  <w:tcW w:w="1678" w:type="pct"/>
                  <w:gridSpan w:val="3"/>
                  <w:shd w:val="clear" w:color="auto" w:fill="auto"/>
                  <w:vAlign w:val="center"/>
                </w:tcPr>
                <w:p w14:paraId="5A71E487">
                  <w:pPr>
                    <w:spacing w:line="240" w:lineRule="auto"/>
                    <w:jc w:val="center"/>
                    <w:rPr>
                      <w:color w:val="auto"/>
                      <w:sz w:val="18"/>
                      <w:szCs w:val="18"/>
                    </w:rPr>
                  </w:pPr>
                  <w:r>
                    <w:rPr>
                      <w:rFonts w:hint="eastAsia"/>
                      <w:color w:val="auto"/>
                      <w:sz w:val="18"/>
                      <w:szCs w:val="18"/>
                    </w:rPr>
                    <w:t>监测要求</w:t>
                  </w:r>
                </w:p>
              </w:tc>
            </w:tr>
            <w:tr w14:paraId="0F21F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40" w:hRule="atLeast"/>
                <w:jc w:val="center"/>
              </w:trPr>
              <w:tc>
                <w:tcPr>
                  <w:tcW w:w="436" w:type="pct"/>
                  <w:shd w:val="clear" w:color="auto" w:fill="auto"/>
                  <w:vAlign w:val="center"/>
                </w:tcPr>
                <w:p w14:paraId="285A8D1F">
                  <w:pPr>
                    <w:spacing w:line="240" w:lineRule="auto"/>
                    <w:jc w:val="center"/>
                    <w:rPr>
                      <w:color w:val="auto"/>
                      <w:sz w:val="18"/>
                      <w:szCs w:val="18"/>
                    </w:rPr>
                  </w:pPr>
                  <w:r>
                    <w:rPr>
                      <w:rFonts w:hint="eastAsia"/>
                      <w:color w:val="auto"/>
                      <w:sz w:val="18"/>
                      <w:szCs w:val="18"/>
                    </w:rPr>
                    <w:t>编号</w:t>
                  </w:r>
                </w:p>
              </w:tc>
              <w:tc>
                <w:tcPr>
                  <w:tcW w:w="336" w:type="pct"/>
                  <w:shd w:val="clear" w:color="auto" w:fill="auto"/>
                  <w:vAlign w:val="center"/>
                </w:tcPr>
                <w:p w14:paraId="014D28C1">
                  <w:pPr>
                    <w:spacing w:line="240" w:lineRule="auto"/>
                    <w:jc w:val="center"/>
                    <w:rPr>
                      <w:color w:val="auto"/>
                      <w:sz w:val="18"/>
                      <w:szCs w:val="18"/>
                    </w:rPr>
                  </w:pPr>
                  <w:r>
                    <w:rPr>
                      <w:rFonts w:hint="eastAsia"/>
                      <w:color w:val="auto"/>
                      <w:sz w:val="18"/>
                      <w:szCs w:val="18"/>
                    </w:rPr>
                    <w:t>名称</w:t>
                  </w:r>
                </w:p>
              </w:tc>
              <w:tc>
                <w:tcPr>
                  <w:tcW w:w="555" w:type="pct"/>
                  <w:shd w:val="clear" w:color="auto" w:fill="auto"/>
                  <w:vAlign w:val="center"/>
                </w:tcPr>
                <w:p w14:paraId="274BC464">
                  <w:pPr>
                    <w:spacing w:line="240" w:lineRule="auto"/>
                    <w:jc w:val="center"/>
                    <w:rPr>
                      <w:color w:val="auto"/>
                      <w:sz w:val="18"/>
                      <w:szCs w:val="18"/>
                    </w:rPr>
                  </w:pPr>
                  <w:r>
                    <w:rPr>
                      <w:rFonts w:hint="eastAsia"/>
                      <w:color w:val="auto"/>
                      <w:sz w:val="18"/>
                      <w:szCs w:val="18"/>
                    </w:rPr>
                    <w:t>类型</w:t>
                  </w:r>
                </w:p>
              </w:tc>
              <w:tc>
                <w:tcPr>
                  <w:tcW w:w="682" w:type="pct"/>
                  <w:shd w:val="clear" w:color="auto" w:fill="auto"/>
                  <w:vAlign w:val="center"/>
                </w:tcPr>
                <w:p w14:paraId="3E3715C3">
                  <w:pPr>
                    <w:spacing w:line="240" w:lineRule="auto"/>
                    <w:jc w:val="center"/>
                    <w:rPr>
                      <w:color w:val="auto"/>
                      <w:sz w:val="18"/>
                      <w:szCs w:val="18"/>
                    </w:rPr>
                  </w:pPr>
                  <w:r>
                    <w:rPr>
                      <w:rFonts w:hint="eastAsia"/>
                      <w:color w:val="auto"/>
                      <w:sz w:val="18"/>
                      <w:szCs w:val="18"/>
                      <w:lang w:val="en-US" w:eastAsia="zh-CN"/>
                    </w:rPr>
                    <w:t>经纬度</w:t>
                  </w:r>
                  <w:r>
                    <w:rPr>
                      <w:rFonts w:hint="eastAsia"/>
                      <w:color w:val="auto"/>
                      <w:sz w:val="18"/>
                      <w:szCs w:val="18"/>
                    </w:rPr>
                    <w:t>坐标（</w:t>
                  </w:r>
                  <w:r>
                    <w:rPr>
                      <w:rFonts w:hint="default" w:ascii="Times New Roman" w:hAnsi="Times New Roman" w:cs="Times New Roman"/>
                      <w:color w:val="auto"/>
                      <w:sz w:val="18"/>
                      <w:szCs w:val="18"/>
                    </w:rPr>
                    <w:t>°</w:t>
                  </w:r>
                  <w:r>
                    <w:rPr>
                      <w:rFonts w:hint="eastAsia"/>
                      <w:color w:val="auto"/>
                      <w:sz w:val="18"/>
                      <w:szCs w:val="18"/>
                    </w:rPr>
                    <w:t>）</w:t>
                  </w:r>
                </w:p>
              </w:tc>
              <w:tc>
                <w:tcPr>
                  <w:tcW w:w="437" w:type="pct"/>
                  <w:vMerge w:val="continue"/>
                  <w:vAlign w:val="center"/>
                </w:tcPr>
                <w:p w14:paraId="7DF18D7C">
                  <w:pPr>
                    <w:spacing w:line="240" w:lineRule="auto"/>
                    <w:jc w:val="center"/>
                    <w:rPr>
                      <w:color w:val="auto"/>
                      <w:sz w:val="18"/>
                      <w:szCs w:val="18"/>
                    </w:rPr>
                  </w:pPr>
                </w:p>
              </w:tc>
              <w:tc>
                <w:tcPr>
                  <w:tcW w:w="498" w:type="pct"/>
                  <w:vMerge w:val="continue"/>
                  <w:vAlign w:val="center"/>
                </w:tcPr>
                <w:p w14:paraId="4AD8FB03">
                  <w:pPr>
                    <w:spacing w:line="240" w:lineRule="auto"/>
                    <w:jc w:val="center"/>
                    <w:rPr>
                      <w:color w:val="auto"/>
                      <w:sz w:val="18"/>
                      <w:szCs w:val="18"/>
                    </w:rPr>
                  </w:pPr>
                </w:p>
              </w:tc>
              <w:tc>
                <w:tcPr>
                  <w:tcW w:w="375" w:type="pct"/>
                  <w:vMerge w:val="continue"/>
                  <w:vAlign w:val="center"/>
                </w:tcPr>
                <w:p w14:paraId="490E976A">
                  <w:pPr>
                    <w:spacing w:line="240" w:lineRule="auto"/>
                    <w:jc w:val="center"/>
                    <w:rPr>
                      <w:color w:val="auto"/>
                      <w:sz w:val="18"/>
                      <w:szCs w:val="18"/>
                    </w:rPr>
                  </w:pPr>
                </w:p>
              </w:tc>
              <w:tc>
                <w:tcPr>
                  <w:tcW w:w="519" w:type="pct"/>
                  <w:shd w:val="clear" w:color="auto" w:fill="auto"/>
                  <w:vAlign w:val="center"/>
                </w:tcPr>
                <w:p w14:paraId="54FBAC82">
                  <w:pPr>
                    <w:spacing w:line="240" w:lineRule="auto"/>
                    <w:jc w:val="center"/>
                    <w:rPr>
                      <w:color w:val="auto"/>
                      <w:sz w:val="18"/>
                      <w:szCs w:val="18"/>
                    </w:rPr>
                  </w:pPr>
                  <w:r>
                    <w:rPr>
                      <w:rFonts w:hint="eastAsia"/>
                      <w:color w:val="auto"/>
                      <w:sz w:val="18"/>
                      <w:szCs w:val="18"/>
                    </w:rPr>
                    <w:t>监测点位</w:t>
                  </w:r>
                </w:p>
              </w:tc>
              <w:tc>
                <w:tcPr>
                  <w:tcW w:w="580" w:type="pct"/>
                  <w:shd w:val="clear" w:color="auto" w:fill="auto"/>
                  <w:vAlign w:val="center"/>
                </w:tcPr>
                <w:p w14:paraId="468CE609">
                  <w:pPr>
                    <w:spacing w:line="240" w:lineRule="auto"/>
                    <w:jc w:val="center"/>
                    <w:rPr>
                      <w:color w:val="auto"/>
                      <w:sz w:val="18"/>
                      <w:szCs w:val="18"/>
                    </w:rPr>
                  </w:pPr>
                  <w:r>
                    <w:rPr>
                      <w:rFonts w:hint="eastAsia"/>
                      <w:color w:val="auto"/>
                      <w:sz w:val="18"/>
                      <w:szCs w:val="18"/>
                    </w:rPr>
                    <w:t>监测因子</w:t>
                  </w:r>
                </w:p>
              </w:tc>
              <w:tc>
                <w:tcPr>
                  <w:tcW w:w="578" w:type="pct"/>
                  <w:shd w:val="clear" w:color="auto" w:fill="auto"/>
                  <w:vAlign w:val="center"/>
                </w:tcPr>
                <w:p w14:paraId="6C259244">
                  <w:pPr>
                    <w:spacing w:line="240" w:lineRule="auto"/>
                    <w:jc w:val="center"/>
                    <w:rPr>
                      <w:color w:val="auto"/>
                      <w:sz w:val="18"/>
                      <w:szCs w:val="18"/>
                    </w:rPr>
                  </w:pPr>
                  <w:r>
                    <w:rPr>
                      <w:rFonts w:hint="eastAsia"/>
                      <w:color w:val="auto"/>
                      <w:sz w:val="18"/>
                      <w:szCs w:val="18"/>
                    </w:rPr>
                    <w:t>监测频次</w:t>
                  </w:r>
                </w:p>
              </w:tc>
            </w:tr>
            <w:tr w14:paraId="6785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1208" w:hRule="atLeast"/>
                <w:jc w:val="center"/>
              </w:trPr>
              <w:tc>
                <w:tcPr>
                  <w:tcW w:w="436" w:type="pct"/>
                  <w:shd w:val="clear" w:color="auto" w:fill="auto"/>
                  <w:vAlign w:val="center"/>
                </w:tcPr>
                <w:p w14:paraId="7AD50576">
                  <w:pPr>
                    <w:spacing w:line="240" w:lineRule="auto"/>
                    <w:jc w:val="center"/>
                    <w:rPr>
                      <w:color w:val="auto"/>
                      <w:sz w:val="18"/>
                      <w:szCs w:val="18"/>
                    </w:rPr>
                  </w:pPr>
                  <w:r>
                    <w:rPr>
                      <w:color w:val="auto"/>
                      <w:sz w:val="18"/>
                      <w:szCs w:val="18"/>
                    </w:rPr>
                    <w:t>DW001</w:t>
                  </w:r>
                </w:p>
              </w:tc>
              <w:tc>
                <w:tcPr>
                  <w:tcW w:w="336" w:type="pct"/>
                  <w:shd w:val="clear" w:color="auto" w:fill="auto"/>
                  <w:vAlign w:val="center"/>
                </w:tcPr>
                <w:p w14:paraId="116EE1EC">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废</w:t>
                  </w:r>
                  <w:r>
                    <w:rPr>
                      <w:rFonts w:hint="eastAsia"/>
                      <w:color w:val="auto"/>
                      <w:sz w:val="18"/>
                      <w:szCs w:val="18"/>
                    </w:rPr>
                    <w:t>水</w:t>
                  </w:r>
                  <w:r>
                    <w:rPr>
                      <w:rFonts w:hint="eastAsia"/>
                      <w:color w:val="auto"/>
                      <w:sz w:val="18"/>
                      <w:szCs w:val="18"/>
                      <w:lang w:val="en-US" w:eastAsia="zh-CN"/>
                    </w:rPr>
                    <w:t>总排口</w:t>
                  </w:r>
                </w:p>
              </w:tc>
              <w:tc>
                <w:tcPr>
                  <w:tcW w:w="555" w:type="pct"/>
                  <w:shd w:val="clear" w:color="auto" w:fill="auto"/>
                  <w:vAlign w:val="center"/>
                </w:tcPr>
                <w:p w14:paraId="0B8AD2C7">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主要排放口</w:t>
                  </w:r>
                </w:p>
              </w:tc>
              <w:tc>
                <w:tcPr>
                  <w:tcW w:w="682" w:type="pct"/>
                  <w:shd w:val="clear" w:color="auto" w:fill="auto"/>
                  <w:vAlign w:val="center"/>
                </w:tcPr>
                <w:p w14:paraId="5EFB7EE7">
                  <w:pPr>
                    <w:spacing w:line="240" w:lineRule="auto"/>
                    <w:jc w:val="center"/>
                    <w:rPr>
                      <w:color w:val="auto"/>
                      <w:sz w:val="18"/>
                      <w:szCs w:val="18"/>
                    </w:rPr>
                  </w:pPr>
                  <w:r>
                    <w:rPr>
                      <w:rFonts w:hint="eastAsia"/>
                      <w:color w:val="auto"/>
                      <w:sz w:val="18"/>
                      <w:szCs w:val="18"/>
                    </w:rPr>
                    <w:t>118.938696</w:t>
                  </w:r>
                  <w:r>
                    <w:rPr>
                      <w:rFonts w:hint="default" w:ascii="Times New Roman" w:hAnsi="Times New Roman" w:cs="Times New Roman"/>
                      <w:color w:val="auto"/>
                      <w:sz w:val="18"/>
                      <w:szCs w:val="18"/>
                    </w:rPr>
                    <w:t>°</w:t>
                  </w:r>
                  <w:r>
                    <w:rPr>
                      <w:rFonts w:hint="eastAsia"/>
                      <w:color w:val="auto"/>
                      <w:sz w:val="18"/>
                      <w:szCs w:val="18"/>
                    </w:rPr>
                    <w:t>，30.605902</w:t>
                  </w:r>
                  <w:r>
                    <w:rPr>
                      <w:rFonts w:hint="default" w:ascii="Times New Roman" w:hAnsi="Times New Roman" w:cs="Times New Roman"/>
                      <w:color w:val="auto"/>
                      <w:sz w:val="18"/>
                      <w:szCs w:val="18"/>
                    </w:rPr>
                    <w:t>°</w:t>
                  </w:r>
                </w:p>
              </w:tc>
              <w:tc>
                <w:tcPr>
                  <w:tcW w:w="437" w:type="pct"/>
                  <w:shd w:val="clear" w:color="auto" w:fill="auto"/>
                  <w:vAlign w:val="center"/>
                </w:tcPr>
                <w:p w14:paraId="231382AF">
                  <w:pPr>
                    <w:spacing w:line="240" w:lineRule="auto"/>
                    <w:jc w:val="center"/>
                    <w:rPr>
                      <w:color w:val="auto"/>
                      <w:sz w:val="18"/>
                      <w:szCs w:val="18"/>
                    </w:rPr>
                  </w:pPr>
                  <w:r>
                    <w:rPr>
                      <w:rFonts w:hint="eastAsia"/>
                      <w:color w:val="auto"/>
                      <w:sz w:val="18"/>
                      <w:szCs w:val="18"/>
                    </w:rPr>
                    <w:t>间接排放</w:t>
                  </w:r>
                </w:p>
              </w:tc>
              <w:tc>
                <w:tcPr>
                  <w:tcW w:w="498" w:type="pct"/>
                  <w:shd w:val="clear" w:color="auto" w:fill="auto"/>
                  <w:vAlign w:val="center"/>
                </w:tcPr>
                <w:p w14:paraId="2E611F2E">
                  <w:pPr>
                    <w:spacing w:line="240" w:lineRule="auto"/>
                    <w:jc w:val="center"/>
                    <w:rPr>
                      <w:rFonts w:hint="eastAsia" w:eastAsia="宋体"/>
                      <w:color w:val="auto"/>
                      <w:sz w:val="18"/>
                      <w:szCs w:val="18"/>
                      <w:lang w:eastAsia="zh-CN"/>
                    </w:rPr>
                  </w:pPr>
                  <w:r>
                    <w:rPr>
                      <w:rFonts w:hint="eastAsia"/>
                      <w:color w:val="auto"/>
                      <w:sz w:val="18"/>
                      <w:szCs w:val="18"/>
                      <w:lang w:eastAsia="zh-CN"/>
                    </w:rPr>
                    <w:t>江南产业集中区第一污水处理厂</w:t>
                  </w:r>
                </w:p>
              </w:tc>
              <w:tc>
                <w:tcPr>
                  <w:tcW w:w="375" w:type="pct"/>
                  <w:shd w:val="clear" w:color="auto" w:fill="auto"/>
                  <w:vAlign w:val="center"/>
                </w:tcPr>
                <w:p w14:paraId="44C72736">
                  <w:pPr>
                    <w:spacing w:line="240" w:lineRule="auto"/>
                    <w:jc w:val="center"/>
                    <w:rPr>
                      <w:color w:val="auto"/>
                      <w:sz w:val="18"/>
                      <w:szCs w:val="18"/>
                    </w:rPr>
                  </w:pPr>
                  <w:r>
                    <w:rPr>
                      <w:rFonts w:hint="eastAsia"/>
                      <w:color w:val="auto"/>
                      <w:sz w:val="18"/>
                      <w:szCs w:val="18"/>
                    </w:rPr>
                    <w:t>间歇排放，无规律</w:t>
                  </w:r>
                </w:p>
              </w:tc>
              <w:tc>
                <w:tcPr>
                  <w:tcW w:w="519" w:type="pct"/>
                  <w:shd w:val="clear" w:color="auto" w:fill="auto"/>
                  <w:vAlign w:val="center"/>
                </w:tcPr>
                <w:p w14:paraId="62CA24AE">
                  <w:pPr>
                    <w:spacing w:line="240" w:lineRule="auto"/>
                    <w:jc w:val="center"/>
                    <w:rPr>
                      <w:color w:val="auto"/>
                      <w:sz w:val="18"/>
                      <w:szCs w:val="18"/>
                    </w:rPr>
                  </w:pPr>
                  <w:r>
                    <w:rPr>
                      <w:rFonts w:hint="eastAsia"/>
                      <w:color w:val="auto"/>
                      <w:sz w:val="18"/>
                      <w:szCs w:val="18"/>
                    </w:rPr>
                    <w:t>生活污水排口</w:t>
                  </w:r>
                </w:p>
              </w:tc>
              <w:tc>
                <w:tcPr>
                  <w:tcW w:w="580" w:type="pct"/>
                  <w:shd w:val="clear" w:color="auto" w:fill="auto"/>
                  <w:vAlign w:val="center"/>
                </w:tcPr>
                <w:p w14:paraId="6A25994A">
                  <w:pPr>
                    <w:spacing w:line="240" w:lineRule="auto"/>
                    <w:jc w:val="center"/>
                    <w:rPr>
                      <w:rFonts w:hint="default" w:eastAsia="宋体"/>
                      <w:color w:val="auto"/>
                      <w:sz w:val="18"/>
                      <w:szCs w:val="18"/>
                      <w:lang w:val="en-US" w:eastAsia="zh-CN"/>
                    </w:rPr>
                  </w:pPr>
                  <w:r>
                    <w:rPr>
                      <w:rFonts w:hint="eastAsia"/>
                      <w:color w:val="auto"/>
                      <w:sz w:val="18"/>
                      <w:szCs w:val="18"/>
                    </w:rPr>
                    <w:t>p</w:t>
                  </w:r>
                  <w:r>
                    <w:rPr>
                      <w:color w:val="auto"/>
                      <w:sz w:val="18"/>
                      <w:szCs w:val="18"/>
                    </w:rPr>
                    <w:t>H</w:t>
                  </w:r>
                  <w:r>
                    <w:rPr>
                      <w:rFonts w:hint="eastAsia"/>
                      <w:color w:val="auto"/>
                      <w:sz w:val="18"/>
                      <w:szCs w:val="18"/>
                    </w:rPr>
                    <w:t>、COD</w:t>
                  </w:r>
                  <w:r>
                    <w:rPr>
                      <w:rFonts w:hint="eastAsia"/>
                      <w:color w:val="auto"/>
                      <w:sz w:val="18"/>
                      <w:szCs w:val="18"/>
                      <w:lang w:eastAsia="zh-CN"/>
                    </w:rPr>
                    <w:t>、</w:t>
                  </w:r>
                  <w:r>
                    <w:rPr>
                      <w:color w:val="auto"/>
                      <w:kern w:val="0"/>
                      <w:sz w:val="18"/>
                      <w:szCs w:val="18"/>
                      <w:lang w:bidi="ar"/>
                    </w:rPr>
                    <w:t>BOD</w:t>
                  </w:r>
                  <w:r>
                    <w:rPr>
                      <w:color w:val="auto"/>
                      <w:kern w:val="0"/>
                      <w:sz w:val="18"/>
                      <w:szCs w:val="18"/>
                      <w:vertAlign w:val="subscript"/>
                      <w:lang w:bidi="ar"/>
                    </w:rPr>
                    <w:t>5</w:t>
                  </w:r>
                  <w:r>
                    <w:rPr>
                      <w:rFonts w:hint="eastAsia"/>
                      <w:color w:val="auto"/>
                      <w:kern w:val="0"/>
                      <w:sz w:val="18"/>
                      <w:szCs w:val="18"/>
                      <w:vertAlign w:val="baseline"/>
                      <w:lang w:eastAsia="zh-CN" w:bidi="ar"/>
                    </w:rPr>
                    <w:t>、</w:t>
                  </w:r>
                  <w:r>
                    <w:rPr>
                      <w:rFonts w:hint="eastAsia"/>
                      <w:color w:val="auto"/>
                      <w:sz w:val="18"/>
                      <w:szCs w:val="18"/>
                    </w:rPr>
                    <w:t>氨氮、S</w:t>
                  </w:r>
                  <w:r>
                    <w:rPr>
                      <w:color w:val="auto"/>
                      <w:sz w:val="18"/>
                      <w:szCs w:val="18"/>
                    </w:rPr>
                    <w:t>S</w:t>
                  </w:r>
                  <w:r>
                    <w:rPr>
                      <w:rFonts w:hint="eastAsia"/>
                      <w:color w:val="auto"/>
                      <w:sz w:val="18"/>
                      <w:szCs w:val="18"/>
                      <w:lang w:eastAsia="zh-CN"/>
                    </w:rPr>
                    <w:t>、</w:t>
                  </w:r>
                  <w:r>
                    <w:rPr>
                      <w:rFonts w:hint="eastAsia"/>
                      <w:color w:val="auto"/>
                      <w:sz w:val="18"/>
                      <w:szCs w:val="18"/>
                      <w:lang w:val="en-US" w:eastAsia="zh-CN"/>
                    </w:rPr>
                    <w:t>动植物油</w:t>
                  </w:r>
                </w:p>
              </w:tc>
              <w:tc>
                <w:tcPr>
                  <w:tcW w:w="578" w:type="pct"/>
                  <w:shd w:val="clear" w:color="auto" w:fill="auto"/>
                  <w:vAlign w:val="center"/>
                </w:tcPr>
                <w:p w14:paraId="46F89188">
                  <w:pPr>
                    <w:spacing w:line="240" w:lineRule="auto"/>
                    <w:jc w:val="center"/>
                    <w:rPr>
                      <w:rFonts w:hint="default" w:eastAsia="宋体"/>
                      <w:color w:val="auto"/>
                      <w:sz w:val="18"/>
                      <w:szCs w:val="18"/>
                      <w:lang w:val="en-US" w:eastAsia="zh-CN"/>
                    </w:rPr>
                  </w:pPr>
                  <w:r>
                    <w:rPr>
                      <w:rFonts w:hint="eastAsia"/>
                      <w:color w:val="auto"/>
                      <w:sz w:val="18"/>
                      <w:szCs w:val="18"/>
                    </w:rPr>
                    <w:t>p</w:t>
                  </w:r>
                  <w:r>
                    <w:rPr>
                      <w:color w:val="auto"/>
                      <w:sz w:val="18"/>
                      <w:szCs w:val="18"/>
                    </w:rPr>
                    <w:t>H</w:t>
                  </w:r>
                  <w:r>
                    <w:rPr>
                      <w:rFonts w:hint="eastAsia"/>
                      <w:color w:val="auto"/>
                      <w:sz w:val="18"/>
                      <w:szCs w:val="18"/>
                    </w:rPr>
                    <w:t>、COD</w:t>
                  </w:r>
                  <w:r>
                    <w:rPr>
                      <w:rFonts w:hint="eastAsia"/>
                      <w:color w:val="auto"/>
                      <w:sz w:val="18"/>
                      <w:szCs w:val="18"/>
                      <w:lang w:val="en-US" w:eastAsia="zh-CN"/>
                    </w:rPr>
                    <w:t>为在线监测，其余因子监测：1</w:t>
                  </w:r>
                  <w:r>
                    <w:rPr>
                      <w:rFonts w:hint="eastAsia"/>
                      <w:color w:val="auto"/>
                      <w:sz w:val="18"/>
                      <w:szCs w:val="18"/>
                    </w:rPr>
                    <w:t>次</w:t>
                  </w:r>
                  <w:r>
                    <w:rPr>
                      <w:rFonts w:hint="eastAsia"/>
                      <w:color w:val="auto"/>
                      <w:sz w:val="18"/>
                      <w:szCs w:val="18"/>
                      <w:lang w:val="en-US" w:eastAsia="zh-CN"/>
                    </w:rPr>
                    <w:t>/月</w:t>
                  </w:r>
                </w:p>
              </w:tc>
            </w:tr>
          </w:tbl>
          <w:p w14:paraId="5BF5D313">
            <w:pPr>
              <w:rPr>
                <w:b/>
                <w:bCs/>
                <w:color w:val="auto"/>
              </w:rPr>
            </w:pPr>
            <w:r>
              <w:rPr>
                <w:b/>
                <w:color w:val="auto"/>
              </w:rPr>
              <w:t>2</w:t>
            </w:r>
            <w:r>
              <w:rPr>
                <w:rFonts w:hint="eastAsia"/>
                <w:b/>
                <w:color w:val="auto"/>
              </w:rPr>
              <w:t>、依托现有</w:t>
            </w:r>
            <w:r>
              <w:rPr>
                <w:rFonts w:hint="eastAsia"/>
                <w:b/>
                <w:bCs/>
                <w:color w:val="auto"/>
              </w:rPr>
              <w:t>废水处理设施可行性分析</w:t>
            </w:r>
          </w:p>
          <w:p w14:paraId="42FCF7FA">
            <w:pPr>
              <w:bidi w:val="0"/>
              <w:ind w:firstLine="480" w:firstLineChars="200"/>
              <w:jc w:val="both"/>
              <w:rPr>
                <w:rFonts w:hint="eastAsia" w:eastAsia="宋体"/>
                <w:color w:val="auto"/>
                <w:kern w:val="0"/>
                <w:szCs w:val="24"/>
                <w:lang w:val="en-US" w:eastAsia="zh-CN"/>
              </w:rPr>
            </w:pPr>
            <w:r>
              <w:rPr>
                <w:rFonts w:hint="eastAsia"/>
                <w:color w:val="auto"/>
              </w:rPr>
              <w:t>本项目新增</w:t>
            </w:r>
            <w:r>
              <w:rPr>
                <w:color w:val="auto"/>
                <w:kern w:val="0"/>
                <w:szCs w:val="24"/>
              </w:rPr>
              <w:t>生活污水</w:t>
            </w:r>
            <w:r>
              <w:rPr>
                <w:rFonts w:hint="eastAsia"/>
                <w:color w:val="auto"/>
                <w:kern w:val="0"/>
                <w:szCs w:val="24"/>
                <w:lang w:val="en-US" w:eastAsia="zh-CN"/>
              </w:rPr>
              <w:t>1.68</w:t>
            </w:r>
            <w:r>
              <w:rPr>
                <w:rFonts w:hint="eastAsia"/>
                <w:color w:val="auto"/>
                <w:kern w:val="0"/>
                <w:szCs w:val="24"/>
              </w:rPr>
              <w:t>t/d</w:t>
            </w:r>
            <w:r>
              <w:rPr>
                <w:rFonts w:hint="eastAsia"/>
                <w:color w:val="auto"/>
                <w:kern w:val="0"/>
                <w:szCs w:val="24"/>
                <w:lang w:eastAsia="zh-CN"/>
              </w:rPr>
              <w:t>、</w:t>
            </w:r>
            <w:r>
              <w:rPr>
                <w:rFonts w:hint="eastAsia"/>
                <w:color w:val="auto"/>
                <w:kern w:val="0"/>
                <w:szCs w:val="24"/>
                <w:lang w:val="en-US" w:eastAsia="zh-CN"/>
              </w:rPr>
              <w:t>食堂废水0.48</w:t>
            </w:r>
            <w:r>
              <w:rPr>
                <w:rFonts w:hint="eastAsia"/>
                <w:color w:val="auto"/>
                <w:kern w:val="0"/>
                <w:szCs w:val="24"/>
              </w:rPr>
              <w:t>t/d</w:t>
            </w:r>
            <w:r>
              <w:rPr>
                <w:rFonts w:hint="eastAsia"/>
                <w:color w:val="auto"/>
                <w:kern w:val="0"/>
                <w:szCs w:val="24"/>
                <w:lang w:eastAsia="zh-CN"/>
              </w:rPr>
              <w:t>，</w:t>
            </w:r>
            <w:r>
              <w:rPr>
                <w:rFonts w:hint="eastAsia"/>
                <w:color w:val="auto"/>
                <w:kern w:val="0"/>
                <w:szCs w:val="24"/>
              </w:rPr>
              <w:t>企业现有项目生活污水排放量</w:t>
            </w:r>
            <w:r>
              <w:rPr>
                <w:rFonts w:hint="eastAsia"/>
                <w:color w:val="auto"/>
                <w:kern w:val="0"/>
                <w:szCs w:val="24"/>
                <w:lang w:val="en-US" w:eastAsia="zh-CN"/>
              </w:rPr>
              <w:t>59.5</w:t>
            </w:r>
            <w:r>
              <w:rPr>
                <w:rFonts w:hint="eastAsia"/>
                <w:color w:val="auto"/>
                <w:kern w:val="0"/>
                <w:szCs w:val="24"/>
              </w:rPr>
              <w:t>t/d</w:t>
            </w:r>
            <w:r>
              <w:rPr>
                <w:rFonts w:hint="eastAsia"/>
                <w:color w:val="auto"/>
                <w:kern w:val="0"/>
                <w:szCs w:val="24"/>
                <w:lang w:eastAsia="zh-CN"/>
              </w:rPr>
              <w:t>；</w:t>
            </w:r>
            <w:r>
              <w:rPr>
                <w:rFonts w:hint="eastAsia"/>
                <w:color w:val="auto"/>
                <w:kern w:val="0"/>
                <w:szCs w:val="24"/>
              </w:rPr>
              <w:t>根据企业提供资料可知，</w:t>
            </w:r>
            <w:r>
              <w:rPr>
                <w:color w:val="auto"/>
                <w:kern w:val="0"/>
                <w:szCs w:val="24"/>
              </w:rPr>
              <w:t>企业化粪池</w:t>
            </w:r>
            <w:r>
              <w:rPr>
                <w:rFonts w:hint="eastAsia"/>
                <w:color w:val="auto"/>
                <w:kern w:val="0"/>
                <w:szCs w:val="24"/>
                <w:lang w:val="en-US" w:eastAsia="zh-CN"/>
              </w:rPr>
              <w:t>+隔油池</w:t>
            </w:r>
            <w:r>
              <w:rPr>
                <w:color w:val="auto"/>
                <w:kern w:val="0"/>
                <w:szCs w:val="24"/>
              </w:rPr>
              <w:t>处理能力为</w:t>
            </w:r>
            <w:r>
              <w:rPr>
                <w:rFonts w:hint="eastAsia"/>
                <w:color w:val="auto"/>
                <w:kern w:val="0"/>
                <w:szCs w:val="24"/>
                <w:lang w:val="en-US" w:eastAsia="zh-CN"/>
              </w:rPr>
              <w:t>150</w:t>
            </w:r>
            <w:r>
              <w:rPr>
                <w:rFonts w:hint="eastAsia"/>
                <w:color w:val="auto"/>
                <w:kern w:val="0"/>
                <w:szCs w:val="24"/>
              </w:rPr>
              <w:t>t</w:t>
            </w:r>
            <w:r>
              <w:rPr>
                <w:color w:val="auto"/>
                <w:kern w:val="0"/>
                <w:szCs w:val="24"/>
              </w:rPr>
              <w:t>/d</w:t>
            </w:r>
            <w:r>
              <w:rPr>
                <w:rFonts w:hint="eastAsia"/>
                <w:color w:val="auto"/>
                <w:kern w:val="0"/>
                <w:szCs w:val="24"/>
                <w:lang w:eastAsia="zh-CN"/>
              </w:rPr>
              <w:t>，</w:t>
            </w:r>
            <w:r>
              <w:rPr>
                <w:color w:val="auto"/>
                <w:kern w:val="0"/>
                <w:szCs w:val="24"/>
              </w:rPr>
              <w:t>本次</w:t>
            </w:r>
            <w:r>
              <w:rPr>
                <w:rFonts w:hint="eastAsia"/>
                <w:color w:val="auto"/>
                <w:kern w:val="0"/>
                <w:szCs w:val="24"/>
                <w:lang w:val="en-US" w:eastAsia="zh-CN"/>
              </w:rPr>
              <w:t>改</w:t>
            </w:r>
            <w:r>
              <w:rPr>
                <w:color w:val="auto"/>
                <w:kern w:val="0"/>
                <w:szCs w:val="24"/>
              </w:rPr>
              <w:t>建后全厂污水总排放量未超过化粪池</w:t>
            </w:r>
            <w:r>
              <w:rPr>
                <w:rFonts w:hint="eastAsia"/>
                <w:color w:val="auto"/>
                <w:kern w:val="0"/>
                <w:szCs w:val="24"/>
                <w:lang w:val="en-US" w:eastAsia="zh-CN"/>
              </w:rPr>
              <w:t>及隔油池</w:t>
            </w:r>
            <w:r>
              <w:rPr>
                <w:color w:val="auto"/>
                <w:kern w:val="0"/>
                <w:szCs w:val="24"/>
              </w:rPr>
              <w:t>设计处理能力</w:t>
            </w:r>
            <w:r>
              <w:rPr>
                <w:rFonts w:hint="eastAsia"/>
                <w:color w:val="auto"/>
                <w:kern w:val="0"/>
                <w:szCs w:val="24"/>
                <w:lang w:eastAsia="zh-CN"/>
              </w:rPr>
              <w:t>，</w:t>
            </w:r>
            <w:r>
              <w:rPr>
                <w:color w:val="auto"/>
                <w:kern w:val="0"/>
                <w:szCs w:val="24"/>
              </w:rPr>
              <w:t>因此，本</w:t>
            </w:r>
            <w:r>
              <w:rPr>
                <w:rFonts w:hint="eastAsia"/>
                <w:color w:val="auto"/>
                <w:kern w:val="0"/>
                <w:szCs w:val="24"/>
                <w:lang w:val="en-US" w:eastAsia="zh-CN"/>
              </w:rPr>
              <w:t>项目</w:t>
            </w:r>
            <w:r>
              <w:rPr>
                <w:color w:val="auto"/>
                <w:kern w:val="0"/>
                <w:szCs w:val="24"/>
              </w:rPr>
              <w:t>新增污水依托现有项目化粪池</w:t>
            </w:r>
            <w:r>
              <w:rPr>
                <w:rFonts w:hint="eastAsia"/>
                <w:color w:val="auto"/>
                <w:kern w:val="0"/>
                <w:szCs w:val="24"/>
                <w:lang w:val="en-US" w:eastAsia="zh-CN"/>
              </w:rPr>
              <w:t>及隔油池</w:t>
            </w:r>
            <w:r>
              <w:rPr>
                <w:color w:val="auto"/>
                <w:kern w:val="0"/>
                <w:szCs w:val="24"/>
              </w:rPr>
              <w:t>可行</w:t>
            </w:r>
            <w:r>
              <w:rPr>
                <w:rFonts w:hint="eastAsia"/>
                <w:color w:val="auto"/>
                <w:kern w:val="0"/>
                <w:szCs w:val="24"/>
                <w:lang w:eastAsia="zh-CN"/>
              </w:rPr>
              <w:t>。</w:t>
            </w:r>
          </w:p>
          <w:p w14:paraId="372311AB">
            <w:pPr>
              <w:bidi w:val="0"/>
              <w:jc w:val="center"/>
              <w:rPr>
                <w:rFonts w:hint="eastAsia" w:ascii="黑体" w:hAnsi="黑体" w:eastAsia="黑体"/>
                <w:color w:val="auto"/>
                <w:szCs w:val="24"/>
              </w:rPr>
            </w:pPr>
            <w:r>
              <w:rPr>
                <w:rFonts w:ascii="黑体" w:hAnsi="黑体" w:eastAsia="黑体"/>
                <w:color w:val="auto"/>
                <w:szCs w:val="24"/>
              </w:rPr>
              <w:t>表</w:t>
            </w:r>
            <w:r>
              <w:rPr>
                <w:rFonts w:hint="eastAsia" w:eastAsia="黑体"/>
                <w:color w:val="auto"/>
                <w:szCs w:val="24"/>
                <w:lang w:val="en-US" w:eastAsia="zh-CN"/>
              </w:rPr>
              <w:t>4</w:t>
            </w:r>
            <w:r>
              <w:rPr>
                <w:rFonts w:eastAsia="黑体"/>
                <w:color w:val="auto"/>
                <w:szCs w:val="24"/>
              </w:rPr>
              <w:t>-</w:t>
            </w:r>
            <w:r>
              <w:rPr>
                <w:rFonts w:hint="eastAsia" w:eastAsia="黑体"/>
                <w:color w:val="auto"/>
                <w:szCs w:val="24"/>
                <w:lang w:val="en-US" w:eastAsia="zh-CN"/>
              </w:rPr>
              <w:t>13</w:t>
            </w:r>
            <w:r>
              <w:rPr>
                <w:rFonts w:ascii="黑体" w:hAnsi="黑体" w:eastAsia="黑体"/>
                <w:color w:val="auto"/>
                <w:szCs w:val="24"/>
              </w:rPr>
              <w:t xml:space="preserve">  </w:t>
            </w:r>
            <w:r>
              <w:rPr>
                <w:rFonts w:hint="eastAsia" w:ascii="黑体" w:hAnsi="黑体" w:eastAsia="黑体"/>
                <w:color w:val="auto"/>
                <w:szCs w:val="24"/>
              </w:rPr>
              <w:t>拟建设项目</w:t>
            </w:r>
            <w:r>
              <w:rPr>
                <w:rFonts w:hint="eastAsia" w:ascii="黑体" w:hAnsi="黑体" w:eastAsia="黑体"/>
                <w:color w:val="auto"/>
                <w:szCs w:val="24"/>
                <w:lang w:val="en-US" w:eastAsia="zh-CN"/>
              </w:rPr>
              <w:t>废水处理与现有依托关系</w:t>
            </w:r>
            <w:r>
              <w:rPr>
                <w:rFonts w:hint="eastAsia" w:ascii="黑体" w:hAnsi="黑体" w:eastAsia="黑体"/>
                <w:color w:val="auto"/>
                <w:szCs w:val="24"/>
              </w:rPr>
              <w:t>表</w:t>
            </w:r>
          </w:p>
          <w:tbl>
            <w:tblPr>
              <w:tblStyle w:val="69"/>
              <w:tblW w:w="5000" w:type="pct"/>
              <w:tblInd w:w="0" w:type="dxa"/>
              <w:tblLayout w:type="fixed"/>
              <w:tblCellMar>
                <w:top w:w="0" w:type="dxa"/>
                <w:left w:w="108" w:type="dxa"/>
                <w:bottom w:w="0" w:type="dxa"/>
                <w:right w:w="108" w:type="dxa"/>
              </w:tblCellMar>
            </w:tblPr>
            <w:tblGrid>
              <w:gridCol w:w="702"/>
              <w:gridCol w:w="1136"/>
              <w:gridCol w:w="1410"/>
              <w:gridCol w:w="2990"/>
              <w:gridCol w:w="2188"/>
              <w:gridCol w:w="642"/>
            </w:tblGrid>
            <w:tr w14:paraId="7A77D7A1">
              <w:trPr>
                <w:trHeight w:val="439" w:hRule="atLeast"/>
              </w:trPr>
              <w:tc>
                <w:tcPr>
                  <w:tcW w:w="387" w:type="pct"/>
                  <w:tcBorders>
                    <w:top w:val="single" w:color="000000" w:sz="4" w:space="0"/>
                    <w:left w:val="single" w:color="000000" w:sz="4" w:space="0"/>
                    <w:bottom w:val="single" w:color="auto" w:sz="4" w:space="0"/>
                    <w:right w:val="single" w:color="000000" w:sz="4" w:space="0"/>
                  </w:tcBorders>
                  <w:shd w:val="clear" w:color="auto" w:fill="auto"/>
                  <w:vAlign w:val="center"/>
                </w:tcPr>
                <w:p w14:paraId="519113F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工程类别</w:t>
                  </w:r>
                </w:p>
              </w:tc>
              <w:tc>
                <w:tcPr>
                  <w:tcW w:w="626" w:type="pct"/>
                  <w:tcBorders>
                    <w:top w:val="single" w:color="000000" w:sz="4" w:space="0"/>
                    <w:left w:val="single" w:color="000000" w:sz="4" w:space="0"/>
                    <w:bottom w:val="single" w:color="auto" w:sz="4" w:space="0"/>
                    <w:right w:val="single" w:color="000000" w:sz="4" w:space="0"/>
                  </w:tcBorders>
                  <w:shd w:val="clear" w:color="auto" w:fill="auto"/>
                  <w:vAlign w:val="center"/>
                </w:tcPr>
                <w:p w14:paraId="02BB07F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单项工程名称</w:t>
                  </w:r>
                </w:p>
              </w:tc>
              <w:tc>
                <w:tcPr>
                  <w:tcW w:w="777" w:type="pct"/>
                  <w:tcBorders>
                    <w:top w:val="single" w:color="000000" w:sz="4" w:space="0"/>
                    <w:left w:val="single" w:color="000000" w:sz="4" w:space="0"/>
                    <w:right w:val="single" w:color="000000" w:sz="4" w:space="0"/>
                  </w:tcBorders>
                  <w:shd w:val="clear" w:color="auto" w:fill="auto"/>
                  <w:vAlign w:val="center"/>
                </w:tcPr>
                <w:p w14:paraId="01210E0F">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现有设计规模</w:t>
                  </w:r>
                </w:p>
              </w:tc>
              <w:tc>
                <w:tcPr>
                  <w:tcW w:w="1648" w:type="pct"/>
                  <w:tcBorders>
                    <w:top w:val="single" w:color="000000" w:sz="4" w:space="0"/>
                    <w:left w:val="single" w:color="000000" w:sz="4" w:space="0"/>
                    <w:right w:val="single" w:color="000000" w:sz="4" w:space="0"/>
                  </w:tcBorders>
                  <w:shd w:val="clear" w:color="auto" w:fill="auto"/>
                  <w:vAlign w:val="center"/>
                </w:tcPr>
                <w:p w14:paraId="6D9419EC">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现有使用规模及剩余规模</w:t>
                  </w:r>
                </w:p>
              </w:tc>
              <w:tc>
                <w:tcPr>
                  <w:tcW w:w="1206" w:type="pct"/>
                  <w:tcBorders>
                    <w:top w:val="single" w:color="000000" w:sz="4" w:space="0"/>
                    <w:left w:val="single" w:color="000000" w:sz="4" w:space="0"/>
                    <w:right w:val="single" w:color="000000" w:sz="4" w:space="0"/>
                  </w:tcBorders>
                  <w:shd w:val="clear" w:color="auto" w:fill="auto"/>
                  <w:vAlign w:val="center"/>
                </w:tcPr>
                <w:p w14:paraId="25DD42BF">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本次改建规模</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08A7F">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依托关系</w:t>
                  </w:r>
                </w:p>
              </w:tc>
            </w:tr>
            <w:tr w14:paraId="64D15339">
              <w:tblPrEx>
                <w:tblCellMar>
                  <w:top w:w="0" w:type="dxa"/>
                  <w:left w:w="108" w:type="dxa"/>
                  <w:bottom w:w="0" w:type="dxa"/>
                  <w:right w:w="108" w:type="dxa"/>
                </w:tblCellMar>
              </w:tblPrEx>
              <w:trPr>
                <w:trHeight w:val="340" w:hRule="atLeast"/>
              </w:trPr>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14:paraId="42B54A49">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kern w:val="0"/>
                      <w:sz w:val="18"/>
                      <w:szCs w:val="18"/>
                      <w:lang w:val="en-US" w:eastAsia="zh-CN" w:bidi="ar"/>
                    </w:rPr>
                    <w:t>生活污水处理</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14:paraId="5CCD2202">
                  <w:pPr>
                    <w:widowControl/>
                    <w:spacing w:line="240" w:lineRule="auto"/>
                    <w:jc w:val="center"/>
                    <w:textAlignment w:val="center"/>
                    <w:rPr>
                      <w:rFonts w:cs="宋体"/>
                      <w:color w:val="auto"/>
                      <w:sz w:val="18"/>
                      <w:szCs w:val="18"/>
                    </w:rPr>
                  </w:pPr>
                  <w:r>
                    <w:rPr>
                      <w:rFonts w:hint="eastAsia" w:cs="宋体"/>
                      <w:color w:val="auto"/>
                      <w:kern w:val="0"/>
                      <w:sz w:val="18"/>
                      <w:szCs w:val="18"/>
                      <w:lang w:val="en-US" w:eastAsia="zh-CN" w:bidi="ar"/>
                    </w:rPr>
                    <w:t>化粪池、隔油池</w:t>
                  </w:r>
                </w:p>
              </w:tc>
              <w:tc>
                <w:tcPr>
                  <w:tcW w:w="777" w:type="pct"/>
                  <w:tcBorders>
                    <w:top w:val="single" w:color="000000" w:sz="4" w:space="0"/>
                    <w:left w:val="single" w:color="auto" w:sz="4" w:space="0"/>
                    <w:bottom w:val="single" w:color="000000" w:sz="4" w:space="0"/>
                    <w:right w:val="single" w:color="000000" w:sz="4" w:space="0"/>
                  </w:tcBorders>
                  <w:shd w:val="clear" w:color="auto" w:fill="auto"/>
                  <w:vAlign w:val="center"/>
                </w:tcPr>
                <w:p w14:paraId="626C02C2">
                  <w:pPr>
                    <w:widowControl/>
                    <w:spacing w:line="240" w:lineRule="auto"/>
                    <w:jc w:val="center"/>
                    <w:textAlignment w:val="center"/>
                    <w:rPr>
                      <w:rFonts w:cs="宋体"/>
                      <w:color w:val="auto"/>
                      <w:sz w:val="18"/>
                      <w:szCs w:val="18"/>
                    </w:rPr>
                  </w:pPr>
                  <w:r>
                    <w:rPr>
                      <w:rFonts w:hint="eastAsia" w:cs="宋体"/>
                      <w:color w:val="auto"/>
                      <w:kern w:val="0"/>
                      <w:sz w:val="18"/>
                      <w:szCs w:val="18"/>
                      <w:lang w:val="en-US" w:eastAsia="zh-CN" w:bidi="ar"/>
                    </w:rPr>
                    <w:t>150t/d</w:t>
                  </w:r>
                </w:p>
              </w:tc>
              <w:tc>
                <w:tcPr>
                  <w:tcW w:w="1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6DC2">
                  <w:pPr>
                    <w:widowControl/>
                    <w:spacing w:line="240" w:lineRule="auto"/>
                    <w:jc w:val="center"/>
                    <w:textAlignment w:val="center"/>
                    <w:rPr>
                      <w:rFonts w:hint="default" w:eastAsia="宋体" w:cs="宋体"/>
                      <w:color w:val="auto"/>
                      <w:kern w:val="0"/>
                      <w:sz w:val="18"/>
                      <w:szCs w:val="18"/>
                      <w:lang w:val="en-US" w:eastAsia="zh-CN" w:bidi="ar"/>
                    </w:rPr>
                  </w:pPr>
                  <w:r>
                    <w:rPr>
                      <w:rFonts w:hint="default" w:eastAsia="宋体" w:cs="宋体"/>
                      <w:color w:val="auto"/>
                      <w:kern w:val="0"/>
                      <w:sz w:val="18"/>
                      <w:szCs w:val="18"/>
                      <w:lang w:val="en-US" w:eastAsia="zh-CN" w:bidi="ar"/>
                    </w:rPr>
                    <w:t>现有项目生活污水排放量137.2t/d，剩余12.8t/d。</w:t>
                  </w:r>
                </w:p>
              </w:tc>
              <w:tc>
                <w:tcPr>
                  <w:tcW w:w="12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C2D86">
                  <w:pPr>
                    <w:widowControl/>
                    <w:spacing w:line="240" w:lineRule="auto"/>
                    <w:jc w:val="center"/>
                    <w:textAlignment w:val="center"/>
                    <w:rPr>
                      <w:rFonts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本项目</w:t>
                  </w:r>
                  <w:r>
                    <w:rPr>
                      <w:rFonts w:hint="eastAsia" w:cs="宋体"/>
                      <w:color w:val="auto"/>
                      <w:kern w:val="0"/>
                      <w:sz w:val="18"/>
                      <w:szCs w:val="18"/>
                      <w:lang w:val="en-US" w:eastAsia="zh-CN" w:bidi="ar"/>
                    </w:rPr>
                    <w:t>生活污水、食堂废水排放量2.16</w:t>
                  </w:r>
                  <w:r>
                    <w:rPr>
                      <w:rFonts w:hint="eastAsia" w:cs="宋体"/>
                      <w:color w:val="auto"/>
                      <w:kern w:val="0"/>
                      <w:sz w:val="18"/>
                      <w:szCs w:val="18"/>
                      <w:lang w:bidi="ar"/>
                    </w:rPr>
                    <w:t>t/d。</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920EE">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val="en-US" w:eastAsia="zh-CN" w:bidi="ar"/>
                    </w:rPr>
                    <w:t>依托可行</w:t>
                  </w:r>
                </w:p>
              </w:tc>
            </w:tr>
          </w:tbl>
          <w:p w14:paraId="0DDA184C">
            <w:pPr>
              <w:widowControl/>
              <w:ind w:firstLine="480" w:firstLineChars="200"/>
              <w:rPr>
                <w:color w:val="auto"/>
              </w:rPr>
            </w:pPr>
            <w:r>
              <w:rPr>
                <w:rFonts w:hint="eastAsia"/>
                <w:color w:val="auto"/>
              </w:rPr>
              <w:t>本项目主要排放废水为生活污水，经化粪池处理后排放至</w:t>
            </w:r>
            <w:r>
              <w:rPr>
                <w:rFonts w:hint="eastAsia"/>
                <w:color w:val="auto"/>
                <w:lang w:eastAsia="zh-CN"/>
              </w:rPr>
              <w:t>江南产业集中区第一污水处理厂</w:t>
            </w:r>
            <w:r>
              <w:rPr>
                <w:rFonts w:hint="eastAsia"/>
                <w:color w:val="auto"/>
              </w:rPr>
              <w:t>，达到出水标准后排入</w:t>
            </w:r>
            <w:r>
              <w:rPr>
                <w:rFonts w:hint="eastAsia"/>
                <w:color w:val="auto"/>
                <w:lang w:val="en-US" w:eastAsia="zh-CN"/>
              </w:rPr>
              <w:t>九华</w:t>
            </w:r>
            <w:r>
              <w:rPr>
                <w:rFonts w:hint="eastAsia"/>
                <w:color w:val="auto"/>
              </w:rPr>
              <w:t>河，</w:t>
            </w:r>
            <w:r>
              <w:rPr>
                <w:rFonts w:cs="仿宋_GB2312"/>
                <w:color w:val="auto"/>
                <w:kern w:val="0"/>
                <w:szCs w:val="24"/>
                <w:lang w:bidi="ar"/>
              </w:rPr>
              <w:t>出水标准为</w:t>
            </w:r>
            <w:r>
              <w:rPr>
                <w:color w:val="auto"/>
              </w:rPr>
              <w:t>《城镇污水处理厂污染物排放标准》（GB18918-2002）一级A标准</w:t>
            </w:r>
            <w:r>
              <w:rPr>
                <w:rFonts w:cs="仿宋_GB2312"/>
                <w:color w:val="auto"/>
                <w:kern w:val="0"/>
                <w:szCs w:val="24"/>
                <w:lang w:bidi="ar"/>
              </w:rPr>
              <w:t>。</w:t>
            </w:r>
            <w:r>
              <w:rPr>
                <w:rFonts w:hint="eastAsia" w:cs="仿宋_GB2312"/>
                <w:color w:val="auto"/>
                <w:kern w:val="0"/>
                <w:szCs w:val="24"/>
                <w:lang w:bidi="ar"/>
              </w:rPr>
              <w:t>本</w:t>
            </w:r>
            <w:r>
              <w:rPr>
                <w:rFonts w:hint="eastAsia"/>
                <w:color w:val="auto"/>
              </w:rPr>
              <w:t>项目废水可达标排放，废水对区域地表水环境影响较小。</w:t>
            </w:r>
          </w:p>
          <w:p w14:paraId="44A9128E">
            <w:pPr>
              <w:pStyle w:val="161"/>
              <w:spacing w:line="360" w:lineRule="auto"/>
              <w:jc w:val="both"/>
              <w:rPr>
                <w:rFonts w:ascii="Times New Roman"/>
                <w:b/>
                <w:color w:val="auto"/>
                <w:sz w:val="24"/>
              </w:rPr>
            </w:pPr>
            <w:r>
              <w:rPr>
                <w:rFonts w:hint="eastAsia" w:ascii="Times New Roman"/>
                <w:b/>
                <w:color w:val="auto"/>
                <w:sz w:val="24"/>
              </w:rPr>
              <w:t xml:space="preserve">3、排放口基本情况 </w:t>
            </w:r>
          </w:p>
          <w:p w14:paraId="1CE77CB0">
            <w:pPr>
              <w:adjustRightInd w:val="0"/>
              <w:snapToGrid w:val="0"/>
              <w:ind w:firstLine="480" w:firstLineChars="200"/>
              <w:rPr>
                <w:color w:val="auto"/>
              </w:rPr>
            </w:pPr>
            <w:r>
              <w:rPr>
                <w:rFonts w:hint="eastAsia"/>
                <w:color w:val="auto"/>
              </w:rPr>
              <w:t>企业全厂区设置一个</w:t>
            </w:r>
            <w:r>
              <w:rPr>
                <w:rFonts w:hint="eastAsia"/>
                <w:color w:val="auto"/>
                <w:lang w:val="en-US" w:eastAsia="zh-CN"/>
              </w:rPr>
              <w:t>废水</w:t>
            </w:r>
            <w:r>
              <w:rPr>
                <w:rFonts w:hint="eastAsia"/>
                <w:color w:val="auto"/>
              </w:rPr>
              <w:t>总排口</w:t>
            </w:r>
            <w:r>
              <w:rPr>
                <w:rFonts w:hint="eastAsia"/>
                <w:color w:val="auto"/>
                <w:lang w:eastAsia="zh-CN"/>
              </w:rPr>
              <w:t>（</w:t>
            </w:r>
            <w:r>
              <w:rPr>
                <w:rFonts w:hint="eastAsia"/>
                <w:color w:val="auto"/>
                <w:lang w:val="en-US" w:eastAsia="zh-CN"/>
              </w:rPr>
              <w:t>DW001</w:t>
            </w:r>
            <w:r>
              <w:rPr>
                <w:rFonts w:hint="eastAsia"/>
                <w:color w:val="auto"/>
                <w:lang w:eastAsia="zh-CN"/>
              </w:rPr>
              <w:t>）</w:t>
            </w:r>
            <w:r>
              <w:rPr>
                <w:rFonts w:hint="eastAsia"/>
                <w:color w:val="auto"/>
              </w:rPr>
              <w:t>，</w:t>
            </w:r>
            <w:r>
              <w:rPr>
                <w:rFonts w:hint="eastAsia"/>
                <w:color w:val="auto"/>
                <w:lang w:val="en-US" w:eastAsia="zh-CN"/>
              </w:rPr>
              <w:t>本项目依托现有废水</w:t>
            </w:r>
            <w:r>
              <w:rPr>
                <w:rFonts w:hint="eastAsia"/>
                <w:color w:val="auto"/>
              </w:rPr>
              <w:t>总排口</w:t>
            </w:r>
            <w:r>
              <w:rPr>
                <w:rFonts w:hint="eastAsia"/>
                <w:color w:val="auto"/>
                <w:lang w:eastAsia="zh-CN"/>
              </w:rPr>
              <w:t>，</w:t>
            </w:r>
            <w:r>
              <w:rPr>
                <w:rFonts w:hint="eastAsia"/>
                <w:color w:val="auto"/>
                <w:lang w:val="en-US" w:eastAsia="zh-CN"/>
              </w:rPr>
              <w:t>已</w:t>
            </w:r>
            <w:r>
              <w:rPr>
                <w:rFonts w:hint="eastAsia"/>
                <w:color w:val="auto"/>
              </w:rPr>
              <w:t>规范化设置，接入</w:t>
            </w:r>
            <w:r>
              <w:rPr>
                <w:rFonts w:hint="eastAsia"/>
                <w:color w:val="auto"/>
                <w:kern w:val="0"/>
                <w:lang w:eastAsia="zh-CN"/>
              </w:rPr>
              <w:t>江南产业集中区</w:t>
            </w:r>
            <w:r>
              <w:rPr>
                <w:rFonts w:hint="eastAsia"/>
                <w:color w:val="auto"/>
              </w:rPr>
              <w:t>污水管网，</w:t>
            </w:r>
            <w:r>
              <w:rPr>
                <w:rFonts w:hint="eastAsia"/>
                <w:color w:val="auto"/>
                <w:lang w:val="en-US" w:eastAsia="zh-CN"/>
              </w:rPr>
              <w:t>废水</w:t>
            </w:r>
            <w:r>
              <w:rPr>
                <w:rFonts w:hint="eastAsia"/>
                <w:color w:val="auto"/>
              </w:rPr>
              <w:t>总排口</w:t>
            </w:r>
            <w:r>
              <w:rPr>
                <w:rFonts w:hint="eastAsia"/>
                <w:color w:val="auto"/>
                <w:lang w:val="en-US" w:eastAsia="zh-CN"/>
              </w:rPr>
              <w:t>已</w:t>
            </w:r>
            <w:r>
              <w:rPr>
                <w:rFonts w:hint="eastAsia"/>
                <w:color w:val="auto"/>
              </w:rPr>
              <w:t>设置专门的废水采样口，并设立明显的标志牌。</w:t>
            </w:r>
          </w:p>
          <w:p w14:paraId="2C2141DD">
            <w:pPr>
              <w:adjustRightInd w:val="0"/>
              <w:snapToGrid w:val="0"/>
              <w:rPr>
                <w:color w:val="auto"/>
              </w:rPr>
            </w:pPr>
            <w:r>
              <w:rPr>
                <w:b/>
                <w:bCs/>
                <w:color w:val="auto"/>
              </w:rPr>
              <w:t>4、</w:t>
            </w:r>
            <w:r>
              <w:rPr>
                <w:rFonts w:hint="eastAsia"/>
                <w:b/>
                <w:bCs/>
                <w:color w:val="auto"/>
              </w:rPr>
              <w:t>依托污水处理厂</w:t>
            </w:r>
            <w:r>
              <w:rPr>
                <w:b/>
                <w:color w:val="auto"/>
              </w:rPr>
              <w:t>可行性分析</w:t>
            </w:r>
          </w:p>
          <w:p w14:paraId="1FDD979A">
            <w:pPr>
              <w:widowControl/>
              <w:ind w:firstLine="480" w:firstLineChars="200"/>
              <w:rPr>
                <w:rFonts w:hint="eastAsia"/>
                <w:color w:val="auto"/>
              </w:rPr>
            </w:pPr>
            <w:r>
              <w:rPr>
                <w:rFonts w:hint="eastAsia"/>
                <w:color w:val="auto"/>
                <w:lang w:val="en-US" w:eastAsia="zh-CN"/>
              </w:rPr>
              <w:t>1、</w:t>
            </w:r>
            <w:r>
              <w:rPr>
                <w:rFonts w:hint="eastAsia"/>
                <w:color w:val="auto"/>
              </w:rPr>
              <w:t>皖江江南新兴产业集中区第一污水处理厂基本情况</w:t>
            </w:r>
          </w:p>
          <w:p w14:paraId="07CA0D10">
            <w:pPr>
              <w:widowControl/>
              <w:ind w:firstLine="480" w:firstLineChars="200"/>
              <w:rPr>
                <w:color w:val="auto"/>
              </w:rPr>
            </w:pPr>
            <w:r>
              <w:rPr>
                <w:rFonts w:hint="eastAsia"/>
                <w:color w:val="auto"/>
              </w:rPr>
              <w:t>江南产业集中区第一污水处理厂位于江南产业集中区起步区，九华河东岸、龙腾大道南侧。根据集中区总体规划，第一污水处理厂规划远期总建设规模20万m</w:t>
            </w:r>
            <w:r>
              <w:rPr>
                <w:rFonts w:hint="eastAsia"/>
                <w:color w:val="auto"/>
                <w:vertAlign w:val="superscript"/>
              </w:rPr>
              <w:t>3</w:t>
            </w:r>
            <w:r>
              <w:rPr>
                <w:rFonts w:hint="eastAsia"/>
                <w:color w:val="auto"/>
              </w:rPr>
              <w:t>/d，需分期建设，总用地规模270.11亩，其中一期工程建设规模5万m</w:t>
            </w:r>
            <w:r>
              <w:rPr>
                <w:rFonts w:hint="eastAsia"/>
                <w:color w:val="auto"/>
                <w:vertAlign w:val="superscript"/>
              </w:rPr>
              <w:t>3</w:t>
            </w:r>
            <w:r>
              <w:rPr>
                <w:rFonts w:hint="eastAsia"/>
                <w:color w:val="auto"/>
              </w:rPr>
              <w:t>/d，分为两组，每组建设规模2.5万m</w:t>
            </w:r>
            <w:r>
              <w:rPr>
                <w:rFonts w:hint="eastAsia"/>
                <w:color w:val="auto"/>
                <w:vertAlign w:val="superscript"/>
              </w:rPr>
              <w:t>3</w:t>
            </w:r>
            <w:r>
              <w:rPr>
                <w:rFonts w:hint="eastAsia"/>
                <w:color w:val="auto"/>
              </w:rPr>
              <w:t>/d。一期工程已基本完成所有土建工程，目前一期一组2.5万m</w:t>
            </w:r>
            <w:r>
              <w:rPr>
                <w:rFonts w:hint="eastAsia"/>
                <w:color w:val="auto"/>
                <w:vertAlign w:val="superscript"/>
              </w:rPr>
              <w:t>3</w:t>
            </w:r>
            <w:r>
              <w:rPr>
                <w:rFonts w:hint="eastAsia"/>
                <w:color w:val="auto"/>
              </w:rPr>
              <w:t>/d设施已投入运行。第一污水处理厂采用“预处理+水解酸化池+改良型A2/O生化池+二沉池+BAF池+混合絮凝沉淀池+精密过滤池+紫外线消毒”工艺。污泥处理采用电渗透污泥干化技术工艺，臭气处理采用生物滤池工艺。尾水排放执行《城镇污水处理厂污染物排放标准》（GB18918-2002）中一级A标准，经九华河汇入长江。服务范围为江南集中区规划范围</w:t>
            </w:r>
            <w:r>
              <w:rPr>
                <w:rFonts w:hint="eastAsia"/>
                <w:color w:val="auto"/>
                <w:lang w:eastAsia="zh-CN"/>
              </w:rPr>
              <w:t>，</w:t>
            </w:r>
            <w:r>
              <w:rPr>
                <w:rFonts w:hint="eastAsia"/>
                <w:color w:val="auto"/>
              </w:rPr>
              <w:t>江南产业集中区第一污水处理厂</w:t>
            </w:r>
            <w:r>
              <w:rPr>
                <w:rFonts w:hint="eastAsia"/>
                <w:color w:val="auto"/>
                <w:lang w:eastAsia="zh-CN"/>
              </w:rPr>
              <w:t>工艺流程图</w:t>
            </w:r>
            <w:r>
              <w:rPr>
                <w:rFonts w:hint="eastAsia"/>
                <w:color w:val="auto"/>
                <w:lang w:val="en-US" w:eastAsia="zh-CN"/>
              </w:rPr>
              <w:t>如下</w:t>
            </w:r>
            <w:r>
              <w:rPr>
                <w:rFonts w:hint="eastAsia"/>
                <w:color w:val="auto"/>
              </w:rPr>
              <w:t>。</w:t>
            </w:r>
          </w:p>
          <w:p w14:paraId="0723EB17">
            <w:pPr>
              <w:jc w:val="center"/>
              <w:rPr>
                <w:rFonts w:eastAsia="黑体"/>
                <w:color w:val="auto"/>
              </w:rPr>
            </w:pPr>
            <w:r>
              <w:rPr>
                <w:color w:val="auto"/>
              </w:rPr>
              <w:drawing>
                <wp:inline distT="0" distB="0" distL="114300" distR="114300">
                  <wp:extent cx="4342130" cy="2589530"/>
                  <wp:effectExtent l="0" t="0" r="1270" b="127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35"/>
                          <a:stretch>
                            <a:fillRect/>
                          </a:stretch>
                        </pic:blipFill>
                        <pic:spPr>
                          <a:xfrm>
                            <a:off x="0" y="0"/>
                            <a:ext cx="4342130" cy="2589530"/>
                          </a:xfrm>
                          <a:prstGeom prst="rect">
                            <a:avLst/>
                          </a:prstGeom>
                          <a:noFill/>
                          <a:ln>
                            <a:noFill/>
                          </a:ln>
                        </pic:spPr>
                      </pic:pic>
                    </a:graphicData>
                  </a:graphic>
                </wp:inline>
              </w:drawing>
            </w:r>
          </w:p>
          <w:p w14:paraId="0665F4D0">
            <w:pPr>
              <w:jc w:val="center"/>
              <w:rPr>
                <w:color w:val="auto"/>
              </w:rPr>
            </w:pPr>
            <w:r>
              <w:rPr>
                <w:rFonts w:eastAsia="黑体"/>
                <w:color w:val="auto"/>
              </w:rPr>
              <w:t>图</w:t>
            </w:r>
            <w:r>
              <w:rPr>
                <w:rFonts w:hint="eastAsia" w:eastAsia="黑体"/>
                <w:color w:val="auto"/>
                <w:lang w:val="en-US" w:eastAsia="zh-CN"/>
              </w:rPr>
              <w:t>4</w:t>
            </w:r>
            <w:r>
              <w:rPr>
                <w:rFonts w:eastAsia="黑体"/>
                <w:color w:val="auto"/>
              </w:rPr>
              <w:t>-</w:t>
            </w:r>
            <w:r>
              <w:rPr>
                <w:rFonts w:hint="eastAsia" w:eastAsia="黑体"/>
                <w:color w:val="auto"/>
                <w:lang w:val="en-US" w:eastAsia="zh-CN"/>
              </w:rPr>
              <w:t>3</w:t>
            </w:r>
            <w:r>
              <w:rPr>
                <w:rFonts w:hint="eastAsia" w:eastAsia="黑体"/>
                <w:color w:val="auto"/>
              </w:rPr>
              <w:t xml:space="preserve">  污水处理厂工艺流程图</w:t>
            </w:r>
          </w:p>
          <w:p w14:paraId="0C203B6A">
            <w:pPr>
              <w:ind w:firstLine="480" w:firstLineChars="200"/>
              <w:rPr>
                <w:color w:val="auto"/>
              </w:rPr>
            </w:pPr>
            <w:r>
              <w:rPr>
                <w:rFonts w:hint="eastAsia"/>
                <w:color w:val="auto"/>
              </w:rPr>
              <w:t>2、</w:t>
            </w:r>
            <w:r>
              <w:rPr>
                <w:rFonts w:hint="eastAsia"/>
                <w:color w:val="auto"/>
                <w:lang w:val="en-US" w:eastAsia="zh-CN"/>
              </w:rPr>
              <w:t>纳管</w:t>
            </w:r>
            <w:r>
              <w:rPr>
                <w:color w:val="auto"/>
              </w:rPr>
              <w:t>可行性分析</w:t>
            </w:r>
          </w:p>
          <w:p w14:paraId="04AA8827">
            <w:pPr>
              <w:widowControl/>
              <w:ind w:firstLine="480" w:firstLineChars="200"/>
              <w:jc w:val="left"/>
              <w:rPr>
                <w:rFonts w:hint="eastAsia"/>
                <w:color w:val="auto"/>
              </w:rPr>
            </w:pPr>
            <w:r>
              <w:rPr>
                <w:rFonts w:hint="eastAsia"/>
                <w:color w:val="auto"/>
              </w:rPr>
              <w:t>①水质方面</w:t>
            </w:r>
          </w:p>
          <w:p w14:paraId="0761DA5B">
            <w:pPr>
              <w:widowControl/>
              <w:ind w:firstLine="480" w:firstLineChars="200"/>
              <w:jc w:val="left"/>
              <w:rPr>
                <w:rFonts w:hint="eastAsia"/>
                <w:color w:val="auto"/>
              </w:rPr>
            </w:pPr>
            <w:r>
              <w:rPr>
                <w:rFonts w:hint="eastAsia"/>
                <w:color w:val="auto"/>
              </w:rPr>
              <w:t>江南产业集中区第一污水处理厂承担规划范围内居民生活污水及工业园区工业废水，本项目外排废水为生活</w:t>
            </w:r>
            <w:r>
              <w:rPr>
                <w:rFonts w:hint="eastAsia"/>
                <w:color w:val="auto"/>
                <w:lang w:val="en-US" w:eastAsia="zh-CN"/>
              </w:rPr>
              <w:t>污水</w:t>
            </w:r>
            <w:r>
              <w:rPr>
                <w:rFonts w:hint="eastAsia"/>
                <w:color w:val="auto"/>
              </w:rPr>
              <w:t>，主要污染物为COD、氨氮、SS、总磷</w:t>
            </w:r>
            <w:r>
              <w:rPr>
                <w:rFonts w:hint="eastAsia"/>
                <w:color w:val="auto"/>
                <w:lang w:eastAsia="zh-CN"/>
              </w:rPr>
              <w:t>、</w:t>
            </w:r>
            <w:r>
              <w:rPr>
                <w:rFonts w:hint="eastAsia"/>
                <w:color w:val="auto"/>
                <w:lang w:val="en-US" w:eastAsia="zh-CN"/>
              </w:rPr>
              <w:t>动植物油</w:t>
            </w:r>
            <w:r>
              <w:rPr>
                <w:rFonts w:hint="eastAsia"/>
                <w:color w:val="auto"/>
              </w:rPr>
              <w:t>，没有特殊的污染因子，因此本项目废水排入江南产业集中区第一污水处理厂后不会对其水质造成冲击，从水质角度接管是可行的。</w:t>
            </w:r>
          </w:p>
          <w:p w14:paraId="615EA5F1">
            <w:pPr>
              <w:widowControl/>
              <w:ind w:firstLine="480" w:firstLineChars="200"/>
              <w:jc w:val="left"/>
              <w:rPr>
                <w:rFonts w:hint="eastAsia"/>
                <w:color w:val="auto"/>
              </w:rPr>
            </w:pPr>
            <w:r>
              <w:rPr>
                <w:rFonts w:hint="eastAsia"/>
                <w:color w:val="auto"/>
              </w:rPr>
              <w:t>②水量方面</w:t>
            </w:r>
          </w:p>
          <w:p w14:paraId="631179D9">
            <w:pPr>
              <w:widowControl/>
              <w:ind w:firstLine="480" w:firstLineChars="200"/>
              <w:jc w:val="left"/>
              <w:rPr>
                <w:rFonts w:hint="eastAsia"/>
                <w:color w:val="auto"/>
              </w:rPr>
            </w:pPr>
            <w:r>
              <w:rPr>
                <w:rFonts w:hint="eastAsia"/>
                <w:color w:val="auto"/>
              </w:rPr>
              <w:t>本项目年新增废水排放量</w:t>
            </w:r>
            <w:r>
              <w:rPr>
                <w:rFonts w:hint="eastAsia"/>
                <w:color w:val="auto"/>
                <w:lang w:val="en-US" w:eastAsia="zh-CN"/>
              </w:rPr>
              <w:t>652</w:t>
            </w:r>
            <w:r>
              <w:rPr>
                <w:rFonts w:hint="eastAsia"/>
                <w:color w:val="auto"/>
              </w:rPr>
              <w:t>m</w:t>
            </w:r>
            <w:r>
              <w:rPr>
                <w:rFonts w:hint="eastAsia"/>
                <w:color w:val="auto"/>
                <w:vertAlign w:val="superscript"/>
              </w:rPr>
              <w:t>3</w:t>
            </w:r>
            <w:r>
              <w:rPr>
                <w:rFonts w:hint="eastAsia"/>
                <w:color w:val="auto"/>
              </w:rPr>
              <w:t>/a（平均排放2.</w:t>
            </w:r>
            <w:r>
              <w:rPr>
                <w:rFonts w:hint="eastAsia"/>
                <w:color w:val="auto"/>
                <w:lang w:val="en-US" w:eastAsia="zh-CN"/>
              </w:rPr>
              <w:t>173</w:t>
            </w:r>
            <w:r>
              <w:rPr>
                <w:rFonts w:hint="eastAsia"/>
                <w:color w:val="auto"/>
              </w:rPr>
              <w:t>m</w:t>
            </w:r>
            <w:r>
              <w:rPr>
                <w:rFonts w:hint="eastAsia"/>
                <w:color w:val="auto"/>
                <w:vertAlign w:val="superscript"/>
              </w:rPr>
              <w:t>3</w:t>
            </w:r>
            <w:r>
              <w:rPr>
                <w:rFonts w:hint="eastAsia"/>
                <w:color w:val="auto"/>
              </w:rPr>
              <w:t>/d），排放水量占第一污水处理厂一期总处理规模（5万m</w:t>
            </w:r>
            <w:r>
              <w:rPr>
                <w:rFonts w:hint="eastAsia"/>
                <w:color w:val="auto"/>
                <w:vertAlign w:val="superscript"/>
              </w:rPr>
              <w:t>3</w:t>
            </w:r>
            <w:r>
              <w:rPr>
                <w:rFonts w:hint="eastAsia"/>
                <w:color w:val="auto"/>
              </w:rPr>
              <w:t>/d）的0.05</w:t>
            </w:r>
            <w:r>
              <w:rPr>
                <w:rFonts w:hint="eastAsia"/>
                <w:color w:val="auto"/>
                <w:lang w:val="en-US" w:eastAsia="zh-CN"/>
              </w:rPr>
              <w:t>12</w:t>
            </w:r>
            <w:r>
              <w:rPr>
                <w:rFonts w:hint="eastAsia"/>
                <w:color w:val="auto"/>
              </w:rPr>
              <w:t>%，不会对第一污水处理厂造成冲击。</w:t>
            </w:r>
          </w:p>
          <w:p w14:paraId="388CE8CB">
            <w:pPr>
              <w:widowControl/>
              <w:ind w:firstLine="480" w:firstLineChars="200"/>
              <w:jc w:val="left"/>
              <w:rPr>
                <w:rFonts w:hint="eastAsia"/>
                <w:color w:val="auto"/>
              </w:rPr>
            </w:pPr>
            <w:r>
              <w:rPr>
                <w:rFonts w:hint="eastAsia"/>
                <w:color w:val="auto"/>
              </w:rPr>
              <w:t>③纳管范围</w:t>
            </w:r>
          </w:p>
          <w:p w14:paraId="7F99D7F0">
            <w:pPr>
              <w:widowControl/>
              <w:ind w:firstLine="480" w:firstLineChars="200"/>
              <w:jc w:val="left"/>
              <w:rPr>
                <w:rFonts w:hint="eastAsia"/>
                <w:color w:val="auto"/>
              </w:rPr>
            </w:pPr>
            <w:r>
              <w:rPr>
                <w:rFonts w:hint="eastAsia"/>
                <w:color w:val="auto"/>
              </w:rPr>
              <w:t>本项目位于皖江江南新兴产业集中区内，项目位置市政管网完备，因此废水能够通过市政污水管网进入江南产业集中区第一污水处理厂。</w:t>
            </w:r>
          </w:p>
          <w:p w14:paraId="0A7C2CBD">
            <w:pPr>
              <w:rPr>
                <w:b/>
                <w:color w:val="auto"/>
              </w:rPr>
            </w:pPr>
            <w:r>
              <w:rPr>
                <w:rFonts w:hint="eastAsia"/>
                <w:b/>
                <w:color w:val="auto"/>
              </w:rPr>
              <w:t>三、噪声</w:t>
            </w:r>
          </w:p>
          <w:p w14:paraId="6F090878">
            <w:pPr>
              <w:rPr>
                <w:b/>
                <w:color w:val="auto"/>
              </w:rPr>
            </w:pPr>
            <w:r>
              <w:rPr>
                <w:b/>
                <w:color w:val="auto"/>
              </w:rPr>
              <w:t>1</w:t>
            </w:r>
            <w:r>
              <w:rPr>
                <w:rFonts w:hint="eastAsia"/>
                <w:b/>
                <w:color w:val="auto"/>
              </w:rPr>
              <w:t>、</w:t>
            </w:r>
            <w:r>
              <w:rPr>
                <w:b/>
                <w:color w:val="auto"/>
              </w:rPr>
              <w:t>噪声源强</w:t>
            </w:r>
          </w:p>
          <w:p w14:paraId="794E7FCF">
            <w:pPr>
              <w:snapToGrid w:val="0"/>
              <w:ind w:firstLine="480" w:firstLineChars="200"/>
              <w:rPr>
                <w:color w:val="auto"/>
              </w:rPr>
            </w:pPr>
            <w:r>
              <w:rPr>
                <w:rFonts w:hint="eastAsia"/>
                <w:color w:val="auto"/>
                <w:lang w:val="en-US" w:eastAsia="zh-CN"/>
              </w:rPr>
              <w:t>本项目实施后</w:t>
            </w:r>
            <w:r>
              <w:rPr>
                <w:rFonts w:hint="eastAsia"/>
                <w:color w:val="auto"/>
              </w:rPr>
              <w:t>，</w:t>
            </w:r>
            <w:r>
              <w:rPr>
                <w:rFonts w:hint="eastAsia"/>
                <w:color w:val="auto"/>
                <w:lang w:val="en-US" w:eastAsia="zh-CN"/>
              </w:rPr>
              <w:t>全厂噪声</w:t>
            </w:r>
            <w:r>
              <w:rPr>
                <w:rFonts w:hint="eastAsia"/>
                <w:color w:val="auto"/>
              </w:rPr>
              <w:t>主要设备噪声源及声级水平详</w:t>
            </w:r>
            <w:r>
              <w:rPr>
                <w:color w:val="auto"/>
              </w:rPr>
              <w:t>见下表</w:t>
            </w:r>
            <w:r>
              <w:rPr>
                <w:rFonts w:hint="eastAsia"/>
                <w:color w:val="auto"/>
              </w:rPr>
              <w:t>。</w:t>
            </w:r>
          </w:p>
        </w:tc>
      </w:tr>
    </w:tbl>
    <w:p w14:paraId="5E27D787">
      <w:pPr>
        <w:rPr>
          <w:color w:val="auto"/>
        </w:rPr>
        <w:sectPr>
          <w:pgSz w:w="11907" w:h="16840"/>
          <w:pgMar w:top="1247" w:right="1134" w:bottom="1134" w:left="1247" w:header="680" w:footer="680" w:gutter="0"/>
          <w:cols w:space="720" w:num="1"/>
          <w:docGrid w:linePitch="286" w:charSpace="0"/>
        </w:sectPr>
      </w:pP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4246"/>
      </w:tblGrid>
      <w:tr w14:paraId="1F144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4" w:hRule="atLeast"/>
        </w:trPr>
        <w:tc>
          <w:tcPr>
            <w:tcW w:w="146" w:type="pct"/>
          </w:tcPr>
          <w:p w14:paraId="0C48BB8B">
            <w:pPr>
              <w:rPr>
                <w:color w:val="auto"/>
              </w:rPr>
            </w:pPr>
          </w:p>
        </w:tc>
        <w:tc>
          <w:tcPr>
            <w:tcW w:w="4854" w:type="pct"/>
          </w:tcPr>
          <w:p w14:paraId="77BD10BF">
            <w:pPr>
              <w:topLinePunct/>
              <w:jc w:val="center"/>
              <w:rPr>
                <w:rFonts w:hint="eastAsia" w:ascii="黑体" w:hAnsi="黑体" w:eastAsia="黑体"/>
                <w:color w:val="auto"/>
              </w:rPr>
            </w:pPr>
            <w:r>
              <w:rPr>
                <w:rFonts w:ascii="黑体" w:hAnsi="黑体" w:eastAsia="黑体"/>
                <w:color w:val="auto"/>
              </w:rPr>
              <w:t>表</w:t>
            </w:r>
            <w:r>
              <w:rPr>
                <w:rFonts w:eastAsia="黑体"/>
                <w:color w:val="auto"/>
              </w:rPr>
              <w:t>4-</w:t>
            </w:r>
            <w:r>
              <w:rPr>
                <w:rFonts w:hint="eastAsia" w:eastAsia="黑体"/>
                <w:color w:val="auto"/>
              </w:rPr>
              <w:t>1</w:t>
            </w:r>
            <w:r>
              <w:rPr>
                <w:rFonts w:hint="eastAsia" w:eastAsia="黑体"/>
                <w:color w:val="auto"/>
                <w:lang w:val="en-US" w:eastAsia="zh-CN"/>
              </w:rPr>
              <w:t>4</w:t>
            </w:r>
            <w:r>
              <w:rPr>
                <w:rFonts w:ascii="黑体" w:hAnsi="黑体" w:eastAsia="黑体"/>
                <w:color w:val="auto"/>
              </w:rPr>
              <w:t xml:space="preserve"> </w:t>
            </w:r>
            <w:r>
              <w:rPr>
                <w:rFonts w:hint="eastAsia" w:ascii="黑体" w:hAnsi="黑体" w:eastAsia="黑体"/>
                <w:color w:val="auto"/>
              </w:rPr>
              <w:t xml:space="preserve"> </w:t>
            </w:r>
            <w:r>
              <w:rPr>
                <w:rFonts w:hint="eastAsia" w:ascii="黑体" w:hAnsi="黑体" w:eastAsia="黑体"/>
                <w:color w:val="auto"/>
                <w:lang w:val="en-US" w:eastAsia="zh-CN"/>
              </w:rPr>
              <w:t>本项目</w:t>
            </w:r>
            <w:r>
              <w:rPr>
                <w:rFonts w:ascii="黑体" w:hAnsi="黑体" w:eastAsia="黑体"/>
                <w:color w:val="auto"/>
              </w:rPr>
              <w:t>主要设备噪声源及声级水平</w:t>
            </w:r>
            <w:r>
              <w:rPr>
                <w:rFonts w:hint="eastAsia" w:ascii="黑体" w:hAnsi="黑体" w:eastAsia="黑体"/>
                <w:color w:val="auto"/>
              </w:rPr>
              <w:t>（室内及室外）</w:t>
            </w:r>
          </w:p>
          <w:tbl>
            <w:tblPr>
              <w:tblStyle w:val="69"/>
              <w:tblW w:w="5000" w:type="pct"/>
              <w:tblInd w:w="0" w:type="dxa"/>
              <w:tblLayout w:type="autofit"/>
              <w:tblCellMar>
                <w:top w:w="0" w:type="dxa"/>
                <w:left w:w="108" w:type="dxa"/>
                <w:bottom w:w="0" w:type="dxa"/>
                <w:right w:w="108" w:type="dxa"/>
              </w:tblCellMar>
            </w:tblPr>
            <w:tblGrid>
              <w:gridCol w:w="396"/>
              <w:gridCol w:w="615"/>
              <w:gridCol w:w="1473"/>
              <w:gridCol w:w="1990"/>
              <w:gridCol w:w="928"/>
              <w:gridCol w:w="742"/>
              <w:gridCol w:w="742"/>
              <w:gridCol w:w="854"/>
              <w:gridCol w:w="742"/>
              <w:gridCol w:w="790"/>
              <w:gridCol w:w="748"/>
              <w:gridCol w:w="748"/>
              <w:gridCol w:w="996"/>
              <w:gridCol w:w="748"/>
              <w:gridCol w:w="748"/>
              <w:gridCol w:w="770"/>
            </w:tblGrid>
            <w:tr w14:paraId="6B8A2D3F">
              <w:tblPrEx>
                <w:tblCellMar>
                  <w:top w:w="0" w:type="dxa"/>
                  <w:left w:w="108" w:type="dxa"/>
                  <w:bottom w:w="0" w:type="dxa"/>
                  <w:right w:w="108" w:type="dxa"/>
                </w:tblCellMar>
              </w:tblPrEx>
              <w:trPr>
                <w:trHeight w:val="340" w:hRule="atLeast"/>
              </w:trPr>
              <w:tc>
                <w:tcPr>
                  <w:tcW w:w="1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C9164">
                  <w:pPr>
                    <w:widowControl/>
                    <w:jc w:val="center"/>
                    <w:textAlignment w:val="center"/>
                    <w:rPr>
                      <w:rFonts w:cs="宋体"/>
                      <w:color w:val="auto"/>
                      <w:sz w:val="18"/>
                      <w:szCs w:val="18"/>
                    </w:rPr>
                  </w:pPr>
                  <w:r>
                    <w:rPr>
                      <w:rFonts w:hint="eastAsia" w:cs="宋体"/>
                      <w:color w:val="auto"/>
                      <w:kern w:val="0"/>
                      <w:sz w:val="18"/>
                      <w:szCs w:val="18"/>
                      <w:lang w:bidi="ar"/>
                    </w:rPr>
                    <w:t>序号</w:t>
                  </w:r>
                </w:p>
              </w:tc>
              <w:tc>
                <w:tcPr>
                  <w:tcW w:w="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80D987">
                  <w:pPr>
                    <w:widowControl/>
                    <w:jc w:val="center"/>
                    <w:textAlignment w:val="center"/>
                    <w:rPr>
                      <w:rFonts w:cs="宋体"/>
                      <w:color w:val="auto"/>
                      <w:sz w:val="18"/>
                      <w:szCs w:val="18"/>
                    </w:rPr>
                  </w:pPr>
                  <w:r>
                    <w:rPr>
                      <w:rFonts w:hint="eastAsia" w:cs="宋体"/>
                      <w:color w:val="auto"/>
                      <w:kern w:val="0"/>
                      <w:sz w:val="18"/>
                      <w:szCs w:val="18"/>
                      <w:lang w:bidi="ar"/>
                    </w:rPr>
                    <w:t>建筑物名称</w:t>
                  </w:r>
                </w:p>
              </w:tc>
              <w:tc>
                <w:tcPr>
                  <w:tcW w:w="5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3F30B">
                  <w:pPr>
                    <w:widowControl/>
                    <w:jc w:val="center"/>
                    <w:textAlignment w:val="center"/>
                    <w:rPr>
                      <w:rFonts w:cs="宋体"/>
                      <w:color w:val="auto"/>
                      <w:sz w:val="18"/>
                      <w:szCs w:val="18"/>
                    </w:rPr>
                  </w:pPr>
                  <w:r>
                    <w:rPr>
                      <w:rFonts w:hint="eastAsia" w:cs="宋体"/>
                      <w:color w:val="auto"/>
                      <w:kern w:val="0"/>
                      <w:sz w:val="18"/>
                      <w:szCs w:val="18"/>
                      <w:lang w:bidi="ar"/>
                    </w:rPr>
                    <w:t>声源名称</w:t>
                  </w:r>
                </w:p>
              </w:tc>
              <w:tc>
                <w:tcPr>
                  <w:tcW w:w="7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1A5CEB">
                  <w:pPr>
                    <w:widowControl/>
                    <w:jc w:val="center"/>
                    <w:textAlignment w:val="center"/>
                    <w:rPr>
                      <w:rFonts w:cs="宋体"/>
                      <w:color w:val="auto"/>
                      <w:sz w:val="18"/>
                      <w:szCs w:val="18"/>
                    </w:rPr>
                  </w:pPr>
                  <w:r>
                    <w:rPr>
                      <w:rFonts w:hint="eastAsia" w:cs="宋体"/>
                      <w:color w:val="auto"/>
                      <w:kern w:val="0"/>
                      <w:sz w:val="18"/>
                      <w:szCs w:val="18"/>
                      <w:lang w:bidi="ar"/>
                    </w:rPr>
                    <w:t>型号</w:t>
                  </w:r>
                </w:p>
              </w:tc>
              <w:tc>
                <w:tcPr>
                  <w:tcW w:w="3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8D84D">
                  <w:pPr>
                    <w:widowControl/>
                    <w:jc w:val="center"/>
                    <w:textAlignment w:val="center"/>
                    <w:rPr>
                      <w:rFonts w:cs="宋体"/>
                      <w:color w:val="auto"/>
                      <w:sz w:val="18"/>
                      <w:szCs w:val="18"/>
                    </w:rPr>
                  </w:pPr>
                  <w:r>
                    <w:rPr>
                      <w:rFonts w:hint="eastAsia" w:cs="宋体"/>
                      <w:color w:val="auto"/>
                      <w:kern w:val="0"/>
                      <w:sz w:val="18"/>
                      <w:szCs w:val="18"/>
                      <w:lang w:bidi="ar"/>
                    </w:rPr>
                    <w:t>数量（台</w:t>
                  </w:r>
                  <w:r>
                    <w:rPr>
                      <w:rFonts w:hint="eastAsia" w:cs="宋体"/>
                      <w:color w:val="auto"/>
                      <w:kern w:val="0"/>
                      <w:sz w:val="18"/>
                      <w:szCs w:val="18"/>
                      <w:lang w:val="en-US" w:eastAsia="zh-CN" w:bidi="ar"/>
                    </w:rPr>
                    <w:t>/套</w:t>
                  </w:r>
                  <w:r>
                    <w:rPr>
                      <w:rFonts w:hint="eastAsia" w:cs="宋体"/>
                      <w:color w:val="auto"/>
                      <w:kern w:val="0"/>
                      <w:sz w:val="18"/>
                      <w:szCs w:val="18"/>
                      <w:lang w:bidi="ar"/>
                    </w:rPr>
                    <w:t>）</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905C9">
                  <w:pPr>
                    <w:widowControl/>
                    <w:jc w:val="center"/>
                    <w:textAlignment w:val="center"/>
                    <w:rPr>
                      <w:rFonts w:cs="宋体"/>
                      <w:color w:val="auto"/>
                      <w:sz w:val="18"/>
                      <w:szCs w:val="18"/>
                    </w:rPr>
                  </w:pPr>
                  <w:r>
                    <w:rPr>
                      <w:rFonts w:hint="eastAsia" w:cs="宋体"/>
                      <w:color w:val="auto"/>
                      <w:kern w:val="0"/>
                      <w:sz w:val="18"/>
                      <w:szCs w:val="18"/>
                      <w:lang w:bidi="ar"/>
                    </w:rPr>
                    <w:t>声源源强</w:t>
                  </w:r>
                </w:p>
              </w:tc>
              <w:tc>
                <w:tcPr>
                  <w:tcW w:w="26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7ED3C7">
                  <w:pPr>
                    <w:widowControl/>
                    <w:jc w:val="center"/>
                    <w:textAlignment w:val="center"/>
                    <w:rPr>
                      <w:rFonts w:cs="宋体"/>
                      <w:color w:val="auto"/>
                      <w:sz w:val="18"/>
                      <w:szCs w:val="18"/>
                    </w:rPr>
                  </w:pPr>
                  <w:r>
                    <w:rPr>
                      <w:rFonts w:hint="eastAsia" w:cs="宋体"/>
                      <w:color w:val="auto"/>
                      <w:kern w:val="0"/>
                      <w:sz w:val="18"/>
                      <w:szCs w:val="18"/>
                      <w:lang w:bidi="ar"/>
                    </w:rPr>
                    <w:t>声源控制措施</w:t>
                  </w:r>
                </w:p>
              </w:tc>
              <w:tc>
                <w:tcPr>
                  <w:tcW w:w="81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E2A9A6">
                  <w:pPr>
                    <w:widowControl/>
                    <w:jc w:val="center"/>
                    <w:textAlignment w:val="center"/>
                    <w:rPr>
                      <w:rFonts w:cs="宋体"/>
                      <w:color w:val="auto"/>
                      <w:sz w:val="18"/>
                      <w:szCs w:val="18"/>
                    </w:rPr>
                  </w:pPr>
                  <w:r>
                    <w:rPr>
                      <w:rFonts w:hint="eastAsia" w:cs="宋体"/>
                      <w:color w:val="auto"/>
                      <w:kern w:val="0"/>
                      <w:sz w:val="18"/>
                      <w:szCs w:val="18"/>
                      <w:lang w:bidi="ar"/>
                    </w:rPr>
                    <w:t>空间相对位置</w:t>
                  </w:r>
                  <w:r>
                    <w:rPr>
                      <w:color w:val="auto"/>
                      <w:kern w:val="0"/>
                      <w:sz w:val="18"/>
                      <w:szCs w:val="18"/>
                      <w:lang w:bidi="ar"/>
                    </w:rPr>
                    <w:t>/m</w:t>
                  </w:r>
                </w:p>
              </w:tc>
              <w:tc>
                <w:tcPr>
                  <w:tcW w:w="2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94E020">
                  <w:pPr>
                    <w:widowControl/>
                    <w:jc w:val="center"/>
                    <w:textAlignment w:val="center"/>
                    <w:rPr>
                      <w:rFonts w:cs="宋体"/>
                      <w:color w:val="auto"/>
                      <w:sz w:val="18"/>
                      <w:szCs w:val="18"/>
                    </w:rPr>
                  </w:pPr>
                  <w:r>
                    <w:rPr>
                      <w:rFonts w:hint="eastAsia" w:cs="宋体"/>
                      <w:color w:val="auto"/>
                      <w:kern w:val="0"/>
                      <w:sz w:val="18"/>
                      <w:szCs w:val="18"/>
                      <w:lang w:bidi="ar"/>
                    </w:rPr>
                    <w:t>距室内边界距离</w:t>
                  </w:r>
                  <w:r>
                    <w:rPr>
                      <w:color w:val="auto"/>
                      <w:kern w:val="0"/>
                      <w:sz w:val="18"/>
                      <w:szCs w:val="18"/>
                      <w:lang w:bidi="ar"/>
                    </w:rPr>
                    <w:t>/m</w:t>
                  </w:r>
                </w:p>
              </w:tc>
              <w:tc>
                <w:tcPr>
                  <w:tcW w:w="2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266375">
                  <w:pPr>
                    <w:widowControl/>
                    <w:jc w:val="center"/>
                    <w:textAlignment w:val="center"/>
                    <w:rPr>
                      <w:rFonts w:cs="宋体"/>
                      <w:color w:val="auto"/>
                      <w:sz w:val="18"/>
                      <w:szCs w:val="18"/>
                    </w:rPr>
                  </w:pPr>
                  <w:r>
                    <w:rPr>
                      <w:rFonts w:hint="eastAsia" w:cs="宋体"/>
                      <w:color w:val="auto"/>
                      <w:kern w:val="0"/>
                      <w:sz w:val="18"/>
                      <w:szCs w:val="18"/>
                      <w:lang w:bidi="ar"/>
                    </w:rPr>
                    <w:t>室内边界声级</w:t>
                  </w:r>
                  <w:r>
                    <w:rPr>
                      <w:color w:val="auto"/>
                      <w:kern w:val="0"/>
                      <w:sz w:val="18"/>
                      <w:szCs w:val="18"/>
                      <w:lang w:bidi="ar"/>
                    </w:rPr>
                    <w:t>/dB(A)</w:t>
                  </w:r>
                </w:p>
              </w:tc>
              <w:tc>
                <w:tcPr>
                  <w:tcW w:w="3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6405D">
                  <w:pPr>
                    <w:widowControl/>
                    <w:jc w:val="center"/>
                    <w:textAlignment w:val="center"/>
                    <w:rPr>
                      <w:rFonts w:cs="宋体"/>
                      <w:color w:val="auto"/>
                      <w:sz w:val="18"/>
                      <w:szCs w:val="18"/>
                    </w:rPr>
                  </w:pPr>
                  <w:r>
                    <w:rPr>
                      <w:rFonts w:hint="eastAsia" w:cs="宋体"/>
                      <w:color w:val="auto"/>
                      <w:kern w:val="0"/>
                      <w:sz w:val="18"/>
                      <w:szCs w:val="18"/>
                      <w:lang w:bidi="ar"/>
                    </w:rPr>
                    <w:t>运行时段</w:t>
                  </w:r>
                </w:p>
              </w:tc>
              <w:tc>
                <w:tcPr>
                  <w:tcW w:w="2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44C316">
                  <w:pPr>
                    <w:widowControl/>
                    <w:jc w:val="center"/>
                    <w:textAlignment w:val="center"/>
                    <w:rPr>
                      <w:rFonts w:cs="宋体"/>
                      <w:color w:val="auto"/>
                      <w:sz w:val="18"/>
                      <w:szCs w:val="18"/>
                    </w:rPr>
                  </w:pPr>
                  <w:r>
                    <w:rPr>
                      <w:rFonts w:hint="eastAsia" w:cs="宋体"/>
                      <w:color w:val="auto"/>
                      <w:kern w:val="0"/>
                      <w:sz w:val="18"/>
                      <w:szCs w:val="18"/>
                      <w:lang w:bidi="ar"/>
                    </w:rPr>
                    <w:t>建筑物插入损失</w:t>
                  </w:r>
                  <w:r>
                    <w:rPr>
                      <w:color w:val="auto"/>
                      <w:kern w:val="0"/>
                      <w:sz w:val="18"/>
                      <w:szCs w:val="18"/>
                      <w:lang w:bidi="ar"/>
                    </w:rPr>
                    <w:t>/dB(A)</w:t>
                  </w:r>
                </w:p>
              </w:tc>
              <w:tc>
                <w:tcPr>
                  <w:tcW w:w="5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DA7B81">
                  <w:pPr>
                    <w:widowControl/>
                    <w:jc w:val="center"/>
                    <w:textAlignment w:val="center"/>
                    <w:rPr>
                      <w:rFonts w:cs="宋体"/>
                      <w:color w:val="auto"/>
                      <w:sz w:val="18"/>
                      <w:szCs w:val="18"/>
                    </w:rPr>
                  </w:pPr>
                  <w:r>
                    <w:rPr>
                      <w:rFonts w:hint="eastAsia" w:cs="宋体"/>
                      <w:color w:val="auto"/>
                      <w:kern w:val="0"/>
                      <w:sz w:val="18"/>
                      <w:szCs w:val="18"/>
                      <w:lang w:bidi="ar"/>
                    </w:rPr>
                    <w:t>建筑物外噪声</w:t>
                  </w:r>
                </w:p>
              </w:tc>
            </w:tr>
            <w:tr w14:paraId="6178F549">
              <w:tblPrEx>
                <w:tblCellMar>
                  <w:top w:w="0" w:type="dxa"/>
                  <w:left w:w="108" w:type="dxa"/>
                  <w:bottom w:w="0" w:type="dxa"/>
                  <w:right w:w="108" w:type="dxa"/>
                </w:tblCellMar>
              </w:tblPrEx>
              <w:trPr>
                <w:trHeight w:val="340" w:hRule="atLeast"/>
              </w:trPr>
              <w:tc>
                <w:tcPr>
                  <w:tcW w:w="1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0401F">
                  <w:pPr>
                    <w:jc w:val="center"/>
                    <w:rPr>
                      <w:rFonts w:cs="宋体"/>
                      <w:color w:val="auto"/>
                      <w:sz w:val="18"/>
                      <w:szCs w:val="18"/>
                    </w:rPr>
                  </w:pPr>
                </w:p>
              </w:tc>
              <w:tc>
                <w:tcPr>
                  <w:tcW w:w="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55F36">
                  <w:pPr>
                    <w:jc w:val="center"/>
                    <w:rPr>
                      <w:rFonts w:cs="宋体"/>
                      <w:color w:val="auto"/>
                      <w:sz w:val="18"/>
                      <w:szCs w:val="18"/>
                    </w:rPr>
                  </w:pPr>
                </w:p>
              </w:tc>
              <w:tc>
                <w:tcPr>
                  <w:tcW w:w="5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9229E">
                  <w:pPr>
                    <w:jc w:val="center"/>
                    <w:rPr>
                      <w:rFonts w:cs="宋体"/>
                      <w:color w:val="auto"/>
                      <w:sz w:val="18"/>
                      <w:szCs w:val="18"/>
                    </w:rPr>
                  </w:pPr>
                </w:p>
              </w:tc>
              <w:tc>
                <w:tcPr>
                  <w:tcW w:w="7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F88A7">
                  <w:pPr>
                    <w:jc w:val="center"/>
                    <w:rPr>
                      <w:rFonts w:cs="宋体"/>
                      <w:color w:val="auto"/>
                      <w:sz w:val="18"/>
                      <w:szCs w:val="18"/>
                    </w:rPr>
                  </w:pPr>
                </w:p>
              </w:tc>
              <w:tc>
                <w:tcPr>
                  <w:tcW w:w="3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3633E">
                  <w:pPr>
                    <w:jc w:val="center"/>
                    <w:rPr>
                      <w:rFonts w:cs="宋体"/>
                      <w:color w:val="auto"/>
                      <w:sz w:val="18"/>
                      <w:szCs w:val="18"/>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EAA1">
                  <w:pPr>
                    <w:widowControl/>
                    <w:jc w:val="center"/>
                    <w:textAlignment w:val="center"/>
                    <w:rPr>
                      <w:rFonts w:cs="宋体"/>
                      <w:color w:val="auto"/>
                      <w:sz w:val="18"/>
                      <w:szCs w:val="18"/>
                    </w:rPr>
                  </w:pPr>
                  <w:r>
                    <w:rPr>
                      <w:rFonts w:hint="eastAsia" w:cs="宋体"/>
                      <w:color w:val="auto"/>
                      <w:kern w:val="0"/>
                      <w:sz w:val="18"/>
                      <w:szCs w:val="18"/>
                      <w:lang w:bidi="ar"/>
                    </w:rPr>
                    <w:t>声压级</w:t>
                  </w:r>
                  <w:r>
                    <w:rPr>
                      <w:color w:val="auto"/>
                      <w:kern w:val="0"/>
                      <w:sz w:val="18"/>
                      <w:szCs w:val="18"/>
                      <w:lang w:bidi="ar"/>
                    </w:rPr>
                    <w:t>dB(A)</w:t>
                  </w:r>
                  <w:r>
                    <w:rPr>
                      <w:rFonts w:hint="eastAsia" w:cs="宋体"/>
                      <w:color w:val="auto"/>
                      <w:kern w:val="0"/>
                      <w:sz w:val="18"/>
                      <w:szCs w:val="18"/>
                      <w:lang w:bidi="ar"/>
                    </w:rPr>
                    <w:t>（距声源距离</w:t>
                  </w:r>
                  <w:r>
                    <w:rPr>
                      <w:color w:val="auto"/>
                      <w:kern w:val="0"/>
                      <w:sz w:val="18"/>
                      <w:szCs w:val="18"/>
                      <w:lang w:bidi="ar"/>
                    </w:rPr>
                    <w:t>1m</w:t>
                  </w:r>
                  <w:r>
                    <w:rPr>
                      <w:rFonts w:hint="eastAsia" w:cs="宋体"/>
                      <w:color w:val="auto"/>
                      <w:kern w:val="0"/>
                      <w:sz w:val="18"/>
                      <w:szCs w:val="18"/>
                      <w:lang w:bidi="ar"/>
                    </w:rPr>
                    <w:t>）</w:t>
                  </w:r>
                </w:p>
              </w:tc>
              <w:tc>
                <w:tcPr>
                  <w:tcW w:w="267"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68417A05">
                  <w:pPr>
                    <w:jc w:val="center"/>
                    <w:rPr>
                      <w:rFonts w:cs="宋体"/>
                      <w:color w:val="auto"/>
                      <w:sz w:val="18"/>
                      <w:szCs w:val="18"/>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F565">
                  <w:pPr>
                    <w:widowControl/>
                    <w:jc w:val="center"/>
                    <w:textAlignment w:val="center"/>
                    <w:rPr>
                      <w:color w:val="auto"/>
                      <w:sz w:val="18"/>
                      <w:szCs w:val="18"/>
                    </w:rPr>
                  </w:pPr>
                  <w:r>
                    <w:rPr>
                      <w:color w:val="auto"/>
                      <w:kern w:val="0"/>
                      <w:sz w:val="18"/>
                      <w:szCs w:val="18"/>
                      <w:lang w:bidi="ar"/>
                    </w:rPr>
                    <w:t>X</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004CB">
                  <w:pPr>
                    <w:widowControl/>
                    <w:jc w:val="center"/>
                    <w:textAlignment w:val="center"/>
                    <w:rPr>
                      <w:color w:val="auto"/>
                      <w:sz w:val="18"/>
                      <w:szCs w:val="18"/>
                    </w:rPr>
                  </w:pPr>
                  <w:r>
                    <w:rPr>
                      <w:color w:val="auto"/>
                      <w:kern w:val="0"/>
                      <w:sz w:val="18"/>
                      <w:szCs w:val="18"/>
                      <w:lang w:bidi="ar"/>
                    </w:rPr>
                    <w:t>Y</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D84A3">
                  <w:pPr>
                    <w:widowControl/>
                    <w:jc w:val="center"/>
                    <w:textAlignment w:val="center"/>
                    <w:rPr>
                      <w:color w:val="auto"/>
                      <w:sz w:val="18"/>
                      <w:szCs w:val="18"/>
                    </w:rPr>
                  </w:pPr>
                  <w:r>
                    <w:rPr>
                      <w:color w:val="auto"/>
                      <w:kern w:val="0"/>
                      <w:sz w:val="18"/>
                      <w:szCs w:val="18"/>
                      <w:lang w:bidi="ar"/>
                    </w:rPr>
                    <w:t>Z</w:t>
                  </w:r>
                </w:p>
              </w:tc>
              <w:tc>
                <w:tcPr>
                  <w:tcW w:w="2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FAE64">
                  <w:pPr>
                    <w:jc w:val="center"/>
                    <w:rPr>
                      <w:rFonts w:cs="宋体"/>
                      <w:color w:val="auto"/>
                      <w:sz w:val="18"/>
                      <w:szCs w:val="18"/>
                    </w:rPr>
                  </w:pPr>
                </w:p>
              </w:tc>
              <w:tc>
                <w:tcPr>
                  <w:tcW w:w="2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14830">
                  <w:pPr>
                    <w:jc w:val="center"/>
                    <w:rPr>
                      <w:rFonts w:cs="宋体"/>
                      <w:color w:val="auto"/>
                      <w:sz w:val="18"/>
                      <w:szCs w:val="18"/>
                    </w:rPr>
                  </w:pPr>
                </w:p>
              </w:tc>
              <w:tc>
                <w:tcPr>
                  <w:tcW w:w="3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9EF09">
                  <w:pPr>
                    <w:jc w:val="center"/>
                    <w:rPr>
                      <w:rFonts w:cs="宋体"/>
                      <w:color w:val="auto"/>
                      <w:sz w:val="18"/>
                      <w:szCs w:val="18"/>
                    </w:rPr>
                  </w:pPr>
                </w:p>
              </w:tc>
              <w:tc>
                <w:tcPr>
                  <w:tcW w:w="2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D3633">
                  <w:pPr>
                    <w:jc w:val="center"/>
                    <w:rPr>
                      <w:rFonts w:cs="宋体"/>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B3A53">
                  <w:pPr>
                    <w:widowControl/>
                    <w:jc w:val="center"/>
                    <w:textAlignment w:val="center"/>
                    <w:rPr>
                      <w:rFonts w:cs="宋体"/>
                      <w:color w:val="auto"/>
                      <w:sz w:val="18"/>
                      <w:szCs w:val="18"/>
                    </w:rPr>
                  </w:pPr>
                  <w:r>
                    <w:rPr>
                      <w:rFonts w:hint="eastAsia" w:cs="宋体"/>
                      <w:color w:val="auto"/>
                      <w:kern w:val="0"/>
                      <w:sz w:val="18"/>
                      <w:szCs w:val="18"/>
                      <w:lang w:bidi="ar"/>
                    </w:rPr>
                    <w:t>声压级</w:t>
                  </w:r>
                  <w:r>
                    <w:rPr>
                      <w:color w:val="auto"/>
                      <w:kern w:val="0"/>
                      <w:sz w:val="18"/>
                      <w:szCs w:val="18"/>
                      <w:lang w:bidi="ar"/>
                    </w:rPr>
                    <w:t>/dB(A)</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9E7D7">
                  <w:pPr>
                    <w:widowControl/>
                    <w:jc w:val="center"/>
                    <w:textAlignment w:val="center"/>
                    <w:rPr>
                      <w:rFonts w:cs="宋体"/>
                      <w:color w:val="auto"/>
                      <w:sz w:val="18"/>
                      <w:szCs w:val="18"/>
                    </w:rPr>
                  </w:pPr>
                  <w:r>
                    <w:rPr>
                      <w:rFonts w:hint="eastAsia" w:cs="宋体"/>
                      <w:color w:val="auto"/>
                      <w:kern w:val="0"/>
                      <w:sz w:val="18"/>
                      <w:szCs w:val="18"/>
                      <w:lang w:bidi="ar"/>
                    </w:rPr>
                    <w:t>建筑物外距离</w:t>
                  </w:r>
                </w:p>
              </w:tc>
            </w:tr>
            <w:tr w14:paraId="615B75F3">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E0393">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22" w:type="pct"/>
                  <w:vMerge w:val="restart"/>
                  <w:tcBorders>
                    <w:top w:val="single" w:color="000000" w:sz="4" w:space="0"/>
                    <w:left w:val="single" w:color="000000" w:sz="4" w:space="0"/>
                    <w:right w:val="single" w:color="000000" w:sz="4" w:space="0"/>
                  </w:tcBorders>
                  <w:shd w:val="clear" w:color="auto" w:fill="auto"/>
                  <w:vAlign w:val="center"/>
                </w:tcPr>
                <w:p w14:paraId="0613C2DC">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7#厂房</w:t>
                  </w: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57D76">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集中熔铝炉</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CD9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5000kg，25kW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1BC5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27CF6DB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A8EDD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设置减振基座、厂房隔声</w:t>
                  </w: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03E80A8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1245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57350">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A84B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ED8E0">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68~73</w:t>
                  </w:r>
                </w:p>
              </w:tc>
              <w:tc>
                <w:tcPr>
                  <w:tcW w:w="354" w:type="pct"/>
                  <w:vMerge w:val="restart"/>
                  <w:tcBorders>
                    <w:top w:val="single" w:color="000000" w:sz="4" w:space="0"/>
                    <w:left w:val="single" w:color="000000" w:sz="4" w:space="0"/>
                    <w:right w:val="single" w:color="000000" w:sz="4" w:space="0"/>
                  </w:tcBorders>
                  <w:shd w:val="clear" w:color="auto" w:fill="auto"/>
                  <w:noWrap/>
                  <w:vAlign w:val="center"/>
                </w:tcPr>
                <w:p w14:paraId="4439CD6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6</w:t>
                  </w:r>
                  <w:r>
                    <w:rPr>
                      <w:rFonts w:hint="eastAsia" w:ascii="Times New Roman" w:hAnsi="Times New Roman" w:eastAsia="宋体" w:cs="Times New Roman"/>
                      <w:color w:val="auto"/>
                      <w:sz w:val="18"/>
                      <w:szCs w:val="18"/>
                    </w:rPr>
                    <w:t>点-</w:t>
                  </w:r>
                  <w:r>
                    <w:rPr>
                      <w:rFonts w:hint="eastAsia" w:ascii="Times New Roman" w:hAnsi="Times New Roman" w:eastAsia="宋体" w:cs="Times New Roman"/>
                      <w:color w:val="auto"/>
                      <w:sz w:val="18"/>
                      <w:szCs w:val="18"/>
                      <w:lang w:val="en-US" w:eastAsia="zh-CN"/>
                    </w:rPr>
                    <w:t>22</w:t>
                  </w:r>
                  <w:r>
                    <w:rPr>
                      <w:rFonts w:hint="eastAsia" w:ascii="Times New Roman" w:hAnsi="Times New Roman" w:eastAsia="宋体" w:cs="Times New Roman"/>
                      <w:color w:val="auto"/>
                      <w:sz w:val="18"/>
                      <w:szCs w:val="18"/>
                    </w:rPr>
                    <w:t>点</w:t>
                  </w:r>
                </w:p>
              </w:tc>
              <w:tc>
                <w:tcPr>
                  <w:tcW w:w="269" w:type="pct"/>
                  <w:vMerge w:val="restart"/>
                  <w:tcBorders>
                    <w:top w:val="single" w:color="000000" w:sz="4" w:space="0"/>
                    <w:left w:val="single" w:color="000000" w:sz="4" w:space="0"/>
                    <w:right w:val="single" w:color="000000" w:sz="4" w:space="0"/>
                  </w:tcBorders>
                  <w:shd w:val="clear" w:color="auto" w:fill="auto"/>
                  <w:noWrap/>
                  <w:vAlign w:val="center"/>
                </w:tcPr>
                <w:p w14:paraId="3ED9EDB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B67D5">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53</w:t>
                  </w:r>
                  <w:r>
                    <w:rPr>
                      <w:rFonts w:hint="eastAsia" w:ascii="Times New Roman" w:hAnsi="Times New Roman" w:eastAsia="宋体" w:cs="Times New Roman"/>
                      <w:color w:val="auto"/>
                      <w:sz w:val="18"/>
                      <w:szCs w:val="18"/>
                    </w:rPr>
                    <w:t>~5</w:t>
                  </w:r>
                  <w:r>
                    <w:rPr>
                      <w:rFonts w:hint="eastAsia" w:ascii="Times New Roman" w:hAnsi="Times New Roman" w:eastAsia="宋体" w:cs="Times New Roman"/>
                      <w:color w:val="auto"/>
                      <w:sz w:val="18"/>
                      <w:szCs w:val="18"/>
                      <w:lang w:val="en-US" w:eastAsia="zh-CN"/>
                    </w:rPr>
                    <w:t>8</w:t>
                  </w:r>
                </w:p>
              </w:tc>
              <w:tc>
                <w:tcPr>
                  <w:tcW w:w="277" w:type="pct"/>
                  <w:vMerge w:val="restart"/>
                  <w:tcBorders>
                    <w:top w:val="single" w:color="000000" w:sz="4" w:space="0"/>
                    <w:left w:val="single" w:color="000000" w:sz="4" w:space="0"/>
                    <w:right w:val="single" w:color="000000" w:sz="4" w:space="0"/>
                  </w:tcBorders>
                  <w:shd w:val="clear" w:color="auto" w:fill="auto"/>
                  <w:noWrap/>
                  <w:vAlign w:val="center"/>
                </w:tcPr>
                <w:p w14:paraId="19465C3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r>
            <w:tr w14:paraId="452C2A01">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7D8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22" w:type="pct"/>
                  <w:vMerge w:val="continue"/>
                  <w:tcBorders>
                    <w:left w:val="single" w:color="000000" w:sz="4" w:space="0"/>
                    <w:right w:val="single" w:color="000000" w:sz="4" w:space="0"/>
                  </w:tcBorders>
                  <w:shd w:val="clear" w:color="auto" w:fill="auto"/>
                  <w:vAlign w:val="center"/>
                </w:tcPr>
                <w:p w14:paraId="0D1B5054">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3C77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倾倒熔炉</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9B57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1000kg，180kW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5D5C4">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4449D1EC">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663BBD">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76BB42F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1E65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ED27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67EC9">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18EEC">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68~73</w:t>
                  </w:r>
                </w:p>
              </w:tc>
              <w:tc>
                <w:tcPr>
                  <w:tcW w:w="354" w:type="pct"/>
                  <w:vMerge w:val="continue"/>
                  <w:tcBorders>
                    <w:left w:val="single" w:color="000000" w:sz="4" w:space="0"/>
                    <w:right w:val="single" w:color="000000" w:sz="4" w:space="0"/>
                  </w:tcBorders>
                  <w:shd w:val="clear" w:color="auto" w:fill="auto"/>
                  <w:noWrap/>
                  <w:vAlign w:val="center"/>
                </w:tcPr>
                <w:p w14:paraId="50964BA2">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2EDDF607">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8CDEC">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53</w:t>
                  </w:r>
                  <w:r>
                    <w:rPr>
                      <w:rFonts w:hint="eastAsia" w:ascii="Times New Roman" w:hAnsi="Times New Roman" w:eastAsia="宋体" w:cs="Times New Roman"/>
                      <w:color w:val="auto"/>
                      <w:sz w:val="18"/>
                      <w:szCs w:val="18"/>
                    </w:rPr>
                    <w:t>~5</w:t>
                  </w:r>
                  <w:r>
                    <w:rPr>
                      <w:rFonts w:hint="eastAsia" w:ascii="Times New Roman" w:hAnsi="Times New Roman" w:eastAsia="宋体" w:cs="Times New Roman"/>
                      <w:color w:val="auto"/>
                      <w:sz w:val="18"/>
                      <w:szCs w:val="18"/>
                      <w:lang w:val="en-US" w:eastAsia="zh-CN"/>
                    </w:rPr>
                    <w:t>8</w:t>
                  </w:r>
                </w:p>
              </w:tc>
              <w:tc>
                <w:tcPr>
                  <w:tcW w:w="277" w:type="pct"/>
                  <w:vMerge w:val="continue"/>
                  <w:tcBorders>
                    <w:left w:val="single" w:color="000000" w:sz="4" w:space="0"/>
                    <w:right w:val="single" w:color="000000" w:sz="4" w:space="0"/>
                  </w:tcBorders>
                  <w:shd w:val="clear" w:color="auto" w:fill="auto"/>
                  <w:noWrap/>
                  <w:vAlign w:val="center"/>
                </w:tcPr>
                <w:p w14:paraId="3AB52E2B">
                  <w:pPr>
                    <w:spacing w:line="240" w:lineRule="auto"/>
                    <w:jc w:val="center"/>
                    <w:rPr>
                      <w:rFonts w:hint="eastAsia" w:ascii="Times New Roman" w:hAnsi="Times New Roman" w:eastAsia="宋体" w:cs="Times New Roman"/>
                      <w:color w:val="auto"/>
                      <w:sz w:val="18"/>
                      <w:szCs w:val="18"/>
                    </w:rPr>
                  </w:pPr>
                </w:p>
              </w:tc>
            </w:tr>
            <w:tr w14:paraId="1029CEFB">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EC2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3</w:t>
                  </w:r>
                </w:p>
              </w:tc>
              <w:tc>
                <w:tcPr>
                  <w:tcW w:w="222" w:type="pct"/>
                  <w:vMerge w:val="continue"/>
                  <w:tcBorders>
                    <w:left w:val="single" w:color="000000" w:sz="4" w:space="0"/>
                    <w:right w:val="single" w:color="000000" w:sz="4" w:space="0"/>
                  </w:tcBorders>
                  <w:shd w:val="clear" w:color="auto" w:fill="auto"/>
                  <w:vAlign w:val="center"/>
                </w:tcPr>
                <w:p w14:paraId="4CFA4257">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1DBB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单工位离心浇铸机</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EF36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1000kg，130kW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BD6B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BB46FC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70~75</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83A262">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5875B85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B3AD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5F27">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571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8B37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64~69</w:t>
                  </w:r>
                </w:p>
              </w:tc>
              <w:tc>
                <w:tcPr>
                  <w:tcW w:w="354" w:type="pct"/>
                  <w:vMerge w:val="continue"/>
                  <w:tcBorders>
                    <w:left w:val="single" w:color="000000" w:sz="4" w:space="0"/>
                    <w:right w:val="single" w:color="000000" w:sz="4" w:space="0"/>
                  </w:tcBorders>
                  <w:shd w:val="clear" w:color="auto" w:fill="auto"/>
                  <w:noWrap/>
                  <w:vAlign w:val="center"/>
                </w:tcPr>
                <w:p w14:paraId="5253A6C5">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355F2E12">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305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4</w:t>
                  </w:r>
                  <w:r>
                    <w:rPr>
                      <w:rFonts w:hint="eastAsia" w:ascii="Times New Roman" w:hAnsi="Times New Roman" w:eastAsia="宋体" w:cs="Times New Roman"/>
                      <w:color w:val="auto"/>
                      <w:sz w:val="18"/>
                      <w:szCs w:val="18"/>
                      <w:lang w:val="en-US" w:eastAsia="zh-CN"/>
                    </w:rPr>
                    <w:t>9</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54</w:t>
                  </w:r>
                </w:p>
              </w:tc>
              <w:tc>
                <w:tcPr>
                  <w:tcW w:w="277" w:type="pct"/>
                  <w:vMerge w:val="continue"/>
                  <w:tcBorders>
                    <w:left w:val="single" w:color="000000" w:sz="4" w:space="0"/>
                    <w:right w:val="single" w:color="000000" w:sz="4" w:space="0"/>
                  </w:tcBorders>
                  <w:shd w:val="clear" w:color="auto" w:fill="auto"/>
                  <w:noWrap/>
                  <w:vAlign w:val="center"/>
                </w:tcPr>
                <w:p w14:paraId="16D4A301">
                  <w:pPr>
                    <w:spacing w:line="240" w:lineRule="auto"/>
                    <w:jc w:val="center"/>
                    <w:rPr>
                      <w:rFonts w:hint="eastAsia" w:ascii="Times New Roman" w:hAnsi="Times New Roman" w:eastAsia="宋体" w:cs="Times New Roman"/>
                      <w:color w:val="auto"/>
                      <w:sz w:val="18"/>
                      <w:szCs w:val="18"/>
                    </w:rPr>
                  </w:pPr>
                </w:p>
              </w:tc>
            </w:tr>
            <w:tr w14:paraId="2C8EAB47">
              <w:tblPrEx>
                <w:tblCellMar>
                  <w:top w:w="0" w:type="dxa"/>
                  <w:left w:w="108" w:type="dxa"/>
                  <w:bottom w:w="0" w:type="dxa"/>
                  <w:right w:w="108" w:type="dxa"/>
                </w:tblCellMar>
              </w:tblPrEx>
              <w:trPr>
                <w:trHeight w:val="9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8AC9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p>
              </w:tc>
              <w:tc>
                <w:tcPr>
                  <w:tcW w:w="222" w:type="pct"/>
                  <w:vMerge w:val="continue"/>
                  <w:tcBorders>
                    <w:left w:val="single" w:color="000000" w:sz="4" w:space="0"/>
                    <w:right w:val="single" w:color="000000" w:sz="4" w:space="0"/>
                  </w:tcBorders>
                  <w:shd w:val="clear" w:color="auto" w:fill="auto"/>
                  <w:vAlign w:val="center"/>
                </w:tcPr>
                <w:p w14:paraId="06E365AC">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7813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四工位离心浇铸机</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9CF3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500kg，130kW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5172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22804EC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65~75</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7A38AB">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1527E6A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8175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2ED0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5539">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472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59~69</w:t>
                  </w:r>
                </w:p>
              </w:tc>
              <w:tc>
                <w:tcPr>
                  <w:tcW w:w="354" w:type="pct"/>
                  <w:vMerge w:val="continue"/>
                  <w:tcBorders>
                    <w:left w:val="single" w:color="000000" w:sz="4" w:space="0"/>
                    <w:right w:val="single" w:color="000000" w:sz="4" w:space="0"/>
                  </w:tcBorders>
                  <w:shd w:val="clear" w:color="auto" w:fill="auto"/>
                  <w:noWrap/>
                  <w:vAlign w:val="center"/>
                </w:tcPr>
                <w:p w14:paraId="41911B0B">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6E816172">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798C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44</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54</w:t>
                  </w:r>
                </w:p>
              </w:tc>
              <w:tc>
                <w:tcPr>
                  <w:tcW w:w="277" w:type="pct"/>
                  <w:vMerge w:val="continue"/>
                  <w:tcBorders>
                    <w:left w:val="single" w:color="000000" w:sz="4" w:space="0"/>
                    <w:right w:val="single" w:color="000000" w:sz="4" w:space="0"/>
                  </w:tcBorders>
                  <w:shd w:val="clear" w:color="auto" w:fill="auto"/>
                  <w:noWrap/>
                  <w:vAlign w:val="center"/>
                </w:tcPr>
                <w:p w14:paraId="7D03B446">
                  <w:pPr>
                    <w:spacing w:line="240" w:lineRule="auto"/>
                    <w:jc w:val="center"/>
                    <w:rPr>
                      <w:rFonts w:hint="eastAsia" w:ascii="Times New Roman" w:hAnsi="Times New Roman" w:eastAsia="宋体" w:cs="Times New Roman"/>
                      <w:color w:val="auto"/>
                      <w:sz w:val="18"/>
                      <w:szCs w:val="18"/>
                    </w:rPr>
                  </w:pPr>
                </w:p>
              </w:tc>
            </w:tr>
            <w:tr w14:paraId="2DB5EA12">
              <w:tblPrEx>
                <w:tblCellMar>
                  <w:top w:w="0" w:type="dxa"/>
                  <w:left w:w="108" w:type="dxa"/>
                  <w:bottom w:w="0" w:type="dxa"/>
                  <w:right w:w="108" w:type="dxa"/>
                </w:tblCellMar>
              </w:tblPrEx>
              <w:trPr>
                <w:trHeight w:val="347"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2C5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5</w:t>
                  </w:r>
                </w:p>
              </w:tc>
              <w:tc>
                <w:tcPr>
                  <w:tcW w:w="222" w:type="pct"/>
                  <w:vMerge w:val="continue"/>
                  <w:tcBorders>
                    <w:left w:val="single" w:color="000000" w:sz="4" w:space="0"/>
                    <w:right w:val="single" w:color="000000" w:sz="4" w:space="0"/>
                  </w:tcBorders>
                  <w:shd w:val="clear" w:color="auto" w:fill="auto"/>
                  <w:vAlign w:val="center"/>
                </w:tcPr>
                <w:p w14:paraId="60820F80">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6015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低压浇铸机</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48A2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800KG，38kW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57D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2EDDDC0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59817A">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4FB375A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C878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5E33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36AC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A47C3">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68~73</w:t>
                  </w:r>
                </w:p>
              </w:tc>
              <w:tc>
                <w:tcPr>
                  <w:tcW w:w="354" w:type="pct"/>
                  <w:vMerge w:val="continue"/>
                  <w:tcBorders>
                    <w:left w:val="single" w:color="000000" w:sz="4" w:space="0"/>
                    <w:right w:val="single" w:color="000000" w:sz="4" w:space="0"/>
                  </w:tcBorders>
                  <w:shd w:val="clear" w:color="auto" w:fill="auto"/>
                  <w:noWrap/>
                  <w:vAlign w:val="center"/>
                </w:tcPr>
                <w:p w14:paraId="6143CB0D">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3FFE1E94">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F53C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48~53</w:t>
                  </w:r>
                </w:p>
              </w:tc>
              <w:tc>
                <w:tcPr>
                  <w:tcW w:w="277" w:type="pct"/>
                  <w:vMerge w:val="continue"/>
                  <w:tcBorders>
                    <w:left w:val="single" w:color="000000" w:sz="4" w:space="0"/>
                    <w:right w:val="single" w:color="000000" w:sz="4" w:space="0"/>
                  </w:tcBorders>
                  <w:shd w:val="clear" w:color="auto" w:fill="auto"/>
                  <w:noWrap/>
                  <w:vAlign w:val="center"/>
                </w:tcPr>
                <w:p w14:paraId="762AC2BB">
                  <w:pPr>
                    <w:spacing w:line="240" w:lineRule="auto"/>
                    <w:jc w:val="center"/>
                    <w:rPr>
                      <w:rFonts w:hint="eastAsia" w:ascii="Times New Roman" w:hAnsi="Times New Roman" w:eastAsia="宋体" w:cs="Times New Roman"/>
                      <w:color w:val="auto"/>
                      <w:sz w:val="18"/>
                      <w:szCs w:val="18"/>
                    </w:rPr>
                  </w:pPr>
                </w:p>
              </w:tc>
            </w:tr>
            <w:tr w14:paraId="5ACB6810">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4E3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w:t>
                  </w:r>
                </w:p>
              </w:tc>
              <w:tc>
                <w:tcPr>
                  <w:tcW w:w="222" w:type="pct"/>
                  <w:vMerge w:val="continue"/>
                  <w:tcBorders>
                    <w:left w:val="single" w:color="000000" w:sz="4" w:space="0"/>
                    <w:right w:val="single" w:color="000000" w:sz="4" w:space="0"/>
                  </w:tcBorders>
                  <w:shd w:val="clear" w:color="auto" w:fill="auto"/>
                  <w:vAlign w:val="center"/>
                </w:tcPr>
                <w:p w14:paraId="1B3CD86A">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C071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卧式带锯</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D986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1000，3kW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492F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27285CA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70~75</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AF9898">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27BF9D6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EF5BC">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0B84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EF19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9FC7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64~69</w:t>
                  </w:r>
                </w:p>
              </w:tc>
              <w:tc>
                <w:tcPr>
                  <w:tcW w:w="354" w:type="pct"/>
                  <w:vMerge w:val="continue"/>
                  <w:tcBorders>
                    <w:left w:val="single" w:color="000000" w:sz="4" w:space="0"/>
                    <w:right w:val="single" w:color="000000" w:sz="4" w:space="0"/>
                  </w:tcBorders>
                  <w:shd w:val="clear" w:color="auto" w:fill="auto"/>
                  <w:noWrap/>
                  <w:vAlign w:val="center"/>
                </w:tcPr>
                <w:p w14:paraId="4154A0C9">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68179993">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E700">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r>
                    <w:rPr>
                      <w:rFonts w:hint="eastAsia" w:ascii="Times New Roman" w:hAnsi="Times New Roman" w:eastAsia="宋体" w:cs="Times New Roman"/>
                      <w:color w:val="auto"/>
                      <w:sz w:val="18"/>
                      <w:szCs w:val="18"/>
                      <w:lang w:val="en-US" w:eastAsia="zh-CN"/>
                    </w:rPr>
                    <w:t>9</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54</w:t>
                  </w:r>
                </w:p>
              </w:tc>
              <w:tc>
                <w:tcPr>
                  <w:tcW w:w="277" w:type="pct"/>
                  <w:vMerge w:val="continue"/>
                  <w:tcBorders>
                    <w:left w:val="single" w:color="000000" w:sz="4" w:space="0"/>
                    <w:right w:val="single" w:color="000000" w:sz="4" w:space="0"/>
                  </w:tcBorders>
                  <w:shd w:val="clear" w:color="auto" w:fill="auto"/>
                  <w:noWrap/>
                  <w:vAlign w:val="center"/>
                </w:tcPr>
                <w:p w14:paraId="42E1F5F3">
                  <w:pPr>
                    <w:spacing w:line="240" w:lineRule="auto"/>
                    <w:jc w:val="center"/>
                    <w:rPr>
                      <w:rFonts w:hint="eastAsia" w:ascii="Times New Roman" w:hAnsi="Times New Roman" w:eastAsia="宋体" w:cs="Times New Roman"/>
                      <w:color w:val="auto"/>
                      <w:sz w:val="18"/>
                      <w:szCs w:val="18"/>
                    </w:rPr>
                  </w:pPr>
                </w:p>
              </w:tc>
            </w:tr>
            <w:tr w14:paraId="29E13839">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478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w:t>
                  </w:r>
                </w:p>
              </w:tc>
              <w:tc>
                <w:tcPr>
                  <w:tcW w:w="222" w:type="pct"/>
                  <w:vMerge w:val="continue"/>
                  <w:tcBorders>
                    <w:left w:val="single" w:color="000000" w:sz="4" w:space="0"/>
                    <w:right w:val="single" w:color="000000" w:sz="4" w:space="0"/>
                  </w:tcBorders>
                  <w:shd w:val="clear" w:color="auto" w:fill="auto"/>
                  <w:vAlign w:val="center"/>
                </w:tcPr>
                <w:p w14:paraId="0593C8BA">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5C05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立车</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9F12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1000，11kW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F847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2AFB0F2">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70~75</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8A4113">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34DD9FA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92EE2">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AA39">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7F46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0897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64~69</w:t>
                  </w:r>
                </w:p>
              </w:tc>
              <w:tc>
                <w:tcPr>
                  <w:tcW w:w="354" w:type="pct"/>
                  <w:vMerge w:val="continue"/>
                  <w:tcBorders>
                    <w:left w:val="single" w:color="000000" w:sz="4" w:space="0"/>
                    <w:right w:val="single" w:color="000000" w:sz="4" w:space="0"/>
                  </w:tcBorders>
                  <w:shd w:val="clear" w:color="auto" w:fill="auto"/>
                  <w:noWrap/>
                  <w:vAlign w:val="center"/>
                </w:tcPr>
                <w:p w14:paraId="0D79B287">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2CF2CDA1">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74C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r>
                    <w:rPr>
                      <w:rFonts w:hint="eastAsia" w:ascii="Times New Roman" w:hAnsi="Times New Roman" w:eastAsia="宋体" w:cs="Times New Roman"/>
                      <w:color w:val="auto"/>
                      <w:sz w:val="18"/>
                      <w:szCs w:val="18"/>
                      <w:lang w:val="en-US" w:eastAsia="zh-CN"/>
                    </w:rPr>
                    <w:t>9</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54</w:t>
                  </w:r>
                </w:p>
              </w:tc>
              <w:tc>
                <w:tcPr>
                  <w:tcW w:w="277" w:type="pct"/>
                  <w:vMerge w:val="continue"/>
                  <w:tcBorders>
                    <w:left w:val="single" w:color="000000" w:sz="4" w:space="0"/>
                    <w:right w:val="single" w:color="000000" w:sz="4" w:space="0"/>
                  </w:tcBorders>
                  <w:shd w:val="clear" w:color="auto" w:fill="auto"/>
                  <w:noWrap/>
                  <w:vAlign w:val="center"/>
                </w:tcPr>
                <w:p w14:paraId="7A928810">
                  <w:pPr>
                    <w:spacing w:line="240" w:lineRule="auto"/>
                    <w:jc w:val="center"/>
                    <w:rPr>
                      <w:rFonts w:hint="eastAsia" w:ascii="Times New Roman" w:hAnsi="Times New Roman" w:eastAsia="宋体" w:cs="Times New Roman"/>
                      <w:color w:val="auto"/>
                      <w:sz w:val="18"/>
                      <w:szCs w:val="18"/>
                    </w:rPr>
                  </w:pPr>
                </w:p>
              </w:tc>
            </w:tr>
            <w:tr w14:paraId="5A2C9421">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3F63">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8</w:t>
                  </w:r>
                </w:p>
              </w:tc>
              <w:tc>
                <w:tcPr>
                  <w:tcW w:w="222" w:type="pct"/>
                  <w:vMerge w:val="continue"/>
                  <w:tcBorders>
                    <w:left w:val="single" w:color="000000" w:sz="4" w:space="0"/>
                    <w:right w:val="single" w:color="000000" w:sz="4" w:space="0"/>
                  </w:tcBorders>
                  <w:shd w:val="clear" w:color="auto" w:fill="auto"/>
                  <w:vAlign w:val="center"/>
                </w:tcPr>
                <w:p w14:paraId="75EC7F68">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DA48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立车</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8713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630，7.5kW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E63F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1C971BF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760B14">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58CB086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814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A46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659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DBE12">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68~73</w:t>
                  </w:r>
                </w:p>
              </w:tc>
              <w:tc>
                <w:tcPr>
                  <w:tcW w:w="354" w:type="pct"/>
                  <w:vMerge w:val="continue"/>
                  <w:tcBorders>
                    <w:left w:val="single" w:color="000000" w:sz="4" w:space="0"/>
                    <w:right w:val="single" w:color="000000" w:sz="4" w:space="0"/>
                  </w:tcBorders>
                  <w:shd w:val="clear" w:color="auto" w:fill="auto"/>
                  <w:noWrap/>
                  <w:vAlign w:val="center"/>
                </w:tcPr>
                <w:p w14:paraId="773343D4">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5611E0C6">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77B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53</w:t>
                  </w:r>
                  <w:r>
                    <w:rPr>
                      <w:rFonts w:hint="eastAsia" w:ascii="Times New Roman" w:hAnsi="Times New Roman" w:eastAsia="宋体" w:cs="Times New Roman"/>
                      <w:color w:val="auto"/>
                      <w:sz w:val="18"/>
                      <w:szCs w:val="18"/>
                    </w:rPr>
                    <w:t>~5</w:t>
                  </w:r>
                  <w:r>
                    <w:rPr>
                      <w:rFonts w:hint="eastAsia" w:ascii="Times New Roman" w:hAnsi="Times New Roman" w:eastAsia="宋体" w:cs="Times New Roman"/>
                      <w:color w:val="auto"/>
                      <w:sz w:val="18"/>
                      <w:szCs w:val="18"/>
                      <w:lang w:val="en-US" w:eastAsia="zh-CN"/>
                    </w:rPr>
                    <w:t>8</w:t>
                  </w:r>
                </w:p>
              </w:tc>
              <w:tc>
                <w:tcPr>
                  <w:tcW w:w="277" w:type="pct"/>
                  <w:vMerge w:val="continue"/>
                  <w:tcBorders>
                    <w:left w:val="single" w:color="000000" w:sz="4" w:space="0"/>
                    <w:right w:val="single" w:color="000000" w:sz="4" w:space="0"/>
                  </w:tcBorders>
                  <w:shd w:val="clear" w:color="auto" w:fill="auto"/>
                  <w:noWrap/>
                  <w:vAlign w:val="center"/>
                </w:tcPr>
                <w:p w14:paraId="5ED1AB1C">
                  <w:pPr>
                    <w:spacing w:line="240" w:lineRule="auto"/>
                    <w:jc w:val="center"/>
                    <w:rPr>
                      <w:rFonts w:hint="eastAsia" w:ascii="Times New Roman" w:hAnsi="Times New Roman" w:eastAsia="宋体" w:cs="Times New Roman"/>
                      <w:color w:val="auto"/>
                      <w:sz w:val="18"/>
                      <w:szCs w:val="18"/>
                    </w:rPr>
                  </w:pPr>
                </w:p>
              </w:tc>
            </w:tr>
            <w:tr w14:paraId="03EDC4A4">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6212">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9</w:t>
                  </w:r>
                </w:p>
              </w:tc>
              <w:tc>
                <w:tcPr>
                  <w:tcW w:w="222" w:type="pct"/>
                  <w:vMerge w:val="continue"/>
                  <w:tcBorders>
                    <w:left w:val="single" w:color="000000" w:sz="4" w:space="0"/>
                    <w:right w:val="single" w:color="000000" w:sz="4" w:space="0"/>
                  </w:tcBorders>
                  <w:shd w:val="clear" w:color="auto" w:fill="auto"/>
                  <w:vAlign w:val="center"/>
                </w:tcPr>
                <w:p w14:paraId="5DD437FE">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48F0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卧式车床</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0D08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6150，11kW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C22B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4292DE9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CE009C">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5CC63AF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E2D1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396A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69E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2C932">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68~73</w:t>
                  </w:r>
                </w:p>
              </w:tc>
              <w:tc>
                <w:tcPr>
                  <w:tcW w:w="354" w:type="pct"/>
                  <w:vMerge w:val="continue"/>
                  <w:tcBorders>
                    <w:left w:val="single" w:color="000000" w:sz="4" w:space="0"/>
                    <w:right w:val="single" w:color="000000" w:sz="4" w:space="0"/>
                  </w:tcBorders>
                  <w:shd w:val="clear" w:color="auto" w:fill="auto"/>
                  <w:noWrap/>
                  <w:vAlign w:val="center"/>
                </w:tcPr>
                <w:p w14:paraId="0E8F1956">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19CADDDF">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3197">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53</w:t>
                  </w:r>
                  <w:r>
                    <w:rPr>
                      <w:rFonts w:hint="eastAsia" w:ascii="Times New Roman" w:hAnsi="Times New Roman" w:eastAsia="宋体" w:cs="Times New Roman"/>
                      <w:color w:val="auto"/>
                      <w:sz w:val="18"/>
                      <w:szCs w:val="18"/>
                    </w:rPr>
                    <w:t>~5</w:t>
                  </w:r>
                  <w:r>
                    <w:rPr>
                      <w:rFonts w:hint="eastAsia" w:ascii="Times New Roman" w:hAnsi="Times New Roman" w:eastAsia="宋体" w:cs="Times New Roman"/>
                      <w:color w:val="auto"/>
                      <w:sz w:val="18"/>
                      <w:szCs w:val="18"/>
                      <w:lang w:val="en-US" w:eastAsia="zh-CN"/>
                    </w:rPr>
                    <w:t>8</w:t>
                  </w:r>
                </w:p>
              </w:tc>
              <w:tc>
                <w:tcPr>
                  <w:tcW w:w="277" w:type="pct"/>
                  <w:vMerge w:val="continue"/>
                  <w:tcBorders>
                    <w:left w:val="single" w:color="000000" w:sz="4" w:space="0"/>
                    <w:right w:val="single" w:color="000000" w:sz="4" w:space="0"/>
                  </w:tcBorders>
                  <w:shd w:val="clear" w:color="auto" w:fill="auto"/>
                  <w:noWrap/>
                  <w:vAlign w:val="center"/>
                </w:tcPr>
                <w:p w14:paraId="740212AC">
                  <w:pPr>
                    <w:spacing w:line="240" w:lineRule="auto"/>
                    <w:jc w:val="center"/>
                    <w:rPr>
                      <w:rFonts w:hint="eastAsia" w:ascii="Times New Roman" w:hAnsi="Times New Roman" w:eastAsia="宋体" w:cs="Times New Roman"/>
                      <w:color w:val="auto"/>
                      <w:sz w:val="18"/>
                      <w:szCs w:val="18"/>
                    </w:rPr>
                  </w:pPr>
                </w:p>
              </w:tc>
            </w:tr>
            <w:tr w14:paraId="1986D0BE">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46E1">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rPr>
                    <w:t>1</w:t>
                  </w:r>
                  <w:r>
                    <w:rPr>
                      <w:rFonts w:hint="eastAsia" w:ascii="Times New Roman" w:hAnsi="Times New Roman" w:eastAsia="宋体" w:cs="Times New Roman"/>
                      <w:color w:val="auto"/>
                      <w:sz w:val="18"/>
                      <w:szCs w:val="18"/>
                      <w:lang w:val="en-US" w:eastAsia="zh-CN"/>
                    </w:rPr>
                    <w:t>0</w:t>
                  </w:r>
                </w:p>
              </w:tc>
              <w:tc>
                <w:tcPr>
                  <w:tcW w:w="222" w:type="pct"/>
                  <w:vMerge w:val="continue"/>
                  <w:tcBorders>
                    <w:left w:val="single" w:color="000000" w:sz="4" w:space="0"/>
                    <w:right w:val="single" w:color="000000" w:sz="4" w:space="0"/>
                  </w:tcBorders>
                  <w:shd w:val="clear" w:color="auto" w:fill="auto"/>
                  <w:vAlign w:val="center"/>
                </w:tcPr>
                <w:p w14:paraId="3C85CE2A">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7169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气密检测机</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8297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100T，7.5kW</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89A6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6EE2655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70~75</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626D0FC">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6CDF63E7">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1D6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AC25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BF18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E0F2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64~69</w:t>
                  </w:r>
                </w:p>
              </w:tc>
              <w:tc>
                <w:tcPr>
                  <w:tcW w:w="354" w:type="pct"/>
                  <w:vMerge w:val="continue"/>
                  <w:tcBorders>
                    <w:left w:val="single" w:color="000000" w:sz="4" w:space="0"/>
                    <w:right w:val="single" w:color="000000" w:sz="4" w:space="0"/>
                  </w:tcBorders>
                  <w:shd w:val="clear" w:color="auto" w:fill="auto"/>
                  <w:noWrap/>
                  <w:vAlign w:val="center"/>
                </w:tcPr>
                <w:p w14:paraId="36855A5D">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7D8F62DE">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8D4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r>
                    <w:rPr>
                      <w:rFonts w:hint="eastAsia" w:ascii="Times New Roman" w:hAnsi="Times New Roman" w:eastAsia="宋体" w:cs="Times New Roman"/>
                      <w:color w:val="auto"/>
                      <w:sz w:val="18"/>
                      <w:szCs w:val="18"/>
                      <w:lang w:val="en-US" w:eastAsia="zh-CN"/>
                    </w:rPr>
                    <w:t>9</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54</w:t>
                  </w:r>
                </w:p>
              </w:tc>
              <w:tc>
                <w:tcPr>
                  <w:tcW w:w="277" w:type="pct"/>
                  <w:vMerge w:val="continue"/>
                  <w:tcBorders>
                    <w:left w:val="single" w:color="000000" w:sz="4" w:space="0"/>
                    <w:right w:val="single" w:color="000000" w:sz="4" w:space="0"/>
                  </w:tcBorders>
                  <w:shd w:val="clear" w:color="auto" w:fill="auto"/>
                  <w:noWrap/>
                  <w:vAlign w:val="center"/>
                </w:tcPr>
                <w:p w14:paraId="61B834FE">
                  <w:pPr>
                    <w:spacing w:line="240" w:lineRule="auto"/>
                    <w:jc w:val="center"/>
                    <w:rPr>
                      <w:rFonts w:hint="eastAsia" w:ascii="Times New Roman" w:hAnsi="Times New Roman" w:eastAsia="宋体" w:cs="Times New Roman"/>
                      <w:color w:val="auto"/>
                      <w:sz w:val="18"/>
                      <w:szCs w:val="18"/>
                    </w:rPr>
                  </w:pPr>
                </w:p>
              </w:tc>
            </w:tr>
            <w:tr w14:paraId="433185AA">
              <w:tblPrEx>
                <w:tblCellMar>
                  <w:top w:w="0" w:type="dxa"/>
                  <w:left w:w="108" w:type="dxa"/>
                  <w:bottom w:w="0" w:type="dxa"/>
                  <w:right w:w="108" w:type="dxa"/>
                </w:tblCellMar>
              </w:tblPrEx>
              <w:trPr>
                <w:trHeight w:val="340" w:hRule="atLeast"/>
              </w:trPr>
              <w:tc>
                <w:tcPr>
                  <w:tcW w:w="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3C66">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rPr>
                    <w:t>1</w:t>
                  </w:r>
                  <w:r>
                    <w:rPr>
                      <w:rFonts w:hint="eastAsia" w:ascii="Times New Roman" w:hAnsi="Times New Roman" w:eastAsia="宋体" w:cs="Times New Roman"/>
                      <w:color w:val="auto"/>
                      <w:sz w:val="18"/>
                      <w:szCs w:val="18"/>
                      <w:lang w:val="en-US" w:eastAsia="zh-CN"/>
                    </w:rPr>
                    <w:t>1</w:t>
                  </w:r>
                </w:p>
              </w:tc>
              <w:tc>
                <w:tcPr>
                  <w:tcW w:w="222" w:type="pct"/>
                  <w:vMerge w:val="continue"/>
                  <w:tcBorders>
                    <w:left w:val="single" w:color="000000" w:sz="4" w:space="0"/>
                    <w:right w:val="single" w:color="000000" w:sz="4" w:space="0"/>
                  </w:tcBorders>
                  <w:shd w:val="clear" w:color="auto" w:fill="auto"/>
                  <w:vAlign w:val="center"/>
                </w:tcPr>
                <w:p w14:paraId="0FC69495">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BB92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打包机</w:t>
                  </w:r>
                </w:p>
              </w:tc>
              <w:tc>
                <w:tcPr>
                  <w:tcW w:w="7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D212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445B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67"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17BEE96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18F388">
                  <w:pPr>
                    <w:spacing w:line="240" w:lineRule="auto"/>
                    <w:jc w:val="center"/>
                    <w:rPr>
                      <w:rFonts w:hint="eastAsia" w:ascii="Times New Roman" w:hAnsi="Times New Roman" w:eastAsia="宋体" w:cs="Times New Roman"/>
                      <w:color w:val="auto"/>
                      <w:sz w:val="18"/>
                      <w:szCs w:val="18"/>
                    </w:rPr>
                  </w:pPr>
                </w:p>
              </w:tc>
              <w:tc>
                <w:tcPr>
                  <w:tcW w:w="267"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00245A6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450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520</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2E37C">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20</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90</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8A4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A19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4FFE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64~69</w:t>
                  </w:r>
                </w:p>
              </w:tc>
              <w:tc>
                <w:tcPr>
                  <w:tcW w:w="354" w:type="pct"/>
                  <w:vMerge w:val="continue"/>
                  <w:tcBorders>
                    <w:left w:val="single" w:color="000000" w:sz="4" w:space="0"/>
                    <w:right w:val="single" w:color="000000" w:sz="4" w:space="0"/>
                  </w:tcBorders>
                  <w:shd w:val="clear" w:color="auto" w:fill="auto"/>
                  <w:noWrap/>
                  <w:vAlign w:val="center"/>
                </w:tcPr>
                <w:p w14:paraId="432E1F0E">
                  <w:pPr>
                    <w:spacing w:line="240" w:lineRule="auto"/>
                    <w:jc w:val="center"/>
                    <w:rPr>
                      <w:rFonts w:hint="eastAsia" w:ascii="Times New Roman" w:hAnsi="Times New Roman" w:eastAsia="宋体" w:cs="Times New Roman"/>
                      <w:color w:val="auto"/>
                      <w:sz w:val="18"/>
                      <w:szCs w:val="18"/>
                    </w:rPr>
                  </w:pPr>
                </w:p>
              </w:tc>
              <w:tc>
                <w:tcPr>
                  <w:tcW w:w="269" w:type="pct"/>
                  <w:vMerge w:val="continue"/>
                  <w:tcBorders>
                    <w:left w:val="single" w:color="000000" w:sz="4" w:space="0"/>
                    <w:right w:val="single" w:color="000000" w:sz="4" w:space="0"/>
                  </w:tcBorders>
                  <w:shd w:val="clear" w:color="auto" w:fill="auto"/>
                  <w:noWrap/>
                  <w:vAlign w:val="center"/>
                </w:tcPr>
                <w:p w14:paraId="6A306144">
                  <w:pPr>
                    <w:spacing w:line="240" w:lineRule="auto"/>
                    <w:jc w:val="center"/>
                    <w:rPr>
                      <w:rFonts w:hint="eastAsia" w:ascii="Times New Roman" w:hAnsi="Times New Roman" w:eastAsia="宋体" w:cs="Times New Roman"/>
                      <w:color w:val="auto"/>
                      <w:sz w:val="18"/>
                      <w:szCs w:val="18"/>
                    </w:rPr>
                  </w:pPr>
                </w:p>
              </w:tc>
              <w:tc>
                <w:tcPr>
                  <w:tcW w:w="2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0A04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r>
                    <w:rPr>
                      <w:rFonts w:hint="eastAsia" w:ascii="Times New Roman" w:hAnsi="Times New Roman" w:eastAsia="宋体" w:cs="Times New Roman"/>
                      <w:color w:val="auto"/>
                      <w:sz w:val="18"/>
                      <w:szCs w:val="18"/>
                      <w:lang w:val="en-US" w:eastAsia="zh-CN"/>
                    </w:rPr>
                    <w:t>9</w:t>
                  </w:r>
                  <w:r>
                    <w:rPr>
                      <w:rFonts w:hint="eastAsia" w:ascii="Times New Roman" w:hAnsi="Times New Roman" w:eastAsia="宋体" w:cs="Times New Roman"/>
                      <w:color w:val="auto"/>
                      <w:sz w:val="18"/>
                      <w:szCs w:val="18"/>
                    </w:rPr>
                    <w:t>~</w:t>
                  </w:r>
                  <w:r>
                    <w:rPr>
                      <w:rFonts w:hint="eastAsia" w:ascii="Times New Roman" w:hAnsi="Times New Roman" w:eastAsia="宋体" w:cs="Times New Roman"/>
                      <w:color w:val="auto"/>
                      <w:sz w:val="18"/>
                      <w:szCs w:val="18"/>
                      <w:lang w:val="en-US" w:eastAsia="zh-CN"/>
                    </w:rPr>
                    <w:t>54</w:t>
                  </w:r>
                </w:p>
              </w:tc>
              <w:tc>
                <w:tcPr>
                  <w:tcW w:w="277" w:type="pct"/>
                  <w:vMerge w:val="continue"/>
                  <w:tcBorders>
                    <w:left w:val="single" w:color="000000" w:sz="4" w:space="0"/>
                    <w:right w:val="single" w:color="000000" w:sz="4" w:space="0"/>
                  </w:tcBorders>
                  <w:shd w:val="clear" w:color="auto" w:fill="auto"/>
                  <w:noWrap/>
                  <w:vAlign w:val="center"/>
                </w:tcPr>
                <w:p w14:paraId="66660470">
                  <w:pPr>
                    <w:spacing w:line="240" w:lineRule="auto"/>
                    <w:jc w:val="center"/>
                    <w:rPr>
                      <w:rFonts w:hint="eastAsia" w:ascii="Times New Roman" w:hAnsi="Times New Roman" w:eastAsia="宋体" w:cs="Times New Roman"/>
                      <w:color w:val="auto"/>
                      <w:sz w:val="18"/>
                      <w:szCs w:val="18"/>
                    </w:rPr>
                  </w:pPr>
                </w:p>
              </w:tc>
            </w:tr>
            <w:tr w14:paraId="0BC7C2A7">
              <w:tblPrEx>
                <w:tblCellMar>
                  <w:top w:w="0" w:type="dxa"/>
                  <w:left w:w="108" w:type="dxa"/>
                  <w:bottom w:w="0" w:type="dxa"/>
                  <w:right w:w="108" w:type="dxa"/>
                </w:tblCellMar>
              </w:tblPrEx>
              <w:trPr>
                <w:trHeight w:val="369"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71A5F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22" w:type="pct"/>
                  <w:vMerge w:val="restart"/>
                  <w:tcBorders>
                    <w:top w:val="single" w:color="000000" w:sz="8" w:space="0"/>
                    <w:left w:val="single" w:color="000000" w:sz="8" w:space="0"/>
                    <w:right w:val="single" w:color="000000" w:sz="8" w:space="0"/>
                  </w:tcBorders>
                  <w:shd w:val="clear" w:color="auto" w:fill="auto"/>
                  <w:vAlign w:val="center"/>
                </w:tcPr>
                <w:p w14:paraId="3D64A8D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车间外</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990931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空压机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E329B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通用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18509B">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34E82B0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1C46DE">
                  <w:pPr>
                    <w:spacing w:line="240" w:lineRule="auto"/>
                    <w:jc w:val="center"/>
                    <w:rPr>
                      <w:rFonts w:hint="eastAsia" w:ascii="Times New Roman" w:hAnsi="Times New Roman" w:eastAsia="宋体" w:cs="Times New Roman"/>
                      <w:color w:val="auto"/>
                      <w:sz w:val="18"/>
                      <w:szCs w:val="18"/>
                    </w:rPr>
                  </w:pPr>
                </w:p>
              </w:tc>
              <w:tc>
                <w:tcPr>
                  <w:tcW w:w="0" w:type="auto"/>
                  <w:tcBorders>
                    <w:top w:val="single" w:color="000000" w:sz="8" w:space="0"/>
                    <w:left w:val="single" w:color="auto" w:sz="4" w:space="0"/>
                    <w:bottom w:val="single" w:color="000000" w:sz="8" w:space="0"/>
                    <w:right w:val="single" w:color="000000" w:sz="8" w:space="0"/>
                  </w:tcBorders>
                  <w:shd w:val="clear" w:color="auto" w:fill="auto"/>
                  <w:vAlign w:val="center"/>
                </w:tcPr>
                <w:p w14:paraId="4D96CD9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05228B">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3194D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94BA0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21CEB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354" w:type="pct"/>
                  <w:vMerge w:val="restart"/>
                  <w:tcBorders>
                    <w:top w:val="single" w:color="000000" w:sz="8" w:space="0"/>
                    <w:left w:val="single" w:color="000000" w:sz="8" w:space="0"/>
                    <w:right w:val="single" w:color="000000" w:sz="8" w:space="0"/>
                  </w:tcBorders>
                  <w:shd w:val="clear" w:color="auto" w:fill="auto"/>
                  <w:vAlign w:val="center"/>
                </w:tcPr>
                <w:p w14:paraId="11C69A38">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6</w:t>
                  </w:r>
                  <w:r>
                    <w:rPr>
                      <w:rFonts w:hint="eastAsia" w:ascii="Times New Roman" w:hAnsi="Times New Roman" w:eastAsia="宋体" w:cs="Times New Roman"/>
                      <w:color w:val="auto"/>
                      <w:sz w:val="18"/>
                      <w:szCs w:val="18"/>
                    </w:rPr>
                    <w:t>点-2</w:t>
                  </w:r>
                  <w:r>
                    <w:rPr>
                      <w:rFonts w:hint="eastAsia" w:ascii="Times New Roman" w:hAnsi="Times New Roman" w:eastAsia="宋体" w:cs="Times New Roman"/>
                      <w:color w:val="auto"/>
                      <w:sz w:val="18"/>
                      <w:szCs w:val="18"/>
                      <w:lang w:val="en-US" w:eastAsia="zh-CN"/>
                    </w:rPr>
                    <w:t>2</w:t>
                  </w:r>
                  <w:r>
                    <w:rPr>
                      <w:rFonts w:hint="eastAsia" w:ascii="Times New Roman" w:hAnsi="Times New Roman" w:eastAsia="宋体" w:cs="Times New Roman"/>
                      <w:color w:val="auto"/>
                      <w:sz w:val="18"/>
                      <w:szCs w:val="18"/>
                    </w:rPr>
                    <w:t>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52818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B0E2E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6A6AE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r>
            <w:tr w14:paraId="7E006B83">
              <w:tblPrEx>
                <w:tblCellMar>
                  <w:top w:w="0" w:type="dxa"/>
                  <w:left w:w="108" w:type="dxa"/>
                  <w:bottom w:w="0" w:type="dxa"/>
                  <w:right w:w="108" w:type="dxa"/>
                </w:tblCellMar>
              </w:tblPrEx>
              <w:trPr>
                <w:trHeight w:val="34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58F80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13</w:t>
                  </w:r>
                </w:p>
              </w:tc>
              <w:tc>
                <w:tcPr>
                  <w:tcW w:w="222" w:type="pct"/>
                  <w:vMerge w:val="continue"/>
                  <w:tcBorders>
                    <w:left w:val="single" w:color="000000" w:sz="8" w:space="0"/>
                    <w:right w:val="single" w:color="000000" w:sz="8" w:space="0"/>
                  </w:tcBorders>
                  <w:shd w:val="clear" w:color="auto" w:fill="auto"/>
                  <w:vAlign w:val="center"/>
                </w:tcPr>
                <w:p w14:paraId="12A8B806">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A6E87F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风机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4A389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通用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9A6285">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6CC25E4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85~90</w:t>
                  </w:r>
                </w:p>
              </w:tc>
              <w:tc>
                <w:tcPr>
                  <w:tcW w:w="26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CB5EF2F">
                  <w:pPr>
                    <w:spacing w:line="240" w:lineRule="auto"/>
                    <w:jc w:val="center"/>
                    <w:rPr>
                      <w:rFonts w:hint="eastAsia" w:ascii="Times New Roman" w:hAnsi="Times New Roman" w:eastAsia="宋体" w:cs="Times New Roman"/>
                      <w:color w:val="auto"/>
                      <w:sz w:val="18"/>
                      <w:szCs w:val="18"/>
                    </w:rPr>
                  </w:pPr>
                </w:p>
              </w:tc>
              <w:tc>
                <w:tcPr>
                  <w:tcW w:w="0" w:type="auto"/>
                  <w:tcBorders>
                    <w:top w:val="single" w:color="000000" w:sz="8" w:space="0"/>
                    <w:left w:val="single" w:color="auto" w:sz="4" w:space="0"/>
                    <w:bottom w:val="single" w:color="000000" w:sz="8" w:space="0"/>
                    <w:right w:val="single" w:color="000000" w:sz="8" w:space="0"/>
                  </w:tcBorders>
                  <w:shd w:val="clear" w:color="auto" w:fill="auto"/>
                  <w:vAlign w:val="center"/>
                </w:tcPr>
                <w:p w14:paraId="02FCF1BC">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5CA296">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EA2C7A">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27C899">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D1C0EE">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354" w:type="pct"/>
                  <w:vMerge w:val="continue"/>
                  <w:tcBorders>
                    <w:left w:val="single" w:color="000000" w:sz="8" w:space="0"/>
                    <w:right w:val="single" w:color="000000" w:sz="8" w:space="0"/>
                  </w:tcBorders>
                  <w:shd w:val="clear" w:color="auto" w:fill="auto"/>
                  <w:vAlign w:val="center"/>
                </w:tcPr>
                <w:p w14:paraId="70017539">
                  <w:pPr>
                    <w:spacing w:line="240" w:lineRule="auto"/>
                    <w:jc w:val="center"/>
                    <w:rPr>
                      <w:rFonts w:hint="eastAsia" w:ascii="Times New Roman" w:hAnsi="Times New Roman" w:eastAsia="宋体" w:cs="Times New Roman"/>
                      <w:color w:val="auto"/>
                      <w:sz w:val="18"/>
                      <w:szCs w:val="18"/>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7D2F05">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5F16A1">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5202B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r>
            <w:tr w14:paraId="0E21CE0C">
              <w:tblPrEx>
                <w:tblCellMar>
                  <w:top w:w="0" w:type="dxa"/>
                  <w:left w:w="108" w:type="dxa"/>
                  <w:bottom w:w="0" w:type="dxa"/>
                  <w:right w:w="108" w:type="dxa"/>
                </w:tblCellMar>
              </w:tblPrEx>
              <w:trPr>
                <w:trHeight w:val="34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5991E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w:t>
                  </w:r>
                </w:p>
              </w:tc>
              <w:tc>
                <w:tcPr>
                  <w:tcW w:w="222" w:type="pct"/>
                  <w:vMerge w:val="continue"/>
                  <w:tcBorders>
                    <w:left w:val="single" w:color="000000" w:sz="8" w:space="0"/>
                    <w:bottom w:val="single" w:color="000000" w:sz="8" w:space="0"/>
                    <w:right w:val="single" w:color="000000" w:sz="8" w:space="0"/>
                  </w:tcBorders>
                  <w:shd w:val="clear" w:color="auto" w:fill="auto"/>
                  <w:vAlign w:val="center"/>
                </w:tcPr>
                <w:p w14:paraId="357641BF">
                  <w:pPr>
                    <w:spacing w:line="240" w:lineRule="auto"/>
                    <w:jc w:val="center"/>
                    <w:rPr>
                      <w:rFonts w:hint="eastAsia" w:ascii="Times New Roman" w:hAnsi="Times New Roman" w:eastAsia="宋体" w:cs="Times New Roman"/>
                      <w:color w:val="auto"/>
                      <w:sz w:val="18"/>
                      <w:szCs w:val="18"/>
                    </w:rPr>
                  </w:pP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D920B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循环冷却系统</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B89AC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CA53C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0" w:type="auto"/>
                  <w:tcBorders>
                    <w:top w:val="single" w:color="000000" w:sz="8" w:space="0"/>
                    <w:left w:val="single" w:color="000000" w:sz="8" w:space="0"/>
                    <w:bottom w:val="single" w:color="000000" w:sz="8" w:space="0"/>
                    <w:right w:val="single" w:color="auto" w:sz="4" w:space="0"/>
                  </w:tcBorders>
                  <w:shd w:val="clear" w:color="auto" w:fill="auto"/>
                  <w:vAlign w:val="center"/>
                </w:tcPr>
                <w:p w14:paraId="45CE262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85-90</w:t>
                  </w:r>
                </w:p>
              </w:tc>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14:paraId="58E5CED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auto" w:sz="4" w:space="0"/>
                    <w:bottom w:val="single" w:color="000000" w:sz="8" w:space="0"/>
                    <w:right w:val="single" w:color="000000" w:sz="8" w:space="0"/>
                  </w:tcBorders>
                  <w:shd w:val="clear" w:color="auto" w:fill="auto"/>
                  <w:vAlign w:val="center"/>
                </w:tcPr>
                <w:p w14:paraId="48BF224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3C0A4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DA7D9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9CC1A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0C6C6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354" w:type="pct"/>
                  <w:vMerge w:val="continue"/>
                  <w:tcBorders>
                    <w:left w:val="single" w:color="000000" w:sz="8" w:space="0"/>
                    <w:bottom w:val="single" w:color="000000" w:sz="8" w:space="0"/>
                    <w:right w:val="single" w:color="000000" w:sz="8" w:space="0"/>
                  </w:tcBorders>
                  <w:shd w:val="clear" w:color="auto" w:fill="auto"/>
                  <w:vAlign w:val="center"/>
                </w:tcPr>
                <w:p w14:paraId="17999233">
                  <w:pPr>
                    <w:spacing w:line="240" w:lineRule="auto"/>
                    <w:jc w:val="center"/>
                    <w:rPr>
                      <w:rFonts w:hint="eastAsia" w:ascii="Times New Roman" w:hAnsi="Times New Roman" w:eastAsia="宋体" w:cs="Times New Roman"/>
                      <w:color w:val="auto"/>
                      <w:sz w:val="18"/>
                      <w:szCs w:val="18"/>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BEF29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A7272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7DAAF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r>
          </w:tbl>
          <w:p w14:paraId="72F87A59">
            <w:pPr>
              <w:rPr>
                <w:color w:val="auto"/>
                <w:sz w:val="18"/>
                <w:szCs w:val="18"/>
              </w:rPr>
            </w:pPr>
          </w:p>
          <w:p w14:paraId="1C8FFCD9">
            <w:pPr>
              <w:topLinePunct/>
              <w:jc w:val="center"/>
              <w:rPr>
                <w:rFonts w:hint="eastAsia" w:ascii="黑体" w:hAnsi="黑体" w:eastAsia="黑体"/>
                <w:color w:val="auto"/>
              </w:rPr>
            </w:pPr>
            <w:r>
              <w:rPr>
                <w:rFonts w:ascii="黑体" w:hAnsi="黑体" w:eastAsia="黑体"/>
                <w:color w:val="auto"/>
              </w:rPr>
              <w:t>表</w:t>
            </w:r>
            <w:r>
              <w:rPr>
                <w:rFonts w:eastAsia="黑体"/>
                <w:color w:val="auto"/>
              </w:rPr>
              <w:t>4-</w:t>
            </w:r>
            <w:r>
              <w:rPr>
                <w:rFonts w:hint="eastAsia" w:eastAsia="黑体"/>
                <w:color w:val="auto"/>
              </w:rPr>
              <w:t>1</w:t>
            </w:r>
            <w:r>
              <w:rPr>
                <w:rFonts w:hint="eastAsia" w:eastAsia="黑体"/>
                <w:color w:val="auto"/>
                <w:lang w:val="en-US" w:eastAsia="zh-CN"/>
              </w:rPr>
              <w:t>5</w:t>
            </w:r>
            <w:r>
              <w:rPr>
                <w:rFonts w:ascii="黑体" w:hAnsi="黑体" w:eastAsia="黑体"/>
                <w:color w:val="auto"/>
              </w:rPr>
              <w:t xml:space="preserve"> </w:t>
            </w:r>
            <w:r>
              <w:rPr>
                <w:rFonts w:hint="eastAsia" w:ascii="黑体" w:hAnsi="黑体" w:eastAsia="黑体"/>
                <w:color w:val="auto"/>
              </w:rPr>
              <w:t xml:space="preserve"> </w:t>
            </w:r>
            <w:r>
              <w:rPr>
                <w:rFonts w:hint="eastAsia" w:ascii="黑体" w:hAnsi="黑体" w:eastAsia="黑体"/>
                <w:color w:val="auto"/>
                <w:lang w:val="en-US" w:eastAsia="zh-CN"/>
              </w:rPr>
              <w:t>现有项目</w:t>
            </w:r>
            <w:r>
              <w:rPr>
                <w:rFonts w:ascii="黑体" w:hAnsi="黑体" w:eastAsia="黑体"/>
                <w:color w:val="auto"/>
              </w:rPr>
              <w:t>主要设备噪声源及声级水平</w:t>
            </w:r>
          </w:p>
          <w:tbl>
            <w:tblPr>
              <w:tblStyle w:val="69"/>
              <w:tblW w:w="5000" w:type="pct"/>
              <w:tblInd w:w="0" w:type="dxa"/>
              <w:tblLayout w:type="autofit"/>
              <w:tblCellMar>
                <w:top w:w="0" w:type="dxa"/>
                <w:left w:w="108" w:type="dxa"/>
                <w:bottom w:w="0" w:type="dxa"/>
                <w:right w:w="108" w:type="dxa"/>
              </w:tblCellMar>
            </w:tblPr>
            <w:tblGrid>
              <w:gridCol w:w="396"/>
              <w:gridCol w:w="640"/>
              <w:gridCol w:w="1492"/>
              <w:gridCol w:w="2009"/>
              <w:gridCol w:w="764"/>
              <w:gridCol w:w="764"/>
              <w:gridCol w:w="764"/>
              <w:gridCol w:w="764"/>
              <w:gridCol w:w="764"/>
              <w:gridCol w:w="806"/>
              <w:gridCol w:w="767"/>
              <w:gridCol w:w="767"/>
              <w:gridCol w:w="996"/>
              <w:gridCol w:w="767"/>
              <w:gridCol w:w="767"/>
              <w:gridCol w:w="803"/>
            </w:tblGrid>
            <w:tr w14:paraId="419CE382">
              <w:tblPrEx>
                <w:tblCellMar>
                  <w:top w:w="0" w:type="dxa"/>
                  <w:left w:w="108" w:type="dxa"/>
                  <w:bottom w:w="0" w:type="dxa"/>
                  <w:right w:w="108" w:type="dxa"/>
                </w:tblCellMar>
              </w:tblPrEx>
              <w:trPr>
                <w:trHeight w:val="340" w:hRule="atLeast"/>
              </w:trPr>
              <w:tc>
                <w:tcPr>
                  <w:tcW w:w="1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63B665">
                  <w:pPr>
                    <w:widowControl/>
                    <w:jc w:val="center"/>
                    <w:textAlignment w:val="center"/>
                    <w:rPr>
                      <w:rFonts w:cs="宋体"/>
                      <w:color w:val="auto"/>
                      <w:sz w:val="18"/>
                      <w:szCs w:val="18"/>
                    </w:rPr>
                  </w:pPr>
                  <w:r>
                    <w:rPr>
                      <w:rFonts w:hint="eastAsia" w:cs="宋体"/>
                      <w:color w:val="auto"/>
                      <w:kern w:val="0"/>
                      <w:sz w:val="18"/>
                      <w:szCs w:val="18"/>
                      <w:lang w:bidi="ar"/>
                    </w:rPr>
                    <w:t>序号</w:t>
                  </w:r>
                </w:p>
              </w:tc>
              <w:tc>
                <w:tcPr>
                  <w:tcW w:w="2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5C54EE">
                  <w:pPr>
                    <w:widowControl/>
                    <w:jc w:val="center"/>
                    <w:textAlignment w:val="center"/>
                    <w:rPr>
                      <w:rFonts w:cs="宋体"/>
                      <w:color w:val="auto"/>
                      <w:sz w:val="18"/>
                      <w:szCs w:val="18"/>
                    </w:rPr>
                  </w:pPr>
                  <w:r>
                    <w:rPr>
                      <w:rFonts w:hint="eastAsia" w:cs="宋体"/>
                      <w:color w:val="auto"/>
                      <w:kern w:val="0"/>
                      <w:sz w:val="18"/>
                      <w:szCs w:val="18"/>
                      <w:lang w:bidi="ar"/>
                    </w:rPr>
                    <w:t>建筑物名称</w:t>
                  </w:r>
                </w:p>
              </w:tc>
              <w:tc>
                <w:tcPr>
                  <w:tcW w:w="5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9C8F3">
                  <w:pPr>
                    <w:widowControl/>
                    <w:jc w:val="center"/>
                    <w:textAlignment w:val="center"/>
                    <w:rPr>
                      <w:rFonts w:cs="宋体"/>
                      <w:color w:val="auto"/>
                      <w:sz w:val="18"/>
                      <w:szCs w:val="18"/>
                    </w:rPr>
                  </w:pPr>
                  <w:r>
                    <w:rPr>
                      <w:rFonts w:hint="eastAsia" w:cs="宋体"/>
                      <w:color w:val="auto"/>
                      <w:kern w:val="0"/>
                      <w:sz w:val="18"/>
                      <w:szCs w:val="18"/>
                      <w:lang w:bidi="ar"/>
                    </w:rPr>
                    <w:t>声源名称</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9A52B">
                  <w:pPr>
                    <w:widowControl/>
                    <w:jc w:val="center"/>
                    <w:textAlignment w:val="center"/>
                    <w:rPr>
                      <w:rFonts w:cs="宋体"/>
                      <w:color w:val="auto"/>
                      <w:sz w:val="18"/>
                      <w:szCs w:val="18"/>
                    </w:rPr>
                  </w:pPr>
                  <w:r>
                    <w:rPr>
                      <w:rFonts w:hint="eastAsia" w:cs="宋体"/>
                      <w:color w:val="auto"/>
                      <w:kern w:val="0"/>
                      <w:sz w:val="18"/>
                      <w:szCs w:val="18"/>
                      <w:lang w:bidi="ar"/>
                    </w:rPr>
                    <w:t>型号</w:t>
                  </w:r>
                </w:p>
              </w:tc>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A822C2">
                  <w:pPr>
                    <w:widowControl/>
                    <w:jc w:val="center"/>
                    <w:textAlignment w:val="center"/>
                    <w:rPr>
                      <w:rFonts w:cs="宋体"/>
                      <w:color w:val="auto"/>
                      <w:sz w:val="18"/>
                      <w:szCs w:val="18"/>
                    </w:rPr>
                  </w:pPr>
                  <w:r>
                    <w:rPr>
                      <w:rFonts w:hint="eastAsia" w:cs="宋体"/>
                      <w:color w:val="auto"/>
                      <w:kern w:val="0"/>
                      <w:sz w:val="18"/>
                      <w:szCs w:val="18"/>
                      <w:lang w:bidi="ar"/>
                    </w:rPr>
                    <w:t>数量（台</w:t>
                  </w:r>
                  <w:r>
                    <w:rPr>
                      <w:rFonts w:hint="eastAsia" w:cs="宋体"/>
                      <w:color w:val="auto"/>
                      <w:kern w:val="0"/>
                      <w:sz w:val="18"/>
                      <w:szCs w:val="18"/>
                      <w:lang w:val="en-US" w:eastAsia="zh-CN" w:bidi="ar"/>
                    </w:rPr>
                    <w:t>/套</w:t>
                  </w:r>
                  <w:r>
                    <w:rPr>
                      <w:rFonts w:hint="eastAsia" w:cs="宋体"/>
                      <w:color w:val="auto"/>
                      <w:kern w:val="0"/>
                      <w:sz w:val="18"/>
                      <w:szCs w:val="18"/>
                      <w:lang w:bidi="ar"/>
                    </w:rPr>
                    <w:t>）</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C6338">
                  <w:pPr>
                    <w:widowControl/>
                    <w:jc w:val="center"/>
                    <w:textAlignment w:val="center"/>
                    <w:rPr>
                      <w:rFonts w:cs="宋体"/>
                      <w:color w:val="auto"/>
                      <w:sz w:val="18"/>
                      <w:szCs w:val="18"/>
                    </w:rPr>
                  </w:pPr>
                  <w:r>
                    <w:rPr>
                      <w:rFonts w:hint="eastAsia" w:cs="宋体"/>
                      <w:color w:val="auto"/>
                      <w:kern w:val="0"/>
                      <w:sz w:val="18"/>
                      <w:szCs w:val="18"/>
                      <w:lang w:bidi="ar"/>
                    </w:rPr>
                    <w:t>声源源强</w:t>
                  </w:r>
                </w:p>
              </w:tc>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28FD8E">
                  <w:pPr>
                    <w:widowControl/>
                    <w:jc w:val="center"/>
                    <w:textAlignment w:val="center"/>
                    <w:rPr>
                      <w:rFonts w:cs="宋体"/>
                      <w:color w:val="auto"/>
                      <w:sz w:val="18"/>
                      <w:szCs w:val="18"/>
                    </w:rPr>
                  </w:pPr>
                  <w:r>
                    <w:rPr>
                      <w:rFonts w:hint="eastAsia" w:cs="宋体"/>
                      <w:color w:val="auto"/>
                      <w:kern w:val="0"/>
                      <w:sz w:val="18"/>
                      <w:szCs w:val="18"/>
                      <w:lang w:bidi="ar"/>
                    </w:rPr>
                    <w:t>声源控制措施</w:t>
                  </w:r>
                </w:p>
              </w:tc>
              <w:tc>
                <w:tcPr>
                  <w:tcW w:w="83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B77418">
                  <w:pPr>
                    <w:widowControl/>
                    <w:jc w:val="center"/>
                    <w:textAlignment w:val="center"/>
                    <w:rPr>
                      <w:rFonts w:cs="宋体"/>
                      <w:color w:val="auto"/>
                      <w:sz w:val="18"/>
                      <w:szCs w:val="18"/>
                    </w:rPr>
                  </w:pPr>
                  <w:r>
                    <w:rPr>
                      <w:rFonts w:hint="eastAsia" w:cs="宋体"/>
                      <w:color w:val="auto"/>
                      <w:kern w:val="0"/>
                      <w:sz w:val="18"/>
                      <w:szCs w:val="18"/>
                      <w:lang w:bidi="ar"/>
                    </w:rPr>
                    <w:t>空间相对位置</w:t>
                  </w:r>
                  <w:r>
                    <w:rPr>
                      <w:color w:val="auto"/>
                      <w:kern w:val="0"/>
                      <w:sz w:val="18"/>
                      <w:szCs w:val="18"/>
                      <w:lang w:bidi="ar"/>
                    </w:rPr>
                    <w:t>/m</w:t>
                  </w:r>
                </w:p>
              </w:tc>
              <w:tc>
                <w:tcPr>
                  <w:tcW w:w="2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CB4637">
                  <w:pPr>
                    <w:widowControl/>
                    <w:jc w:val="center"/>
                    <w:textAlignment w:val="center"/>
                    <w:rPr>
                      <w:rFonts w:cs="宋体"/>
                      <w:color w:val="auto"/>
                      <w:sz w:val="18"/>
                      <w:szCs w:val="18"/>
                    </w:rPr>
                  </w:pPr>
                  <w:r>
                    <w:rPr>
                      <w:rFonts w:hint="eastAsia" w:cs="宋体"/>
                      <w:color w:val="auto"/>
                      <w:kern w:val="0"/>
                      <w:sz w:val="18"/>
                      <w:szCs w:val="18"/>
                      <w:lang w:bidi="ar"/>
                    </w:rPr>
                    <w:t>距室内边界距离</w:t>
                  </w:r>
                  <w:r>
                    <w:rPr>
                      <w:color w:val="auto"/>
                      <w:kern w:val="0"/>
                      <w:sz w:val="18"/>
                      <w:szCs w:val="18"/>
                      <w:lang w:bidi="ar"/>
                    </w:rPr>
                    <w:t>/m</w:t>
                  </w:r>
                </w:p>
              </w:tc>
              <w:tc>
                <w:tcPr>
                  <w:tcW w:w="2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FD3B8E">
                  <w:pPr>
                    <w:widowControl/>
                    <w:jc w:val="center"/>
                    <w:textAlignment w:val="center"/>
                    <w:rPr>
                      <w:rFonts w:cs="宋体"/>
                      <w:color w:val="auto"/>
                      <w:sz w:val="18"/>
                      <w:szCs w:val="18"/>
                    </w:rPr>
                  </w:pPr>
                  <w:r>
                    <w:rPr>
                      <w:rFonts w:hint="eastAsia" w:cs="宋体"/>
                      <w:color w:val="auto"/>
                      <w:kern w:val="0"/>
                      <w:sz w:val="18"/>
                      <w:szCs w:val="18"/>
                      <w:lang w:bidi="ar"/>
                    </w:rPr>
                    <w:t>室内边界声级</w:t>
                  </w:r>
                  <w:r>
                    <w:rPr>
                      <w:color w:val="auto"/>
                      <w:kern w:val="0"/>
                      <w:sz w:val="18"/>
                      <w:szCs w:val="18"/>
                      <w:lang w:bidi="ar"/>
                    </w:rPr>
                    <w:t>/dB(A)</w:t>
                  </w:r>
                </w:p>
              </w:tc>
              <w:tc>
                <w:tcPr>
                  <w:tcW w:w="3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3A335">
                  <w:pPr>
                    <w:widowControl/>
                    <w:jc w:val="center"/>
                    <w:textAlignment w:val="center"/>
                    <w:rPr>
                      <w:rFonts w:cs="宋体"/>
                      <w:color w:val="auto"/>
                      <w:sz w:val="18"/>
                      <w:szCs w:val="18"/>
                    </w:rPr>
                  </w:pPr>
                  <w:r>
                    <w:rPr>
                      <w:rFonts w:hint="eastAsia" w:cs="宋体"/>
                      <w:color w:val="auto"/>
                      <w:kern w:val="0"/>
                      <w:sz w:val="18"/>
                      <w:szCs w:val="18"/>
                      <w:lang w:bidi="ar"/>
                    </w:rPr>
                    <w:t>运行时段</w:t>
                  </w:r>
                </w:p>
              </w:tc>
              <w:tc>
                <w:tcPr>
                  <w:tcW w:w="2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E8AFB">
                  <w:pPr>
                    <w:widowControl/>
                    <w:jc w:val="center"/>
                    <w:textAlignment w:val="center"/>
                    <w:rPr>
                      <w:rFonts w:cs="宋体"/>
                      <w:color w:val="auto"/>
                      <w:sz w:val="18"/>
                      <w:szCs w:val="18"/>
                    </w:rPr>
                  </w:pPr>
                  <w:r>
                    <w:rPr>
                      <w:rFonts w:hint="eastAsia" w:cs="宋体"/>
                      <w:color w:val="auto"/>
                      <w:kern w:val="0"/>
                      <w:sz w:val="18"/>
                      <w:szCs w:val="18"/>
                      <w:lang w:bidi="ar"/>
                    </w:rPr>
                    <w:t>建筑物插入损失</w:t>
                  </w:r>
                  <w:r>
                    <w:rPr>
                      <w:color w:val="auto"/>
                      <w:kern w:val="0"/>
                      <w:sz w:val="18"/>
                      <w:szCs w:val="18"/>
                      <w:lang w:bidi="ar"/>
                    </w:rPr>
                    <w:t>/dB(A)</w:t>
                  </w:r>
                </w:p>
              </w:tc>
              <w:tc>
                <w:tcPr>
                  <w:tcW w:w="55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94D6FC">
                  <w:pPr>
                    <w:widowControl/>
                    <w:jc w:val="center"/>
                    <w:textAlignment w:val="center"/>
                    <w:rPr>
                      <w:rFonts w:cs="宋体"/>
                      <w:color w:val="auto"/>
                      <w:sz w:val="18"/>
                      <w:szCs w:val="18"/>
                    </w:rPr>
                  </w:pPr>
                  <w:r>
                    <w:rPr>
                      <w:rFonts w:hint="eastAsia" w:cs="宋体"/>
                      <w:color w:val="auto"/>
                      <w:kern w:val="0"/>
                      <w:sz w:val="18"/>
                      <w:szCs w:val="18"/>
                      <w:lang w:bidi="ar"/>
                    </w:rPr>
                    <w:t>建筑物外噪声</w:t>
                  </w:r>
                </w:p>
              </w:tc>
            </w:tr>
            <w:tr w14:paraId="2DABF28D">
              <w:tblPrEx>
                <w:tblCellMar>
                  <w:top w:w="0" w:type="dxa"/>
                  <w:left w:w="108" w:type="dxa"/>
                  <w:bottom w:w="0" w:type="dxa"/>
                  <w:right w:w="108" w:type="dxa"/>
                </w:tblCellMar>
              </w:tblPrEx>
              <w:trPr>
                <w:trHeight w:val="340" w:hRule="atLeast"/>
              </w:trPr>
              <w:tc>
                <w:tcPr>
                  <w:tcW w:w="141"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167A914">
                  <w:pPr>
                    <w:jc w:val="center"/>
                    <w:rPr>
                      <w:rFonts w:cs="宋体"/>
                      <w:color w:val="auto"/>
                      <w:sz w:val="18"/>
                      <w:szCs w:val="18"/>
                    </w:rPr>
                  </w:pPr>
                </w:p>
              </w:tc>
              <w:tc>
                <w:tcPr>
                  <w:tcW w:w="228"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57E2757">
                  <w:pPr>
                    <w:jc w:val="center"/>
                    <w:rPr>
                      <w:rFonts w:cs="宋体"/>
                      <w:color w:val="auto"/>
                      <w:sz w:val="18"/>
                      <w:szCs w:val="18"/>
                    </w:rPr>
                  </w:pPr>
                </w:p>
              </w:tc>
              <w:tc>
                <w:tcPr>
                  <w:tcW w:w="531"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1A8286AD">
                  <w:pPr>
                    <w:jc w:val="center"/>
                    <w:rPr>
                      <w:rFonts w:cs="宋体"/>
                      <w:color w:val="auto"/>
                      <w:sz w:val="18"/>
                      <w:szCs w:val="18"/>
                    </w:rPr>
                  </w:pPr>
                </w:p>
              </w:tc>
              <w:tc>
                <w:tcPr>
                  <w:tcW w:w="715"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061B6B2B">
                  <w:pPr>
                    <w:jc w:val="center"/>
                    <w:rPr>
                      <w:rFonts w:cs="宋体"/>
                      <w:color w:val="auto"/>
                      <w:sz w:val="18"/>
                      <w:szCs w:val="18"/>
                    </w:rPr>
                  </w:pPr>
                </w:p>
              </w:tc>
              <w:tc>
                <w:tcPr>
                  <w:tcW w:w="272"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91DE530">
                  <w:pPr>
                    <w:jc w:val="center"/>
                    <w:rPr>
                      <w:rFonts w:cs="宋体"/>
                      <w:color w:val="auto"/>
                      <w:sz w:val="18"/>
                      <w:szCs w:val="18"/>
                    </w:rPr>
                  </w:pPr>
                </w:p>
              </w:tc>
              <w:tc>
                <w:tcPr>
                  <w:tcW w:w="272" w:type="pct"/>
                  <w:tcBorders>
                    <w:top w:val="single" w:color="000000" w:sz="4" w:space="0"/>
                    <w:left w:val="single" w:color="000000" w:sz="4" w:space="0"/>
                    <w:bottom w:val="single" w:color="auto" w:sz="4" w:space="0"/>
                    <w:right w:val="single" w:color="000000" w:sz="4" w:space="0"/>
                  </w:tcBorders>
                  <w:shd w:val="clear" w:color="auto" w:fill="auto"/>
                  <w:vAlign w:val="center"/>
                </w:tcPr>
                <w:p w14:paraId="442D8ADE">
                  <w:pPr>
                    <w:widowControl/>
                    <w:jc w:val="center"/>
                    <w:textAlignment w:val="center"/>
                    <w:rPr>
                      <w:rFonts w:cs="宋体"/>
                      <w:color w:val="auto"/>
                      <w:sz w:val="18"/>
                      <w:szCs w:val="18"/>
                    </w:rPr>
                  </w:pPr>
                  <w:r>
                    <w:rPr>
                      <w:rFonts w:hint="eastAsia" w:cs="宋体"/>
                      <w:color w:val="auto"/>
                      <w:kern w:val="0"/>
                      <w:sz w:val="18"/>
                      <w:szCs w:val="18"/>
                      <w:lang w:bidi="ar"/>
                    </w:rPr>
                    <w:t>声压级</w:t>
                  </w:r>
                  <w:r>
                    <w:rPr>
                      <w:color w:val="auto"/>
                      <w:kern w:val="0"/>
                      <w:sz w:val="18"/>
                      <w:szCs w:val="18"/>
                      <w:lang w:bidi="ar"/>
                    </w:rPr>
                    <w:t>dB(A)</w:t>
                  </w:r>
                  <w:r>
                    <w:rPr>
                      <w:rFonts w:hint="eastAsia" w:cs="宋体"/>
                      <w:color w:val="auto"/>
                      <w:kern w:val="0"/>
                      <w:sz w:val="18"/>
                      <w:szCs w:val="18"/>
                      <w:lang w:bidi="ar"/>
                    </w:rPr>
                    <w:t>（距声源距离</w:t>
                  </w:r>
                  <w:r>
                    <w:rPr>
                      <w:color w:val="auto"/>
                      <w:kern w:val="0"/>
                      <w:sz w:val="18"/>
                      <w:szCs w:val="18"/>
                      <w:lang w:bidi="ar"/>
                    </w:rPr>
                    <w:t>1m</w:t>
                  </w:r>
                  <w:r>
                    <w:rPr>
                      <w:rFonts w:hint="eastAsia" w:cs="宋体"/>
                      <w:color w:val="auto"/>
                      <w:kern w:val="0"/>
                      <w:sz w:val="18"/>
                      <w:szCs w:val="18"/>
                      <w:lang w:bidi="ar"/>
                    </w:rPr>
                    <w:t>）</w:t>
                  </w:r>
                </w:p>
              </w:tc>
              <w:tc>
                <w:tcPr>
                  <w:tcW w:w="272"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3F6F9C8">
                  <w:pPr>
                    <w:jc w:val="center"/>
                    <w:rPr>
                      <w:rFonts w:cs="宋体"/>
                      <w:color w:val="auto"/>
                      <w:sz w:val="18"/>
                      <w:szCs w:val="18"/>
                    </w:rPr>
                  </w:pPr>
                </w:p>
              </w:tc>
              <w:tc>
                <w:tcPr>
                  <w:tcW w:w="272" w:type="pct"/>
                  <w:tcBorders>
                    <w:top w:val="single" w:color="000000" w:sz="4" w:space="0"/>
                    <w:left w:val="single" w:color="000000" w:sz="4" w:space="0"/>
                    <w:bottom w:val="single" w:color="auto" w:sz="4" w:space="0"/>
                    <w:right w:val="single" w:color="000000" w:sz="4" w:space="0"/>
                  </w:tcBorders>
                  <w:shd w:val="clear" w:color="auto" w:fill="auto"/>
                  <w:vAlign w:val="center"/>
                </w:tcPr>
                <w:p w14:paraId="5BAEDA4C">
                  <w:pPr>
                    <w:widowControl/>
                    <w:jc w:val="center"/>
                    <w:textAlignment w:val="center"/>
                    <w:rPr>
                      <w:color w:val="auto"/>
                      <w:sz w:val="18"/>
                      <w:szCs w:val="18"/>
                    </w:rPr>
                  </w:pPr>
                  <w:r>
                    <w:rPr>
                      <w:color w:val="auto"/>
                      <w:kern w:val="0"/>
                      <w:sz w:val="18"/>
                      <w:szCs w:val="18"/>
                      <w:lang w:bidi="ar"/>
                    </w:rPr>
                    <w:t>X</w:t>
                  </w:r>
                </w:p>
              </w:tc>
              <w:tc>
                <w:tcPr>
                  <w:tcW w:w="272" w:type="pct"/>
                  <w:tcBorders>
                    <w:top w:val="single" w:color="000000" w:sz="4" w:space="0"/>
                    <w:left w:val="single" w:color="000000" w:sz="4" w:space="0"/>
                    <w:bottom w:val="single" w:color="auto" w:sz="4" w:space="0"/>
                    <w:right w:val="single" w:color="000000" w:sz="4" w:space="0"/>
                  </w:tcBorders>
                  <w:shd w:val="clear" w:color="auto" w:fill="auto"/>
                  <w:vAlign w:val="center"/>
                </w:tcPr>
                <w:p w14:paraId="3E0FD48A">
                  <w:pPr>
                    <w:widowControl/>
                    <w:jc w:val="center"/>
                    <w:textAlignment w:val="center"/>
                    <w:rPr>
                      <w:color w:val="auto"/>
                      <w:sz w:val="18"/>
                      <w:szCs w:val="18"/>
                    </w:rPr>
                  </w:pPr>
                  <w:r>
                    <w:rPr>
                      <w:color w:val="auto"/>
                      <w:kern w:val="0"/>
                      <w:sz w:val="18"/>
                      <w:szCs w:val="18"/>
                      <w:lang w:bidi="ar"/>
                    </w:rPr>
                    <w:t>Y</w:t>
                  </w:r>
                </w:p>
              </w:tc>
              <w:tc>
                <w:tcPr>
                  <w:tcW w:w="287" w:type="pct"/>
                  <w:tcBorders>
                    <w:top w:val="single" w:color="000000" w:sz="4" w:space="0"/>
                    <w:left w:val="single" w:color="000000" w:sz="4" w:space="0"/>
                    <w:bottom w:val="single" w:color="auto" w:sz="4" w:space="0"/>
                    <w:right w:val="single" w:color="000000" w:sz="4" w:space="0"/>
                  </w:tcBorders>
                  <w:shd w:val="clear" w:color="auto" w:fill="auto"/>
                  <w:vAlign w:val="center"/>
                </w:tcPr>
                <w:p w14:paraId="13885CDF">
                  <w:pPr>
                    <w:widowControl/>
                    <w:jc w:val="center"/>
                    <w:textAlignment w:val="center"/>
                    <w:rPr>
                      <w:color w:val="auto"/>
                      <w:sz w:val="18"/>
                      <w:szCs w:val="18"/>
                    </w:rPr>
                  </w:pPr>
                  <w:r>
                    <w:rPr>
                      <w:color w:val="auto"/>
                      <w:kern w:val="0"/>
                      <w:sz w:val="18"/>
                      <w:szCs w:val="18"/>
                      <w:lang w:bidi="ar"/>
                    </w:rPr>
                    <w:t>Z</w:t>
                  </w:r>
                </w:p>
              </w:tc>
              <w:tc>
                <w:tcPr>
                  <w:tcW w:w="273"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52E893B">
                  <w:pPr>
                    <w:jc w:val="center"/>
                    <w:rPr>
                      <w:rFonts w:cs="宋体"/>
                      <w:color w:val="auto"/>
                      <w:sz w:val="18"/>
                      <w:szCs w:val="18"/>
                    </w:rPr>
                  </w:pPr>
                </w:p>
              </w:tc>
              <w:tc>
                <w:tcPr>
                  <w:tcW w:w="273"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03A8A35">
                  <w:pPr>
                    <w:jc w:val="center"/>
                    <w:rPr>
                      <w:rFonts w:cs="宋体"/>
                      <w:color w:val="auto"/>
                      <w:sz w:val="18"/>
                      <w:szCs w:val="18"/>
                    </w:rPr>
                  </w:pPr>
                </w:p>
              </w:tc>
              <w:tc>
                <w:tcPr>
                  <w:tcW w:w="354"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14F0A99">
                  <w:pPr>
                    <w:jc w:val="center"/>
                    <w:rPr>
                      <w:rFonts w:cs="宋体"/>
                      <w:color w:val="auto"/>
                      <w:sz w:val="18"/>
                      <w:szCs w:val="18"/>
                    </w:rPr>
                  </w:pPr>
                </w:p>
              </w:tc>
              <w:tc>
                <w:tcPr>
                  <w:tcW w:w="273"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57B6E766">
                  <w:pPr>
                    <w:jc w:val="center"/>
                    <w:rPr>
                      <w:rFonts w:cs="宋体"/>
                      <w:color w:val="auto"/>
                      <w:sz w:val="18"/>
                      <w:szCs w:val="18"/>
                    </w:rPr>
                  </w:pPr>
                </w:p>
              </w:tc>
              <w:tc>
                <w:tcPr>
                  <w:tcW w:w="273" w:type="pct"/>
                  <w:tcBorders>
                    <w:top w:val="single" w:color="000000" w:sz="4" w:space="0"/>
                    <w:left w:val="single" w:color="000000" w:sz="4" w:space="0"/>
                    <w:bottom w:val="single" w:color="auto" w:sz="4" w:space="0"/>
                    <w:right w:val="single" w:color="000000" w:sz="4" w:space="0"/>
                  </w:tcBorders>
                  <w:shd w:val="clear" w:color="auto" w:fill="auto"/>
                  <w:vAlign w:val="center"/>
                </w:tcPr>
                <w:p w14:paraId="03FC57C2">
                  <w:pPr>
                    <w:widowControl/>
                    <w:jc w:val="center"/>
                    <w:textAlignment w:val="center"/>
                    <w:rPr>
                      <w:rFonts w:cs="宋体"/>
                      <w:color w:val="auto"/>
                      <w:sz w:val="18"/>
                      <w:szCs w:val="18"/>
                    </w:rPr>
                  </w:pPr>
                  <w:r>
                    <w:rPr>
                      <w:rFonts w:hint="eastAsia" w:cs="宋体"/>
                      <w:color w:val="auto"/>
                      <w:kern w:val="0"/>
                      <w:sz w:val="18"/>
                      <w:szCs w:val="18"/>
                      <w:lang w:bidi="ar"/>
                    </w:rPr>
                    <w:t>声压级</w:t>
                  </w:r>
                  <w:r>
                    <w:rPr>
                      <w:color w:val="auto"/>
                      <w:kern w:val="0"/>
                      <w:sz w:val="18"/>
                      <w:szCs w:val="18"/>
                      <w:lang w:bidi="ar"/>
                    </w:rPr>
                    <w:t>/dB(A)</w:t>
                  </w:r>
                </w:p>
              </w:tc>
              <w:tc>
                <w:tcPr>
                  <w:tcW w:w="286" w:type="pct"/>
                  <w:tcBorders>
                    <w:top w:val="single" w:color="000000" w:sz="4" w:space="0"/>
                    <w:left w:val="single" w:color="000000" w:sz="4" w:space="0"/>
                    <w:bottom w:val="single" w:color="auto" w:sz="4" w:space="0"/>
                    <w:right w:val="single" w:color="000000" w:sz="4" w:space="0"/>
                  </w:tcBorders>
                  <w:shd w:val="clear" w:color="auto" w:fill="auto"/>
                  <w:vAlign w:val="center"/>
                </w:tcPr>
                <w:p w14:paraId="01F00125">
                  <w:pPr>
                    <w:widowControl/>
                    <w:jc w:val="center"/>
                    <w:textAlignment w:val="center"/>
                    <w:rPr>
                      <w:rFonts w:cs="宋体"/>
                      <w:color w:val="auto"/>
                      <w:sz w:val="18"/>
                      <w:szCs w:val="18"/>
                    </w:rPr>
                  </w:pPr>
                  <w:r>
                    <w:rPr>
                      <w:rFonts w:hint="eastAsia" w:cs="宋体"/>
                      <w:color w:val="auto"/>
                      <w:kern w:val="0"/>
                      <w:sz w:val="18"/>
                      <w:szCs w:val="18"/>
                      <w:lang w:bidi="ar"/>
                    </w:rPr>
                    <w:t>建筑物外距离</w:t>
                  </w:r>
                </w:p>
              </w:tc>
            </w:tr>
            <w:tr w14:paraId="11D051DB">
              <w:tblPrEx>
                <w:tblCellMar>
                  <w:top w:w="0" w:type="dxa"/>
                  <w:left w:w="108" w:type="dxa"/>
                  <w:bottom w:w="0" w:type="dxa"/>
                  <w:right w:w="108" w:type="dxa"/>
                </w:tblCellMar>
              </w:tblPrEx>
              <w:trPr>
                <w:trHeight w:val="34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5BFB67">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c>
                <w:tcPr>
                  <w:tcW w:w="228" w:type="pct"/>
                  <w:vMerge w:val="restart"/>
                  <w:tcBorders>
                    <w:top w:val="single" w:color="auto" w:sz="4" w:space="0"/>
                    <w:left w:val="single" w:color="auto" w:sz="4" w:space="0"/>
                    <w:right w:val="single" w:color="auto" w:sz="4" w:space="0"/>
                  </w:tcBorders>
                  <w:shd w:val="clear" w:color="auto" w:fill="auto"/>
                  <w:vAlign w:val="center"/>
                </w:tcPr>
                <w:p w14:paraId="204EDF25">
                  <w:pPr>
                    <w:spacing w:line="240" w:lineRule="auto"/>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7#厂房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8D9466B">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数显双头精密切割锯</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D9832AC">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47BED6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29</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37B194">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restart"/>
                  <w:tcBorders>
                    <w:top w:val="single" w:color="auto" w:sz="4" w:space="0"/>
                    <w:left w:val="single" w:color="auto" w:sz="4" w:space="0"/>
                    <w:right w:val="single" w:color="auto" w:sz="4" w:space="0"/>
                  </w:tcBorders>
                  <w:shd w:val="clear" w:color="auto" w:fill="auto"/>
                  <w:vAlign w:val="center"/>
                </w:tcPr>
                <w:p w14:paraId="5111110D">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设置减振基座、厂房隔声</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B783B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9DFD3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82DAB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5DAF50">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rPr>
                    <w:t>7</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2D049F">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75</w:t>
                  </w:r>
                </w:p>
              </w:tc>
              <w:tc>
                <w:tcPr>
                  <w:tcW w:w="354" w:type="pct"/>
                  <w:vMerge w:val="restart"/>
                  <w:tcBorders>
                    <w:top w:val="single" w:color="auto" w:sz="4" w:space="0"/>
                    <w:left w:val="single" w:color="auto" w:sz="4" w:space="0"/>
                    <w:right w:val="single" w:color="auto" w:sz="4" w:space="0"/>
                  </w:tcBorders>
                  <w:shd w:val="clear" w:color="auto" w:fill="auto"/>
                  <w:noWrap/>
                  <w:vAlign w:val="center"/>
                </w:tcPr>
                <w:p w14:paraId="2081AD74">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6</w:t>
                  </w:r>
                  <w:r>
                    <w:rPr>
                      <w:rFonts w:hint="eastAsia" w:ascii="Times New Roman" w:hAnsi="Times New Roman" w:eastAsia="宋体" w:cs="Times New Roman"/>
                      <w:color w:val="auto"/>
                      <w:sz w:val="18"/>
                      <w:szCs w:val="18"/>
                    </w:rPr>
                    <w:t>点-</w:t>
                  </w:r>
                  <w:r>
                    <w:rPr>
                      <w:rFonts w:hint="eastAsia" w:ascii="Times New Roman" w:hAnsi="Times New Roman" w:eastAsia="宋体" w:cs="Times New Roman"/>
                      <w:color w:val="auto"/>
                      <w:sz w:val="18"/>
                      <w:szCs w:val="18"/>
                      <w:lang w:val="en-US" w:eastAsia="zh-CN"/>
                    </w:rPr>
                    <w:t>22</w:t>
                  </w:r>
                  <w:r>
                    <w:rPr>
                      <w:rFonts w:hint="eastAsia" w:ascii="Times New Roman" w:hAnsi="Times New Roman" w:eastAsia="宋体" w:cs="Times New Roman"/>
                      <w:color w:val="auto"/>
                      <w:sz w:val="18"/>
                      <w:szCs w:val="18"/>
                    </w:rPr>
                    <w:t>点</w:t>
                  </w:r>
                </w:p>
              </w:tc>
              <w:tc>
                <w:tcPr>
                  <w:tcW w:w="273" w:type="pct"/>
                  <w:vMerge w:val="restart"/>
                  <w:tcBorders>
                    <w:top w:val="single" w:color="auto" w:sz="4" w:space="0"/>
                    <w:left w:val="single" w:color="auto" w:sz="4" w:space="0"/>
                    <w:right w:val="single" w:color="auto" w:sz="4" w:space="0"/>
                  </w:tcBorders>
                  <w:shd w:val="clear" w:color="auto" w:fill="auto"/>
                  <w:noWrap/>
                  <w:vAlign w:val="center"/>
                </w:tcPr>
                <w:p w14:paraId="5C15289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8A5CC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286" w:type="pct"/>
                  <w:vMerge w:val="restart"/>
                  <w:tcBorders>
                    <w:top w:val="single" w:color="auto" w:sz="4" w:space="0"/>
                    <w:left w:val="single" w:color="auto" w:sz="4" w:space="0"/>
                    <w:right w:val="single" w:color="auto" w:sz="4" w:space="0"/>
                  </w:tcBorders>
                  <w:shd w:val="clear" w:color="auto" w:fill="auto"/>
                  <w:noWrap/>
                  <w:vAlign w:val="center"/>
                </w:tcPr>
                <w:p w14:paraId="0C89142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w:t>
                  </w:r>
                </w:p>
              </w:tc>
            </w:tr>
            <w:tr w14:paraId="0AFFB1AE">
              <w:tblPrEx>
                <w:tblCellMar>
                  <w:top w:w="0" w:type="dxa"/>
                  <w:left w:w="108" w:type="dxa"/>
                  <w:bottom w:w="0" w:type="dxa"/>
                  <w:right w:w="108" w:type="dxa"/>
                </w:tblCellMar>
              </w:tblPrEx>
              <w:trPr>
                <w:trHeight w:val="34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44F133">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w:t>
                  </w:r>
                </w:p>
              </w:tc>
              <w:tc>
                <w:tcPr>
                  <w:tcW w:w="228" w:type="pct"/>
                  <w:vMerge w:val="continue"/>
                  <w:tcBorders>
                    <w:left w:val="single" w:color="auto" w:sz="4" w:space="0"/>
                    <w:right w:val="single" w:color="auto" w:sz="4" w:space="0"/>
                  </w:tcBorders>
                  <w:shd w:val="clear" w:color="auto" w:fill="auto"/>
                  <w:vAlign w:val="center"/>
                </w:tcPr>
                <w:p w14:paraId="3248D64F">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15BBA0F">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数控铣床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9896B5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8090A3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4FCBD0">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1C8C6583">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5FF22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BE11C0">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30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A294E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E15FD9">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rPr>
                    <w:t>7</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49DCCA">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14B190C8">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5DD27836">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C19288">
                  <w:pPr>
                    <w:spacing w:line="240" w:lineRule="auto"/>
                    <w:jc w:val="center"/>
                    <w:rPr>
                      <w:rFonts w:hint="default" w:ascii="Times New Roman" w:hAnsi="Times New Roman" w:eastAsia="宋体" w:cs="Times New Roman"/>
                      <w:color w:val="auto"/>
                      <w:sz w:val="18"/>
                      <w:szCs w:val="18"/>
                      <w:lang w:val="en-US"/>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154FBDA0">
                  <w:pPr>
                    <w:spacing w:line="240" w:lineRule="auto"/>
                    <w:jc w:val="center"/>
                    <w:rPr>
                      <w:rFonts w:hint="eastAsia" w:ascii="Times New Roman" w:hAnsi="Times New Roman" w:eastAsia="宋体" w:cs="Times New Roman"/>
                      <w:color w:val="auto"/>
                      <w:sz w:val="18"/>
                      <w:szCs w:val="18"/>
                    </w:rPr>
                  </w:pPr>
                </w:p>
              </w:tc>
            </w:tr>
            <w:tr w14:paraId="32F1D360">
              <w:tblPrEx>
                <w:tblCellMar>
                  <w:top w:w="0" w:type="dxa"/>
                  <w:left w:w="108" w:type="dxa"/>
                  <w:bottom w:w="0" w:type="dxa"/>
                  <w:right w:w="108" w:type="dxa"/>
                </w:tblCellMar>
              </w:tblPrEx>
              <w:trPr>
                <w:trHeight w:val="34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88907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3</w:t>
                  </w:r>
                </w:p>
              </w:tc>
              <w:tc>
                <w:tcPr>
                  <w:tcW w:w="228" w:type="pct"/>
                  <w:vMerge w:val="continue"/>
                  <w:tcBorders>
                    <w:left w:val="single" w:color="auto" w:sz="4" w:space="0"/>
                    <w:right w:val="single" w:color="auto" w:sz="4" w:space="0"/>
                  </w:tcBorders>
                  <w:shd w:val="clear" w:color="auto" w:fill="auto"/>
                  <w:vAlign w:val="center"/>
                </w:tcPr>
                <w:p w14:paraId="7F05C98E">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F86749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CNC</w:t>
                  </w:r>
                  <w:r>
                    <w:rPr>
                      <w:rFonts w:hint="default" w:ascii="Times New Roman" w:hAnsi="Times New Roman" w:eastAsia="宋体" w:cs="Times New Roman"/>
                      <w:color w:val="auto"/>
                      <w:sz w:val="18"/>
                      <w:szCs w:val="18"/>
                      <w:lang w:val="en-US" w:eastAsia="zh-CN"/>
                    </w:rPr>
                    <w:t>数控车床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F44D70B">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SX-6000/VL-1000</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15F6864A">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460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85B841">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4ED85676">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D9A8A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514FA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11ED9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85D8EF">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129CFD">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5DF51535">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70C6AB0F">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F854A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F2BE6D6">
                  <w:pPr>
                    <w:spacing w:line="240" w:lineRule="auto"/>
                    <w:jc w:val="center"/>
                    <w:rPr>
                      <w:rFonts w:hint="eastAsia" w:ascii="Times New Roman" w:hAnsi="Times New Roman" w:eastAsia="宋体" w:cs="Times New Roman"/>
                      <w:color w:val="auto"/>
                      <w:sz w:val="18"/>
                      <w:szCs w:val="18"/>
                    </w:rPr>
                  </w:pPr>
                </w:p>
              </w:tc>
            </w:tr>
            <w:tr w14:paraId="71B891F2">
              <w:tblPrEx>
                <w:tblCellMar>
                  <w:top w:w="0" w:type="dxa"/>
                  <w:left w:w="108" w:type="dxa"/>
                  <w:bottom w:w="0" w:type="dxa"/>
                  <w:right w:w="108" w:type="dxa"/>
                </w:tblCellMar>
              </w:tblPrEx>
              <w:trPr>
                <w:trHeight w:val="34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9CE637">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p>
              </w:tc>
              <w:tc>
                <w:tcPr>
                  <w:tcW w:w="228" w:type="pct"/>
                  <w:vMerge w:val="continue"/>
                  <w:tcBorders>
                    <w:left w:val="single" w:color="auto" w:sz="4" w:space="0"/>
                    <w:right w:val="single" w:color="auto" w:sz="4" w:space="0"/>
                  </w:tcBorders>
                  <w:shd w:val="clear" w:color="auto" w:fill="auto"/>
                  <w:vAlign w:val="center"/>
                </w:tcPr>
                <w:p w14:paraId="23F7A499">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E51F512">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数控冲床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C5CC5FD">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D04B8D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r>
                    <w:rPr>
                      <w:rFonts w:hint="default" w:ascii="Times New Roman" w:hAnsi="Times New Roman" w:eastAsia="宋体" w:cs="Times New Roman"/>
                      <w:color w:val="auto"/>
                      <w:sz w:val="18"/>
                      <w:szCs w:val="18"/>
                      <w:lang w:val="en-US" w:eastAsia="zh-CN"/>
                    </w:rPr>
                    <w:t>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EBF6E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76023097">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C66A5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500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CB22A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F988A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FFD017">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DAF3F3">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97689ED">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B616AC8">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98F2A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A46755D">
                  <w:pPr>
                    <w:spacing w:line="240" w:lineRule="auto"/>
                    <w:jc w:val="center"/>
                    <w:rPr>
                      <w:rFonts w:hint="eastAsia" w:ascii="Times New Roman" w:hAnsi="Times New Roman" w:eastAsia="宋体" w:cs="Times New Roman"/>
                      <w:color w:val="auto"/>
                      <w:sz w:val="18"/>
                      <w:szCs w:val="18"/>
                    </w:rPr>
                  </w:pPr>
                </w:p>
              </w:tc>
            </w:tr>
            <w:tr w14:paraId="185A7613">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D8E6BF">
                  <w:pPr>
                    <w:spacing w:line="240"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5</w:t>
                  </w:r>
                </w:p>
              </w:tc>
              <w:tc>
                <w:tcPr>
                  <w:tcW w:w="228" w:type="pct"/>
                  <w:vMerge w:val="continue"/>
                  <w:tcBorders>
                    <w:left w:val="single" w:color="auto" w:sz="4" w:space="0"/>
                    <w:right w:val="single" w:color="auto" w:sz="4" w:space="0"/>
                  </w:tcBorders>
                  <w:shd w:val="clear" w:color="auto" w:fill="auto"/>
                  <w:vAlign w:val="center"/>
                </w:tcPr>
                <w:p w14:paraId="226ABC61">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028BD4A">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CNC四轴数控加工中心</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2AA17EE">
                  <w:pPr>
                    <w:spacing w:line="240" w:lineRule="auto"/>
                    <w:jc w:val="center"/>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MSF-1325S</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FCC362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097EBBD">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w:t>
                  </w:r>
                  <w:r>
                    <w:rPr>
                      <w:rFonts w:hint="eastAsia" w:ascii="Times New Roman" w:hAnsi="Times New Roman" w:eastAsia="宋体" w:cs="Times New Roman"/>
                      <w:color w:val="auto"/>
                      <w:sz w:val="18"/>
                      <w:szCs w:val="18"/>
                      <w:lang w:val="en-US" w:eastAsia="zh-CN"/>
                    </w:rPr>
                    <w:t>5</w:t>
                  </w:r>
                </w:p>
              </w:tc>
              <w:tc>
                <w:tcPr>
                  <w:tcW w:w="272" w:type="pct"/>
                  <w:vMerge w:val="continue"/>
                  <w:tcBorders>
                    <w:left w:val="single" w:color="auto" w:sz="4" w:space="0"/>
                    <w:right w:val="single" w:color="auto" w:sz="4" w:space="0"/>
                  </w:tcBorders>
                  <w:shd w:val="clear" w:color="auto" w:fill="auto"/>
                  <w:vAlign w:val="center"/>
                </w:tcPr>
                <w:p w14:paraId="0ED8AE83">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D2ED7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02BD7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A9161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00C5DD">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A8AEB2">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277632C">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22098500">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BF4B7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04F63575">
                  <w:pPr>
                    <w:spacing w:line="240" w:lineRule="auto"/>
                    <w:jc w:val="center"/>
                    <w:rPr>
                      <w:rFonts w:hint="eastAsia" w:ascii="Times New Roman" w:hAnsi="Times New Roman" w:eastAsia="宋体" w:cs="Times New Roman"/>
                      <w:color w:val="auto"/>
                      <w:sz w:val="18"/>
                      <w:szCs w:val="18"/>
                    </w:rPr>
                  </w:pPr>
                </w:p>
              </w:tc>
            </w:tr>
            <w:tr w14:paraId="6BF43002">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CC09E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28" w:type="pct"/>
                  <w:vMerge w:val="continue"/>
                  <w:tcBorders>
                    <w:left w:val="single" w:color="auto" w:sz="4" w:space="0"/>
                    <w:bottom w:val="single" w:color="auto" w:sz="4" w:space="0"/>
                    <w:right w:val="single" w:color="auto" w:sz="4" w:space="0"/>
                  </w:tcBorders>
                  <w:shd w:val="clear" w:color="auto" w:fill="auto"/>
                  <w:vAlign w:val="center"/>
                </w:tcPr>
                <w:p w14:paraId="4EAF7E6D">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9A98492">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模具维护CNC设备</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FE452F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045CB08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E0078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2043E732">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F4558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510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E6ED7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BB095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F73465">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02AF4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3B68D590">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0EC8D1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A4BB5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2FAD346D">
                  <w:pPr>
                    <w:spacing w:line="240" w:lineRule="auto"/>
                    <w:jc w:val="center"/>
                    <w:rPr>
                      <w:rFonts w:hint="eastAsia" w:ascii="Times New Roman" w:hAnsi="Times New Roman" w:eastAsia="宋体" w:cs="Times New Roman"/>
                      <w:color w:val="auto"/>
                      <w:sz w:val="18"/>
                      <w:szCs w:val="18"/>
                    </w:rPr>
                  </w:pPr>
                </w:p>
              </w:tc>
            </w:tr>
            <w:tr w14:paraId="2C15092F">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7F0B9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C90A1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380354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1450T 模具加热炉</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F1CF244">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1450T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066818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EBC503">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08D9D147">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DF01D8">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49222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37E21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B6ADE9">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127A5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66C22F3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5207CFB5">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C9339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3720D712">
                  <w:pPr>
                    <w:spacing w:line="240" w:lineRule="auto"/>
                    <w:jc w:val="center"/>
                    <w:rPr>
                      <w:rFonts w:hint="eastAsia" w:ascii="Times New Roman" w:hAnsi="Times New Roman" w:eastAsia="宋体" w:cs="Times New Roman"/>
                      <w:color w:val="auto"/>
                      <w:sz w:val="18"/>
                      <w:szCs w:val="18"/>
                    </w:rPr>
                  </w:pPr>
                </w:p>
              </w:tc>
            </w:tr>
            <w:tr w14:paraId="431F55BC">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EEAC9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FD9329">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0E894E1">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智控高节能铝棒炉（加热炉）</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0470F4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06C50DC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854C57">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7D832EF2">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F4A0FF">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F9C49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32547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C897E8">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DE4ED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24544D8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8CED5CC">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30FDF6">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2FF1341C">
                  <w:pPr>
                    <w:spacing w:line="240" w:lineRule="auto"/>
                    <w:jc w:val="center"/>
                    <w:rPr>
                      <w:rFonts w:hint="eastAsia" w:ascii="Times New Roman" w:hAnsi="Times New Roman" w:eastAsia="宋体" w:cs="Times New Roman"/>
                      <w:color w:val="auto"/>
                      <w:sz w:val="18"/>
                      <w:szCs w:val="18"/>
                    </w:rPr>
                  </w:pPr>
                </w:p>
              </w:tc>
            </w:tr>
            <w:tr w14:paraId="6B84FF15">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BDA18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7F296B">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60D0CCB">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1450 吨挤压机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A30A0A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518436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84C56D">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1E9D6098">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AB04BD">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C3551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5FE9B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E9717B">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DEACF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0A269C7">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2E2397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16736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7F27F365">
                  <w:pPr>
                    <w:spacing w:line="240" w:lineRule="auto"/>
                    <w:jc w:val="center"/>
                    <w:rPr>
                      <w:rFonts w:hint="eastAsia" w:ascii="Times New Roman" w:hAnsi="Times New Roman" w:eastAsia="宋体" w:cs="Times New Roman"/>
                      <w:color w:val="auto"/>
                      <w:sz w:val="18"/>
                      <w:szCs w:val="18"/>
                    </w:rPr>
                  </w:pPr>
                </w:p>
              </w:tc>
            </w:tr>
            <w:tr w14:paraId="5048EE27">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E0D646">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E1759E">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DCC030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1450T 机冷床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303EA16">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1450T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6D4F64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7E726A">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49E03B68">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9A3254">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3BE45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AC304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2485D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9D4C9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8F05D64">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7886644A">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F2A19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75C6FE78">
                  <w:pPr>
                    <w:spacing w:line="240" w:lineRule="auto"/>
                    <w:jc w:val="center"/>
                    <w:rPr>
                      <w:rFonts w:hint="eastAsia" w:ascii="Times New Roman" w:hAnsi="Times New Roman" w:eastAsia="宋体" w:cs="Times New Roman"/>
                      <w:color w:val="auto"/>
                      <w:sz w:val="18"/>
                      <w:szCs w:val="18"/>
                    </w:rPr>
                  </w:pPr>
                </w:p>
              </w:tc>
            </w:tr>
            <w:tr w14:paraId="37F60518">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88B7A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DFB021">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E15FE7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时效炉</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F04962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8C9B3E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E19F2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64BE81DA">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1E541E">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5F6C4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E0A7B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A8AB15">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5F6C1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132776CB">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10CD05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5CD31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12629B45">
                  <w:pPr>
                    <w:spacing w:line="240" w:lineRule="auto"/>
                    <w:jc w:val="center"/>
                    <w:rPr>
                      <w:rFonts w:hint="eastAsia" w:ascii="Times New Roman" w:hAnsi="Times New Roman" w:eastAsia="宋体" w:cs="Times New Roman"/>
                      <w:color w:val="auto"/>
                      <w:sz w:val="18"/>
                      <w:szCs w:val="18"/>
                    </w:rPr>
                  </w:pPr>
                </w:p>
              </w:tc>
            </w:tr>
            <w:tr w14:paraId="7100BE29">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787F0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AEC5FF">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D600EE7">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型材锯切机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2EED0E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47325A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FAE6B3">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454A227A">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4A8357">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F78E3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0D516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3E28D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928CE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47E81F9A">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1A8C3302">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72FAC6">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03FC6769">
                  <w:pPr>
                    <w:spacing w:line="240" w:lineRule="auto"/>
                    <w:jc w:val="center"/>
                    <w:rPr>
                      <w:rFonts w:hint="eastAsia" w:ascii="Times New Roman" w:hAnsi="Times New Roman" w:eastAsia="宋体" w:cs="Times New Roman"/>
                      <w:color w:val="auto"/>
                      <w:sz w:val="18"/>
                      <w:szCs w:val="18"/>
                    </w:rPr>
                  </w:pPr>
                </w:p>
              </w:tc>
            </w:tr>
            <w:tr w14:paraId="6350B3AF">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93C68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63F7959">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67E098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5 吨单梁行车</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2F533E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DC0566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36</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4C49BE">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354B0496">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6CA76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6EF235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42869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ECF84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83187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24BDCCE0">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E94555F">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DC2FB4">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2059D4C9">
                  <w:pPr>
                    <w:spacing w:line="240" w:lineRule="auto"/>
                    <w:jc w:val="center"/>
                    <w:rPr>
                      <w:rFonts w:hint="eastAsia" w:ascii="Times New Roman" w:hAnsi="Times New Roman" w:eastAsia="宋体" w:cs="Times New Roman"/>
                      <w:color w:val="auto"/>
                      <w:sz w:val="18"/>
                      <w:szCs w:val="18"/>
                    </w:rPr>
                  </w:pPr>
                </w:p>
              </w:tc>
            </w:tr>
            <w:tr w14:paraId="790C4F5E">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5DDDF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EA13EC">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AC3F5A0">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三头牵引机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C23866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85AFBA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A41279">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05B2BF21">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7BF6F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B70A0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72B66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9CF56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2D8B2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1E0DD895">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639899D">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57C3F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6061ED63">
                  <w:pPr>
                    <w:spacing w:line="240" w:lineRule="auto"/>
                    <w:jc w:val="center"/>
                    <w:rPr>
                      <w:rFonts w:hint="eastAsia" w:ascii="Times New Roman" w:hAnsi="Times New Roman" w:eastAsia="宋体" w:cs="Times New Roman"/>
                      <w:color w:val="auto"/>
                      <w:sz w:val="18"/>
                      <w:szCs w:val="18"/>
                    </w:rPr>
                  </w:pPr>
                </w:p>
              </w:tc>
            </w:tr>
            <w:tr w14:paraId="21CD72B4">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C81AB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E25AFC">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07FEF78">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在线风冷淬火装置</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03E39D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15796A4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E2282B">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97CD8C0">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67EEE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9C581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BF44B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60BD29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6A0AFB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bottom w:val="single" w:color="auto" w:sz="4" w:space="0"/>
                    <w:right w:val="single" w:color="auto" w:sz="4" w:space="0"/>
                  </w:tcBorders>
                  <w:shd w:val="clear" w:color="auto" w:fill="auto"/>
                  <w:noWrap/>
                  <w:vAlign w:val="center"/>
                </w:tcPr>
                <w:p w14:paraId="10DC7A5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5D8F784">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C67FC6">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37DC26CE">
                  <w:pPr>
                    <w:spacing w:line="240" w:lineRule="auto"/>
                    <w:jc w:val="center"/>
                    <w:rPr>
                      <w:rFonts w:hint="eastAsia" w:ascii="Times New Roman" w:hAnsi="Times New Roman" w:eastAsia="宋体" w:cs="Times New Roman"/>
                      <w:color w:val="auto"/>
                      <w:sz w:val="18"/>
                      <w:szCs w:val="18"/>
                    </w:rPr>
                  </w:pPr>
                </w:p>
              </w:tc>
            </w:tr>
            <w:tr w14:paraId="05F60151">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6F34B7">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right w:val="single" w:color="auto" w:sz="4" w:space="0"/>
                  </w:tcBorders>
                  <w:shd w:val="clear" w:color="auto" w:fill="auto"/>
                  <w:vAlign w:val="center"/>
                </w:tcPr>
                <w:p w14:paraId="28A4A29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0EFDE2E">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自动挂件系统</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A97A6E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9500A6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170BC8">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0E0EA020">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1F0D8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EBF39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398D3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62057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9510B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restart"/>
                  <w:tcBorders>
                    <w:top w:val="single" w:color="auto" w:sz="4" w:space="0"/>
                    <w:left w:val="single" w:color="auto" w:sz="4" w:space="0"/>
                    <w:right w:val="single" w:color="auto" w:sz="4" w:space="0"/>
                  </w:tcBorders>
                  <w:shd w:val="clear" w:color="auto" w:fill="auto"/>
                  <w:noWrap/>
                  <w:vAlign w:val="center"/>
                </w:tcPr>
                <w:p w14:paraId="064B04B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0~24</w:t>
                  </w:r>
                  <w:r>
                    <w:rPr>
                      <w:rFonts w:hint="eastAsia" w:ascii="Times New Roman" w:hAnsi="Times New Roman" w:eastAsia="宋体" w:cs="Times New Roman"/>
                      <w:color w:val="auto"/>
                      <w:sz w:val="18"/>
                      <w:szCs w:val="18"/>
                    </w:rPr>
                    <w:t>点</w:t>
                  </w:r>
                </w:p>
              </w:tc>
              <w:tc>
                <w:tcPr>
                  <w:tcW w:w="273" w:type="pct"/>
                  <w:vMerge w:val="continue"/>
                  <w:tcBorders>
                    <w:left w:val="single" w:color="auto" w:sz="4" w:space="0"/>
                    <w:right w:val="single" w:color="auto" w:sz="4" w:space="0"/>
                  </w:tcBorders>
                  <w:shd w:val="clear" w:color="auto" w:fill="auto"/>
                  <w:noWrap/>
                  <w:vAlign w:val="center"/>
                </w:tcPr>
                <w:p w14:paraId="4874B73B">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93010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647027ED">
                  <w:pPr>
                    <w:spacing w:line="240" w:lineRule="auto"/>
                    <w:jc w:val="center"/>
                    <w:rPr>
                      <w:rFonts w:hint="eastAsia" w:ascii="Times New Roman" w:hAnsi="Times New Roman" w:eastAsia="宋体" w:cs="Times New Roman"/>
                      <w:color w:val="auto"/>
                      <w:sz w:val="18"/>
                      <w:szCs w:val="18"/>
                    </w:rPr>
                  </w:pPr>
                </w:p>
              </w:tc>
            </w:tr>
            <w:tr w14:paraId="01990299">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F9E005">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2</w:t>
                  </w:r>
                </w:p>
              </w:tc>
              <w:tc>
                <w:tcPr>
                  <w:tcW w:w="228" w:type="pct"/>
                  <w:vMerge w:val="continue"/>
                  <w:tcBorders>
                    <w:left w:val="single" w:color="auto" w:sz="4" w:space="0"/>
                    <w:right w:val="single" w:color="auto" w:sz="4" w:space="0"/>
                  </w:tcBorders>
                  <w:shd w:val="clear" w:color="auto" w:fill="auto"/>
                  <w:vAlign w:val="center"/>
                </w:tcPr>
                <w:p w14:paraId="3E38B6C6">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9D9DD66">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阳极氧化电源</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C9CC12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YKT05S-15KA/22V</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7CE10C9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B99ABD">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5830797E">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5FA2E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6D784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0DAAE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3D6A95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C0E7C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6EE81CA7">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152EC8D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F9147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1ABD4427">
                  <w:pPr>
                    <w:spacing w:line="240" w:lineRule="auto"/>
                    <w:jc w:val="center"/>
                    <w:rPr>
                      <w:rFonts w:hint="eastAsia" w:ascii="Times New Roman" w:hAnsi="Times New Roman" w:eastAsia="宋体" w:cs="Times New Roman"/>
                      <w:color w:val="auto"/>
                      <w:sz w:val="18"/>
                      <w:szCs w:val="18"/>
                    </w:rPr>
                  </w:pPr>
                </w:p>
              </w:tc>
            </w:tr>
            <w:tr w14:paraId="6CE423C4">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F51325">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3</w:t>
                  </w:r>
                </w:p>
              </w:tc>
              <w:tc>
                <w:tcPr>
                  <w:tcW w:w="228" w:type="pct"/>
                  <w:vMerge w:val="continue"/>
                  <w:tcBorders>
                    <w:left w:val="single" w:color="auto" w:sz="4" w:space="0"/>
                    <w:right w:val="single" w:color="auto" w:sz="4" w:space="0"/>
                  </w:tcBorders>
                  <w:shd w:val="clear" w:color="auto" w:fill="auto"/>
                  <w:vAlign w:val="center"/>
                </w:tcPr>
                <w:p w14:paraId="57129871">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50EE375">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压力机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8E241CA">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J23-16T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3C007EA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7DFB7E">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665C80BB">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D66DE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77655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2A6D4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10CC7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95399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2E389E41">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31CCFB7">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E61F2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160F1A7A">
                  <w:pPr>
                    <w:spacing w:line="240" w:lineRule="auto"/>
                    <w:jc w:val="center"/>
                    <w:rPr>
                      <w:rFonts w:hint="eastAsia" w:ascii="Times New Roman" w:hAnsi="Times New Roman" w:eastAsia="宋体" w:cs="Times New Roman"/>
                      <w:color w:val="auto"/>
                      <w:sz w:val="18"/>
                      <w:szCs w:val="18"/>
                    </w:rPr>
                  </w:pPr>
                </w:p>
              </w:tc>
            </w:tr>
            <w:tr w14:paraId="06557B39">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71E597">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4</w:t>
                  </w:r>
                </w:p>
              </w:tc>
              <w:tc>
                <w:tcPr>
                  <w:tcW w:w="228" w:type="pct"/>
                  <w:vMerge w:val="continue"/>
                  <w:tcBorders>
                    <w:left w:val="single" w:color="auto" w:sz="4" w:space="0"/>
                    <w:right w:val="single" w:color="auto" w:sz="4" w:space="0"/>
                  </w:tcBorders>
                  <w:shd w:val="clear" w:color="auto" w:fill="auto"/>
                  <w:vAlign w:val="center"/>
                </w:tcPr>
                <w:p w14:paraId="1B4972C6">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314424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锯床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B21AD2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DZ600X1000</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32CF79F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734C43">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015641D8">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714B2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9A8D9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22FA0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6D1516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6DD92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41D23CAC">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25D96E40">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D789E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1B7E8E01">
                  <w:pPr>
                    <w:spacing w:line="240" w:lineRule="auto"/>
                    <w:jc w:val="center"/>
                    <w:rPr>
                      <w:rFonts w:hint="eastAsia" w:ascii="Times New Roman" w:hAnsi="Times New Roman" w:eastAsia="宋体" w:cs="Times New Roman"/>
                      <w:color w:val="auto"/>
                      <w:sz w:val="18"/>
                      <w:szCs w:val="18"/>
                    </w:rPr>
                  </w:pPr>
                </w:p>
              </w:tc>
            </w:tr>
            <w:tr w14:paraId="16CA24C8">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928E5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5</w:t>
                  </w:r>
                </w:p>
              </w:tc>
              <w:tc>
                <w:tcPr>
                  <w:tcW w:w="228" w:type="pct"/>
                  <w:vMerge w:val="continue"/>
                  <w:tcBorders>
                    <w:left w:val="single" w:color="auto" w:sz="4" w:space="0"/>
                    <w:right w:val="single" w:color="auto" w:sz="4" w:space="0"/>
                  </w:tcBorders>
                  <w:shd w:val="clear" w:color="auto" w:fill="auto"/>
                  <w:vAlign w:val="center"/>
                </w:tcPr>
                <w:p w14:paraId="3D50A4BB">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BB5618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全自动光伏边框生产线</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D36CD24">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FT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72D0963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D46A05">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3317E14">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EFDAD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2DCFE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0F086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9C48E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3E6CD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E39FBB1">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A8E40B4">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929B7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8653711">
                  <w:pPr>
                    <w:spacing w:line="240" w:lineRule="auto"/>
                    <w:jc w:val="center"/>
                    <w:rPr>
                      <w:rFonts w:hint="eastAsia" w:ascii="Times New Roman" w:hAnsi="Times New Roman" w:eastAsia="宋体" w:cs="Times New Roman"/>
                      <w:color w:val="auto"/>
                      <w:sz w:val="18"/>
                      <w:szCs w:val="18"/>
                    </w:rPr>
                  </w:pPr>
                </w:p>
              </w:tc>
            </w:tr>
            <w:tr w14:paraId="1C29DE81">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7487FE">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6</w:t>
                  </w:r>
                </w:p>
              </w:tc>
              <w:tc>
                <w:tcPr>
                  <w:tcW w:w="228" w:type="pct"/>
                  <w:vMerge w:val="continue"/>
                  <w:tcBorders>
                    <w:left w:val="single" w:color="auto" w:sz="4" w:space="0"/>
                    <w:right w:val="single" w:color="auto" w:sz="4" w:space="0"/>
                  </w:tcBorders>
                  <w:shd w:val="clear" w:color="auto" w:fill="auto"/>
                  <w:vAlign w:val="center"/>
                </w:tcPr>
                <w:p w14:paraId="281C534A">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D326FE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平面磨床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6A0268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08A7288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F06032">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2541E02F">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00E9E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4CD1F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9DECC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3C646D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CA772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6ADB5176">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D85C725">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D0AEE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3E4A8D2A">
                  <w:pPr>
                    <w:spacing w:line="240" w:lineRule="auto"/>
                    <w:jc w:val="center"/>
                    <w:rPr>
                      <w:rFonts w:hint="eastAsia" w:ascii="Times New Roman" w:hAnsi="Times New Roman" w:eastAsia="宋体" w:cs="Times New Roman"/>
                      <w:color w:val="auto"/>
                      <w:sz w:val="18"/>
                      <w:szCs w:val="18"/>
                    </w:rPr>
                  </w:pPr>
                </w:p>
              </w:tc>
            </w:tr>
            <w:tr w14:paraId="7AC318FE">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CD22B8">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w:t>
                  </w:r>
                </w:p>
              </w:tc>
              <w:tc>
                <w:tcPr>
                  <w:tcW w:w="228" w:type="pct"/>
                  <w:vMerge w:val="continue"/>
                  <w:tcBorders>
                    <w:left w:val="single" w:color="auto" w:sz="4" w:space="0"/>
                    <w:right w:val="single" w:color="auto" w:sz="4" w:space="0"/>
                  </w:tcBorders>
                  <w:shd w:val="clear" w:color="auto" w:fill="auto"/>
                  <w:vAlign w:val="center"/>
                </w:tcPr>
                <w:p w14:paraId="3D975014">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FCDE17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研磨机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EA1D95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123ECF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6DD11E">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08533A3E">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91DD5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03C49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67AA2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9D13B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A3C4B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6C39FB83">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29E07F0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CE7F1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55D2036">
                  <w:pPr>
                    <w:spacing w:line="240" w:lineRule="auto"/>
                    <w:jc w:val="center"/>
                    <w:rPr>
                      <w:rFonts w:hint="eastAsia" w:ascii="Times New Roman" w:hAnsi="Times New Roman" w:eastAsia="宋体" w:cs="Times New Roman"/>
                      <w:color w:val="auto"/>
                      <w:sz w:val="18"/>
                      <w:szCs w:val="18"/>
                    </w:rPr>
                  </w:pPr>
                </w:p>
              </w:tc>
            </w:tr>
            <w:tr w14:paraId="5E1A7DF8">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F5890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8</w:t>
                  </w:r>
                </w:p>
              </w:tc>
              <w:tc>
                <w:tcPr>
                  <w:tcW w:w="228" w:type="pct"/>
                  <w:vMerge w:val="continue"/>
                  <w:tcBorders>
                    <w:left w:val="single" w:color="auto" w:sz="4" w:space="0"/>
                    <w:right w:val="single" w:color="auto" w:sz="4" w:space="0"/>
                  </w:tcBorders>
                  <w:shd w:val="clear" w:color="auto" w:fill="auto"/>
                  <w:vAlign w:val="center"/>
                </w:tcPr>
                <w:p w14:paraId="0FC317BD">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F7D4CF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喷砂机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C73203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80kw</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A4770E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4AB50D">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3486D47C">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7B7B9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347B2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CB139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DAD24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75801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622B772">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23C2170">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EEE1E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1945669">
                  <w:pPr>
                    <w:spacing w:line="240" w:lineRule="auto"/>
                    <w:jc w:val="center"/>
                    <w:rPr>
                      <w:rFonts w:hint="eastAsia" w:ascii="Times New Roman" w:hAnsi="Times New Roman" w:eastAsia="宋体" w:cs="Times New Roman"/>
                      <w:color w:val="auto"/>
                      <w:sz w:val="18"/>
                      <w:szCs w:val="18"/>
                    </w:rPr>
                  </w:pPr>
                </w:p>
              </w:tc>
            </w:tr>
            <w:tr w14:paraId="1250796B">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2DF95E">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9</w:t>
                  </w:r>
                </w:p>
              </w:tc>
              <w:tc>
                <w:tcPr>
                  <w:tcW w:w="228" w:type="pct"/>
                  <w:vMerge w:val="continue"/>
                  <w:tcBorders>
                    <w:left w:val="single" w:color="auto" w:sz="4" w:space="0"/>
                    <w:right w:val="single" w:color="auto" w:sz="4" w:space="0"/>
                  </w:tcBorders>
                  <w:shd w:val="clear" w:color="auto" w:fill="auto"/>
                  <w:vAlign w:val="center"/>
                </w:tcPr>
                <w:p w14:paraId="0C75E58E">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AA0D02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氧化硅机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4E3991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CEBBD2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E0678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D8F5502">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107CC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E18B7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7DED2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2AA62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B9DD0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491876C7">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1419CDC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E972F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1AB6ACD5">
                  <w:pPr>
                    <w:spacing w:line="240" w:lineRule="auto"/>
                    <w:jc w:val="center"/>
                    <w:rPr>
                      <w:rFonts w:hint="eastAsia" w:ascii="Times New Roman" w:hAnsi="Times New Roman" w:eastAsia="宋体" w:cs="Times New Roman"/>
                      <w:color w:val="auto"/>
                      <w:sz w:val="18"/>
                      <w:szCs w:val="18"/>
                    </w:rPr>
                  </w:pPr>
                </w:p>
              </w:tc>
            </w:tr>
            <w:tr w14:paraId="74063659">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D3938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28" w:type="pct"/>
                  <w:vMerge w:val="continue"/>
                  <w:tcBorders>
                    <w:left w:val="single" w:color="auto" w:sz="4" w:space="0"/>
                    <w:right w:val="single" w:color="auto" w:sz="4" w:space="0"/>
                  </w:tcBorders>
                  <w:shd w:val="clear" w:color="auto" w:fill="auto"/>
                  <w:vAlign w:val="center"/>
                </w:tcPr>
                <w:p w14:paraId="77C48E15">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36B90F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行车</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CD1DFC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BF832D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B71F8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42DC4FED">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E9A25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07484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327CF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51C25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3262F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46BBFD0B">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5D22052">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F0242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27C46DA7">
                  <w:pPr>
                    <w:spacing w:line="240" w:lineRule="auto"/>
                    <w:jc w:val="center"/>
                    <w:rPr>
                      <w:rFonts w:hint="eastAsia" w:ascii="Times New Roman" w:hAnsi="Times New Roman" w:eastAsia="宋体" w:cs="Times New Roman"/>
                      <w:color w:val="auto"/>
                      <w:sz w:val="18"/>
                      <w:szCs w:val="18"/>
                    </w:rPr>
                  </w:pPr>
                </w:p>
              </w:tc>
            </w:tr>
            <w:tr w14:paraId="5265BCD0">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F2B48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11</w:t>
                  </w:r>
                </w:p>
              </w:tc>
              <w:tc>
                <w:tcPr>
                  <w:tcW w:w="228" w:type="pct"/>
                  <w:vMerge w:val="continue"/>
                  <w:tcBorders>
                    <w:left w:val="single" w:color="auto" w:sz="4" w:space="0"/>
                    <w:right w:val="single" w:color="auto" w:sz="4" w:space="0"/>
                  </w:tcBorders>
                  <w:shd w:val="clear" w:color="auto" w:fill="auto"/>
                  <w:vAlign w:val="center"/>
                </w:tcPr>
                <w:p w14:paraId="499A178E">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03711D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氧化循环泵（电箱）</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6330FA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3927A7B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301AA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00842E04">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EF44D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42CEB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57078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7A7C0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72960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54B2BA8A">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21E38A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F04A8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39E54FAB">
                  <w:pPr>
                    <w:spacing w:line="240" w:lineRule="auto"/>
                    <w:jc w:val="center"/>
                    <w:rPr>
                      <w:rFonts w:hint="eastAsia" w:ascii="Times New Roman" w:hAnsi="Times New Roman" w:eastAsia="宋体" w:cs="Times New Roman"/>
                      <w:color w:val="auto"/>
                      <w:sz w:val="18"/>
                      <w:szCs w:val="18"/>
                    </w:rPr>
                  </w:pPr>
                </w:p>
              </w:tc>
            </w:tr>
            <w:tr w14:paraId="556E297E">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6F040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28" w:type="pct"/>
                  <w:vMerge w:val="continue"/>
                  <w:tcBorders>
                    <w:left w:val="single" w:color="auto" w:sz="4" w:space="0"/>
                    <w:right w:val="single" w:color="auto" w:sz="4" w:space="0"/>
                  </w:tcBorders>
                  <w:shd w:val="clear" w:color="auto" w:fill="auto"/>
                  <w:vAlign w:val="center"/>
                </w:tcPr>
                <w:p w14:paraId="6D84282A">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7391F8A">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封孔循环泵（电箱）</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8AF189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D07512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DDC5D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3B17B201">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41B7B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3BB11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EA19F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602FA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1EE0D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0659E1D6">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16C1A324">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C4824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58361E8E">
                  <w:pPr>
                    <w:spacing w:line="240" w:lineRule="auto"/>
                    <w:jc w:val="center"/>
                    <w:rPr>
                      <w:rFonts w:hint="eastAsia" w:ascii="Times New Roman" w:hAnsi="Times New Roman" w:eastAsia="宋体" w:cs="Times New Roman"/>
                      <w:color w:val="auto"/>
                      <w:sz w:val="18"/>
                      <w:szCs w:val="18"/>
                    </w:rPr>
                  </w:pPr>
                </w:p>
              </w:tc>
            </w:tr>
            <w:tr w14:paraId="2E8453F7">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C6A6A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13</w:t>
                  </w:r>
                </w:p>
              </w:tc>
              <w:tc>
                <w:tcPr>
                  <w:tcW w:w="228" w:type="pct"/>
                  <w:vMerge w:val="continue"/>
                  <w:tcBorders>
                    <w:left w:val="single" w:color="auto" w:sz="4" w:space="0"/>
                    <w:right w:val="single" w:color="auto" w:sz="4" w:space="0"/>
                  </w:tcBorders>
                  <w:shd w:val="clear" w:color="auto" w:fill="auto"/>
                  <w:vAlign w:val="center"/>
                </w:tcPr>
                <w:p w14:paraId="08EDC924">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BD12B7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直冷冰机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48DC4F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1AE1EC3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6703C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1DE4A2C6">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7FB5B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8B4DD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FC48C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EB59A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E9A37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0E7DBE9F">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B820912">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15441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011D15C7">
                  <w:pPr>
                    <w:spacing w:line="240" w:lineRule="auto"/>
                    <w:jc w:val="center"/>
                    <w:rPr>
                      <w:rFonts w:hint="eastAsia" w:ascii="Times New Roman" w:hAnsi="Times New Roman" w:eastAsia="宋体" w:cs="Times New Roman"/>
                      <w:color w:val="auto"/>
                      <w:sz w:val="18"/>
                      <w:szCs w:val="18"/>
                    </w:rPr>
                  </w:pPr>
                </w:p>
              </w:tc>
            </w:tr>
            <w:tr w14:paraId="52AA2CC0">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87C01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w:t>
                  </w:r>
                </w:p>
              </w:tc>
              <w:tc>
                <w:tcPr>
                  <w:tcW w:w="228" w:type="pct"/>
                  <w:vMerge w:val="continue"/>
                  <w:tcBorders>
                    <w:left w:val="single" w:color="auto" w:sz="4" w:space="0"/>
                    <w:right w:val="single" w:color="auto" w:sz="4" w:space="0"/>
                  </w:tcBorders>
                  <w:shd w:val="clear" w:color="auto" w:fill="auto"/>
                  <w:vAlign w:val="center"/>
                </w:tcPr>
                <w:p w14:paraId="56C35E2A">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0BEF7D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却水循环泵</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76E55A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309E12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24AA9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5BD7E47B">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2A9FD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4ED51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5E540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14E6E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61A38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353DD045">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AE7F1FF">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4FFE4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78F9A68B">
                  <w:pPr>
                    <w:spacing w:line="240" w:lineRule="auto"/>
                    <w:jc w:val="center"/>
                    <w:rPr>
                      <w:rFonts w:hint="eastAsia" w:ascii="Times New Roman" w:hAnsi="Times New Roman" w:eastAsia="宋体" w:cs="Times New Roman"/>
                      <w:color w:val="auto"/>
                      <w:sz w:val="18"/>
                      <w:szCs w:val="18"/>
                    </w:rPr>
                  </w:pPr>
                </w:p>
              </w:tc>
            </w:tr>
            <w:tr w14:paraId="3D86936C">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837C0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w:t>
                  </w:r>
                </w:p>
              </w:tc>
              <w:tc>
                <w:tcPr>
                  <w:tcW w:w="228" w:type="pct"/>
                  <w:vMerge w:val="continue"/>
                  <w:tcBorders>
                    <w:left w:val="single" w:color="auto" w:sz="4" w:space="0"/>
                    <w:right w:val="single" w:color="auto" w:sz="4" w:space="0"/>
                  </w:tcBorders>
                  <w:shd w:val="clear" w:color="auto" w:fill="auto"/>
                  <w:vAlign w:val="center"/>
                </w:tcPr>
                <w:p w14:paraId="2BE8EAA9">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24C6FE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氧化槽控温（电箱）</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EF4C78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C8AFF6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41837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48088A3A">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3B81A4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7759B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1AB16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98DD4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1DF0E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2D705FEA">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594B995E">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1CA1E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398C6F93">
                  <w:pPr>
                    <w:spacing w:line="240" w:lineRule="auto"/>
                    <w:jc w:val="center"/>
                    <w:rPr>
                      <w:rFonts w:hint="eastAsia" w:ascii="Times New Roman" w:hAnsi="Times New Roman" w:eastAsia="宋体" w:cs="Times New Roman"/>
                      <w:color w:val="auto"/>
                      <w:sz w:val="18"/>
                      <w:szCs w:val="18"/>
                    </w:rPr>
                  </w:pPr>
                </w:p>
              </w:tc>
            </w:tr>
            <w:tr w14:paraId="78E0FD1D">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AEEB3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w:t>
                  </w:r>
                </w:p>
              </w:tc>
              <w:tc>
                <w:tcPr>
                  <w:tcW w:w="228" w:type="pct"/>
                  <w:vMerge w:val="continue"/>
                  <w:tcBorders>
                    <w:left w:val="single" w:color="auto" w:sz="4" w:space="0"/>
                    <w:right w:val="single" w:color="auto" w:sz="4" w:space="0"/>
                  </w:tcBorders>
                  <w:shd w:val="clear" w:color="auto" w:fill="auto"/>
                  <w:vAlign w:val="center"/>
                </w:tcPr>
                <w:p w14:paraId="574F8646">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5B579A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封孔槽控温（电箱）</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39CCA7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A4804E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396031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5B437EAD">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F8968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43D13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28918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3986F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D3144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15F213BF">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AE70FA5">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36F81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610A3C33">
                  <w:pPr>
                    <w:spacing w:line="240" w:lineRule="auto"/>
                    <w:jc w:val="center"/>
                    <w:rPr>
                      <w:rFonts w:hint="eastAsia" w:ascii="Times New Roman" w:hAnsi="Times New Roman" w:eastAsia="宋体" w:cs="Times New Roman"/>
                      <w:color w:val="auto"/>
                      <w:sz w:val="18"/>
                      <w:szCs w:val="18"/>
                    </w:rPr>
                  </w:pPr>
                </w:p>
              </w:tc>
            </w:tr>
            <w:tr w14:paraId="0ED9B086">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1BCBB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17</w:t>
                  </w:r>
                </w:p>
              </w:tc>
              <w:tc>
                <w:tcPr>
                  <w:tcW w:w="228" w:type="pct"/>
                  <w:vMerge w:val="continue"/>
                  <w:tcBorders>
                    <w:left w:val="single" w:color="auto" w:sz="4" w:space="0"/>
                    <w:right w:val="single" w:color="auto" w:sz="4" w:space="0"/>
                  </w:tcBorders>
                  <w:shd w:val="clear" w:color="auto" w:fill="auto"/>
                  <w:vAlign w:val="center"/>
                </w:tcPr>
                <w:p w14:paraId="4981A405">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29CE8B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碱槽槽控温（电箱）</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E5451B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D36DB0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F3EC4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72" w:type="pct"/>
                  <w:vMerge w:val="continue"/>
                  <w:tcBorders>
                    <w:left w:val="single" w:color="auto" w:sz="4" w:space="0"/>
                    <w:right w:val="single" w:color="auto" w:sz="4" w:space="0"/>
                  </w:tcBorders>
                  <w:shd w:val="clear" w:color="auto" w:fill="auto"/>
                  <w:vAlign w:val="center"/>
                </w:tcPr>
                <w:p w14:paraId="158C6042">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31998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27517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C0E74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9A934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FD185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354" w:type="pct"/>
                  <w:vMerge w:val="continue"/>
                  <w:tcBorders>
                    <w:left w:val="single" w:color="auto" w:sz="4" w:space="0"/>
                    <w:right w:val="single" w:color="auto" w:sz="4" w:space="0"/>
                  </w:tcBorders>
                  <w:shd w:val="clear" w:color="auto" w:fill="auto"/>
                  <w:noWrap/>
                  <w:vAlign w:val="center"/>
                </w:tcPr>
                <w:p w14:paraId="6B1E8547">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28180C6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8F522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45</w:t>
                  </w:r>
                </w:p>
              </w:tc>
              <w:tc>
                <w:tcPr>
                  <w:tcW w:w="286" w:type="pct"/>
                  <w:vMerge w:val="continue"/>
                  <w:tcBorders>
                    <w:left w:val="single" w:color="auto" w:sz="4" w:space="0"/>
                    <w:right w:val="single" w:color="auto" w:sz="4" w:space="0"/>
                  </w:tcBorders>
                  <w:shd w:val="clear" w:color="auto" w:fill="auto"/>
                  <w:noWrap/>
                  <w:vAlign w:val="center"/>
                </w:tcPr>
                <w:p w14:paraId="12D90D49">
                  <w:pPr>
                    <w:spacing w:line="240" w:lineRule="auto"/>
                    <w:jc w:val="center"/>
                    <w:rPr>
                      <w:rFonts w:hint="eastAsia" w:ascii="Times New Roman" w:hAnsi="Times New Roman" w:eastAsia="宋体" w:cs="Times New Roman"/>
                      <w:color w:val="auto"/>
                      <w:sz w:val="18"/>
                      <w:szCs w:val="18"/>
                    </w:rPr>
                  </w:pPr>
                </w:p>
              </w:tc>
            </w:tr>
            <w:tr w14:paraId="15C4D3E7">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D84CC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28" w:type="pct"/>
                  <w:vMerge w:val="continue"/>
                  <w:tcBorders>
                    <w:left w:val="single" w:color="auto" w:sz="4" w:space="0"/>
                    <w:bottom w:val="single" w:color="auto" w:sz="4" w:space="0"/>
                    <w:right w:val="single" w:color="auto" w:sz="4" w:space="0"/>
                  </w:tcBorders>
                  <w:shd w:val="clear" w:color="auto" w:fill="auto"/>
                  <w:vAlign w:val="center"/>
                </w:tcPr>
                <w:p w14:paraId="3A48E32D">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359434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添加泵</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D773E7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3EEDDB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CB6CDB">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33D209F">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5641E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9BC79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91EC7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F3A7D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F99F3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99C565F">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C7C48B2">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74676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295B9C4D">
                  <w:pPr>
                    <w:spacing w:line="240" w:lineRule="auto"/>
                    <w:jc w:val="center"/>
                    <w:rPr>
                      <w:rFonts w:hint="eastAsia" w:ascii="Times New Roman" w:hAnsi="Times New Roman" w:eastAsia="宋体" w:cs="Times New Roman"/>
                      <w:color w:val="auto"/>
                      <w:sz w:val="18"/>
                      <w:szCs w:val="18"/>
                    </w:rPr>
                  </w:pPr>
                </w:p>
              </w:tc>
            </w:tr>
            <w:tr w14:paraId="1E390294">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AC1A1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19</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947A33">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8455334">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硅机冷却系统</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D9C2F3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0042C02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73403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46C05105">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58F6F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140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A513D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A4DF5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00122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4089C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4FEF92D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28F0B178">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50D6A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3A23637">
                  <w:pPr>
                    <w:spacing w:line="240" w:lineRule="auto"/>
                    <w:jc w:val="center"/>
                    <w:rPr>
                      <w:rFonts w:hint="eastAsia" w:ascii="Times New Roman" w:hAnsi="Times New Roman" w:eastAsia="宋体" w:cs="Times New Roman"/>
                      <w:color w:val="auto"/>
                      <w:sz w:val="18"/>
                      <w:szCs w:val="18"/>
                    </w:rPr>
                  </w:pPr>
                </w:p>
              </w:tc>
            </w:tr>
            <w:tr w14:paraId="7B003DE7">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6E784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right w:val="single" w:color="auto" w:sz="4" w:space="0"/>
                  </w:tcBorders>
                  <w:shd w:val="clear" w:color="auto" w:fill="auto"/>
                  <w:vAlign w:val="center"/>
                </w:tcPr>
                <w:p w14:paraId="21197E0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9848FF2">
                  <w:pPr>
                    <w:spacing w:line="240" w:lineRule="auto"/>
                    <w:jc w:val="center"/>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阳极氧化电源</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39C17C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1B24048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148CB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B5DDAF7">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42400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62232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E46CD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CA862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74E32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8177EEE">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10B8695">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2C260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62B247F3">
                  <w:pPr>
                    <w:spacing w:line="240" w:lineRule="auto"/>
                    <w:jc w:val="center"/>
                    <w:rPr>
                      <w:rFonts w:hint="eastAsia" w:ascii="Times New Roman" w:hAnsi="Times New Roman" w:eastAsia="宋体" w:cs="Times New Roman"/>
                      <w:color w:val="auto"/>
                      <w:sz w:val="18"/>
                      <w:szCs w:val="18"/>
                    </w:rPr>
                  </w:pPr>
                </w:p>
              </w:tc>
            </w:tr>
            <w:tr w14:paraId="7D2B55B6">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ADFB3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28" w:type="pct"/>
                  <w:vMerge w:val="continue"/>
                  <w:tcBorders>
                    <w:left w:val="single" w:color="auto" w:sz="4" w:space="0"/>
                    <w:bottom w:val="single" w:color="auto" w:sz="4" w:space="0"/>
                    <w:right w:val="single" w:color="auto" w:sz="4" w:space="0"/>
                  </w:tcBorders>
                  <w:shd w:val="clear" w:color="auto" w:fill="auto"/>
                  <w:vAlign w:val="center"/>
                </w:tcPr>
                <w:p w14:paraId="41EE95C2">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2E3ADC9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各式槽体</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117A82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78BEC9C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EAFEE0">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0474402B">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1652D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1604E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240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9B033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9BB38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949ED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126FBF53">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78BD0DD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230E8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639E90E1">
                  <w:pPr>
                    <w:spacing w:line="240" w:lineRule="auto"/>
                    <w:jc w:val="center"/>
                    <w:rPr>
                      <w:rFonts w:hint="eastAsia" w:ascii="Times New Roman" w:hAnsi="Times New Roman" w:eastAsia="宋体" w:cs="Times New Roman"/>
                      <w:color w:val="auto"/>
                      <w:sz w:val="18"/>
                      <w:szCs w:val="18"/>
                    </w:rPr>
                  </w:pPr>
                </w:p>
              </w:tc>
            </w:tr>
            <w:tr w14:paraId="27D39BFD">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71287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right w:val="single" w:color="auto" w:sz="4" w:space="0"/>
                  </w:tcBorders>
                  <w:shd w:val="clear" w:color="auto" w:fill="auto"/>
                  <w:vAlign w:val="center"/>
                </w:tcPr>
                <w:p w14:paraId="07DE5FD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2E555D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CNC立式加工中心机床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C79600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BF2BEC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CACBD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44ABA918">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B5C2C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36431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280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B63B0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591AB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F7988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548E24E7">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D685857">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33124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241FE6E">
                  <w:pPr>
                    <w:spacing w:line="240" w:lineRule="auto"/>
                    <w:jc w:val="center"/>
                    <w:rPr>
                      <w:rFonts w:hint="eastAsia" w:ascii="Times New Roman" w:hAnsi="Times New Roman" w:eastAsia="宋体" w:cs="Times New Roman"/>
                      <w:color w:val="auto"/>
                      <w:sz w:val="18"/>
                      <w:szCs w:val="18"/>
                    </w:rPr>
                  </w:pPr>
                </w:p>
              </w:tc>
            </w:tr>
            <w:tr w14:paraId="7ED23334">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AD4DA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28" w:type="pct"/>
                  <w:vMerge w:val="continue"/>
                  <w:tcBorders>
                    <w:left w:val="single" w:color="auto" w:sz="4" w:space="0"/>
                    <w:right w:val="single" w:color="auto" w:sz="4" w:space="0"/>
                  </w:tcBorders>
                  <w:shd w:val="clear" w:color="auto" w:fill="auto"/>
                  <w:vAlign w:val="center"/>
                </w:tcPr>
                <w:p w14:paraId="75814A02">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A2CDC9A">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双工位液压数控冲床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9EA499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A7DE2F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EB705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7A4A22B">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6C728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7000D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9F76A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06A187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EA251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339F40B">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2666202E">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BC02A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0139B0D8">
                  <w:pPr>
                    <w:spacing w:line="240" w:lineRule="auto"/>
                    <w:jc w:val="center"/>
                    <w:rPr>
                      <w:rFonts w:hint="eastAsia" w:ascii="Times New Roman" w:hAnsi="Times New Roman" w:eastAsia="宋体" w:cs="Times New Roman"/>
                      <w:color w:val="auto"/>
                      <w:sz w:val="18"/>
                      <w:szCs w:val="18"/>
                    </w:rPr>
                  </w:pPr>
                </w:p>
              </w:tc>
            </w:tr>
            <w:tr w14:paraId="01939817">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CDBC8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28" w:type="pct"/>
                  <w:vMerge w:val="continue"/>
                  <w:tcBorders>
                    <w:left w:val="single" w:color="auto" w:sz="4" w:space="0"/>
                    <w:right w:val="single" w:color="auto" w:sz="4" w:space="0"/>
                  </w:tcBorders>
                  <w:shd w:val="clear" w:color="auto" w:fill="auto"/>
                  <w:vAlign w:val="center"/>
                </w:tcPr>
                <w:p w14:paraId="08437E3C">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F18D16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开式固定台压力机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8413C3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ACDF28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5088C4">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A8B89B5">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64372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2A4C2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A360B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A80E9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CD666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0F132BA2">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63025E7">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EC8C1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8D3A63C">
                  <w:pPr>
                    <w:spacing w:line="240" w:lineRule="auto"/>
                    <w:jc w:val="center"/>
                    <w:rPr>
                      <w:rFonts w:hint="eastAsia" w:ascii="Times New Roman" w:hAnsi="Times New Roman" w:eastAsia="宋体" w:cs="Times New Roman"/>
                      <w:color w:val="auto"/>
                      <w:sz w:val="18"/>
                      <w:szCs w:val="18"/>
                    </w:rPr>
                  </w:pPr>
                </w:p>
              </w:tc>
            </w:tr>
            <w:tr w14:paraId="1D1542DA">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621EE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28" w:type="pct"/>
                  <w:vMerge w:val="continue"/>
                  <w:tcBorders>
                    <w:left w:val="single" w:color="auto" w:sz="4" w:space="0"/>
                    <w:right w:val="single" w:color="auto" w:sz="4" w:space="0"/>
                  </w:tcBorders>
                  <w:shd w:val="clear" w:color="auto" w:fill="auto"/>
                  <w:vAlign w:val="center"/>
                </w:tcPr>
                <w:p w14:paraId="572D1243">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496945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开式固定台压</w:t>
                  </w:r>
                </w:p>
                <w:p w14:paraId="73AADA3A">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力机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2CA1E4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74469B2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16</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ADD5B5">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1B4D52C0">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47EA2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B7B3C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13BE4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054C5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57457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2A17AB41">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3128EF7">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019F1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5E79E6CA">
                  <w:pPr>
                    <w:spacing w:line="240" w:lineRule="auto"/>
                    <w:jc w:val="center"/>
                    <w:rPr>
                      <w:rFonts w:hint="eastAsia" w:ascii="Times New Roman" w:hAnsi="Times New Roman" w:eastAsia="宋体" w:cs="Times New Roman"/>
                      <w:color w:val="auto"/>
                      <w:sz w:val="18"/>
                      <w:szCs w:val="18"/>
                    </w:rPr>
                  </w:pPr>
                </w:p>
              </w:tc>
            </w:tr>
            <w:tr w14:paraId="49A41908">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4CA89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28" w:type="pct"/>
                  <w:vMerge w:val="continue"/>
                  <w:tcBorders>
                    <w:left w:val="single" w:color="auto" w:sz="4" w:space="0"/>
                    <w:right w:val="single" w:color="auto" w:sz="4" w:space="0"/>
                  </w:tcBorders>
                  <w:shd w:val="clear" w:color="auto" w:fill="auto"/>
                  <w:vAlign w:val="center"/>
                </w:tcPr>
                <w:p w14:paraId="5D5DDEEC">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7D82863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手动拉铆线</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B58F07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5547CB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4C49DA">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0D75DCDC">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78C0D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230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BD7C6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C942D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208BD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6DFE3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4B7CC0FB">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647B9D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56720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4DFC5DDA">
                  <w:pPr>
                    <w:spacing w:line="240" w:lineRule="auto"/>
                    <w:jc w:val="center"/>
                    <w:rPr>
                      <w:rFonts w:hint="eastAsia" w:ascii="Times New Roman" w:hAnsi="Times New Roman" w:eastAsia="宋体" w:cs="Times New Roman"/>
                      <w:color w:val="auto"/>
                      <w:sz w:val="18"/>
                      <w:szCs w:val="18"/>
                    </w:rPr>
                  </w:pPr>
                </w:p>
              </w:tc>
            </w:tr>
            <w:tr w14:paraId="4098EE79">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12DF3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28" w:type="pct"/>
                  <w:vMerge w:val="continue"/>
                  <w:tcBorders>
                    <w:left w:val="single" w:color="auto" w:sz="4" w:space="0"/>
                    <w:right w:val="single" w:color="auto" w:sz="4" w:space="0"/>
                  </w:tcBorders>
                  <w:shd w:val="clear" w:color="auto" w:fill="auto"/>
                  <w:vAlign w:val="center"/>
                </w:tcPr>
                <w:p w14:paraId="32C04922">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40D8A3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打磨机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26737A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745D3F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B11EF5">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4889FAAC">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DB8A4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250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05D4C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340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1197D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DC6DC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C02E8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B1C9A16">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B0C4745">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B1285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3776991">
                  <w:pPr>
                    <w:spacing w:line="240" w:lineRule="auto"/>
                    <w:jc w:val="center"/>
                    <w:rPr>
                      <w:rFonts w:hint="eastAsia" w:ascii="Times New Roman" w:hAnsi="Times New Roman" w:eastAsia="宋体" w:cs="Times New Roman"/>
                      <w:color w:val="auto"/>
                      <w:sz w:val="18"/>
                      <w:szCs w:val="18"/>
                    </w:rPr>
                  </w:pPr>
                </w:p>
              </w:tc>
            </w:tr>
            <w:tr w14:paraId="1123D362">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BED35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w:t>
                  </w:r>
                </w:p>
              </w:tc>
              <w:tc>
                <w:tcPr>
                  <w:tcW w:w="228" w:type="pct"/>
                  <w:vMerge w:val="continue"/>
                  <w:tcBorders>
                    <w:left w:val="single" w:color="auto" w:sz="4" w:space="0"/>
                    <w:right w:val="single" w:color="auto" w:sz="4" w:space="0"/>
                  </w:tcBorders>
                  <w:shd w:val="clear" w:color="auto" w:fill="auto"/>
                  <w:vAlign w:val="center"/>
                </w:tcPr>
                <w:p w14:paraId="01901FD5">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4611CE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FDS 组装工作站</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B12D56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D5B3E2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E630F0">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79B5AE54">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D3147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260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A5473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290CB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171F1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D3343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3AC286E">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5409299C">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0AE76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6D1C8EE0">
                  <w:pPr>
                    <w:spacing w:line="240" w:lineRule="auto"/>
                    <w:jc w:val="center"/>
                    <w:rPr>
                      <w:rFonts w:hint="eastAsia" w:ascii="Times New Roman" w:hAnsi="Times New Roman" w:eastAsia="宋体" w:cs="Times New Roman"/>
                      <w:color w:val="auto"/>
                      <w:sz w:val="18"/>
                      <w:szCs w:val="18"/>
                    </w:rPr>
                  </w:pPr>
                </w:p>
              </w:tc>
            </w:tr>
            <w:tr w14:paraId="32D78240">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B11BC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w:t>
                  </w:r>
                </w:p>
              </w:tc>
              <w:tc>
                <w:tcPr>
                  <w:tcW w:w="228" w:type="pct"/>
                  <w:vMerge w:val="continue"/>
                  <w:tcBorders>
                    <w:left w:val="single" w:color="auto" w:sz="4" w:space="0"/>
                    <w:right w:val="single" w:color="auto" w:sz="4" w:space="0"/>
                  </w:tcBorders>
                  <w:shd w:val="clear" w:color="auto" w:fill="auto"/>
                  <w:vAlign w:val="center"/>
                </w:tcPr>
                <w:p w14:paraId="35B4C148">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02D043B">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CMT 焊接工作站</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76634B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FD740E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E95486">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D264726">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44F95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250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A2493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7AC83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69DC0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C60D4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1B394A00">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CFEB39E">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934BA1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2EAF7B53">
                  <w:pPr>
                    <w:spacing w:line="240" w:lineRule="auto"/>
                    <w:jc w:val="center"/>
                    <w:rPr>
                      <w:rFonts w:hint="eastAsia" w:ascii="Times New Roman" w:hAnsi="Times New Roman" w:eastAsia="宋体" w:cs="Times New Roman"/>
                      <w:color w:val="auto"/>
                      <w:sz w:val="18"/>
                      <w:szCs w:val="18"/>
                    </w:rPr>
                  </w:pPr>
                </w:p>
              </w:tc>
            </w:tr>
            <w:tr w14:paraId="4CFCDAE8">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654F1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w:t>
                  </w:r>
                </w:p>
              </w:tc>
              <w:tc>
                <w:tcPr>
                  <w:tcW w:w="228" w:type="pct"/>
                  <w:vMerge w:val="continue"/>
                  <w:tcBorders>
                    <w:left w:val="single" w:color="auto" w:sz="4" w:space="0"/>
                    <w:bottom w:val="single" w:color="auto" w:sz="4" w:space="0"/>
                    <w:right w:val="single" w:color="auto" w:sz="4" w:space="0"/>
                  </w:tcBorders>
                  <w:shd w:val="clear" w:color="auto" w:fill="auto"/>
                  <w:vAlign w:val="center"/>
                </w:tcPr>
                <w:p w14:paraId="022E04C5">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0F46789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折弯设备</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C83D48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32ED5B0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FD7630">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AEBCFA1">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D6D22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230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F82E4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350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33005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9F3C8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8BA76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7663C935">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1A004528">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614D2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CEB7BAE">
                  <w:pPr>
                    <w:spacing w:line="240" w:lineRule="auto"/>
                    <w:jc w:val="center"/>
                    <w:rPr>
                      <w:rFonts w:hint="eastAsia" w:ascii="Times New Roman" w:hAnsi="Times New Roman" w:eastAsia="宋体" w:cs="Times New Roman"/>
                      <w:color w:val="auto"/>
                      <w:sz w:val="18"/>
                      <w:szCs w:val="18"/>
                    </w:rPr>
                  </w:pPr>
                </w:p>
              </w:tc>
            </w:tr>
            <w:tr w14:paraId="784A1290">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243D3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right w:val="single" w:color="auto" w:sz="4" w:space="0"/>
                  </w:tcBorders>
                  <w:shd w:val="clear" w:color="auto" w:fill="auto"/>
                  <w:vAlign w:val="center"/>
                </w:tcPr>
                <w:p w14:paraId="484F2B7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B8950D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挤压机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503BE4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600-4000t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3A4062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A5B0AA">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0512762">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68372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250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D0D86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8B66E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6DC48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D0697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66D641D5">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1FA934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92D97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015C5C7">
                  <w:pPr>
                    <w:spacing w:line="240" w:lineRule="auto"/>
                    <w:jc w:val="center"/>
                    <w:rPr>
                      <w:rFonts w:hint="eastAsia" w:ascii="Times New Roman" w:hAnsi="Times New Roman" w:eastAsia="宋体" w:cs="Times New Roman"/>
                      <w:color w:val="auto"/>
                      <w:sz w:val="18"/>
                      <w:szCs w:val="18"/>
                    </w:rPr>
                  </w:pPr>
                </w:p>
              </w:tc>
            </w:tr>
            <w:tr w14:paraId="437FA159">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ABC8B3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28" w:type="pct"/>
                  <w:vMerge w:val="continue"/>
                  <w:tcBorders>
                    <w:left w:val="single" w:color="auto" w:sz="4" w:space="0"/>
                    <w:right w:val="single" w:color="auto" w:sz="4" w:space="0"/>
                  </w:tcBorders>
                  <w:shd w:val="clear" w:color="auto" w:fill="auto"/>
                  <w:vAlign w:val="center"/>
                </w:tcPr>
                <w:p w14:paraId="296B22E5">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AE85F0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时效炉</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C52B8C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10E5EC5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2F8AD9">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3EEE3B5E">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D33F7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250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C8F12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240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04C59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64067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29C7B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61C8F493">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08697BB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5BD89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17E113F0">
                  <w:pPr>
                    <w:spacing w:line="240" w:lineRule="auto"/>
                    <w:jc w:val="center"/>
                    <w:rPr>
                      <w:rFonts w:hint="eastAsia" w:ascii="Times New Roman" w:hAnsi="Times New Roman" w:eastAsia="宋体" w:cs="Times New Roman"/>
                      <w:color w:val="auto"/>
                      <w:sz w:val="18"/>
                      <w:szCs w:val="18"/>
                    </w:rPr>
                  </w:pPr>
                </w:p>
              </w:tc>
            </w:tr>
            <w:tr w14:paraId="4F87BE83">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750AF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28" w:type="pct"/>
                  <w:vMerge w:val="continue"/>
                  <w:tcBorders>
                    <w:left w:val="single" w:color="auto" w:sz="4" w:space="0"/>
                    <w:right w:val="single" w:color="auto" w:sz="4" w:space="0"/>
                  </w:tcBorders>
                  <w:shd w:val="clear" w:color="auto" w:fill="auto"/>
                  <w:vAlign w:val="center"/>
                </w:tcPr>
                <w:p w14:paraId="38ACCEB1">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EFDFF8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铝棒加热炉</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BF7648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600-2000t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0360C53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0B02D0">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6ED7BD3">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6F111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270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8D420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240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7A096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F48FB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E95AE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29287CE">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9D51AFF">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8710A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3A2C4136">
                  <w:pPr>
                    <w:spacing w:line="240" w:lineRule="auto"/>
                    <w:jc w:val="center"/>
                    <w:rPr>
                      <w:rFonts w:hint="eastAsia" w:ascii="Times New Roman" w:hAnsi="Times New Roman" w:eastAsia="宋体" w:cs="Times New Roman"/>
                      <w:color w:val="auto"/>
                      <w:sz w:val="18"/>
                      <w:szCs w:val="18"/>
                    </w:rPr>
                  </w:pPr>
                </w:p>
              </w:tc>
            </w:tr>
            <w:tr w14:paraId="452D2C3E">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C84A7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28" w:type="pct"/>
                  <w:vMerge w:val="continue"/>
                  <w:tcBorders>
                    <w:left w:val="single" w:color="auto" w:sz="4" w:space="0"/>
                    <w:right w:val="single" w:color="auto" w:sz="4" w:space="0"/>
                  </w:tcBorders>
                  <w:shd w:val="clear" w:color="auto" w:fill="auto"/>
                  <w:vAlign w:val="center"/>
                </w:tcPr>
                <w:p w14:paraId="5776F75D">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51C6C4E9">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模具加热炉</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F3511A9">
                  <w:pPr>
                    <w:spacing w:line="240" w:lineRule="auto"/>
                    <w:jc w:val="center"/>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CQ250-3</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3C2F333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55486E">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75</w:t>
                  </w:r>
                </w:p>
              </w:tc>
              <w:tc>
                <w:tcPr>
                  <w:tcW w:w="272" w:type="pct"/>
                  <w:vMerge w:val="continue"/>
                  <w:tcBorders>
                    <w:left w:val="single" w:color="auto" w:sz="4" w:space="0"/>
                    <w:right w:val="single" w:color="auto" w:sz="4" w:space="0"/>
                  </w:tcBorders>
                  <w:shd w:val="clear" w:color="auto" w:fill="auto"/>
                  <w:vAlign w:val="center"/>
                </w:tcPr>
                <w:p w14:paraId="7AC28BBB">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5102D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F87FC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230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7811B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4ABF9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B4FD3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70</w:t>
                  </w:r>
                </w:p>
              </w:tc>
              <w:tc>
                <w:tcPr>
                  <w:tcW w:w="354" w:type="pct"/>
                  <w:vMerge w:val="continue"/>
                  <w:tcBorders>
                    <w:left w:val="single" w:color="auto" w:sz="4" w:space="0"/>
                    <w:right w:val="single" w:color="auto" w:sz="4" w:space="0"/>
                  </w:tcBorders>
                  <w:shd w:val="clear" w:color="auto" w:fill="auto"/>
                  <w:noWrap/>
                  <w:vAlign w:val="center"/>
                </w:tcPr>
                <w:p w14:paraId="2582F0E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229D7A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432D4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55</w:t>
                  </w:r>
                </w:p>
              </w:tc>
              <w:tc>
                <w:tcPr>
                  <w:tcW w:w="286" w:type="pct"/>
                  <w:vMerge w:val="continue"/>
                  <w:tcBorders>
                    <w:left w:val="single" w:color="auto" w:sz="4" w:space="0"/>
                    <w:right w:val="single" w:color="auto" w:sz="4" w:space="0"/>
                  </w:tcBorders>
                  <w:shd w:val="clear" w:color="auto" w:fill="auto"/>
                  <w:noWrap/>
                  <w:vAlign w:val="center"/>
                </w:tcPr>
                <w:p w14:paraId="0703559E">
                  <w:pPr>
                    <w:spacing w:line="240" w:lineRule="auto"/>
                    <w:jc w:val="center"/>
                    <w:rPr>
                      <w:rFonts w:hint="eastAsia" w:ascii="Times New Roman" w:hAnsi="Times New Roman" w:eastAsia="宋体" w:cs="Times New Roman"/>
                      <w:color w:val="auto"/>
                      <w:sz w:val="18"/>
                      <w:szCs w:val="18"/>
                    </w:rPr>
                  </w:pPr>
                </w:p>
              </w:tc>
            </w:tr>
            <w:tr w14:paraId="24093DC8">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27611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w:t>
                  </w:r>
                </w:p>
              </w:tc>
              <w:tc>
                <w:tcPr>
                  <w:tcW w:w="228" w:type="pct"/>
                  <w:vMerge w:val="continue"/>
                  <w:tcBorders>
                    <w:left w:val="single" w:color="auto" w:sz="4" w:space="0"/>
                    <w:right w:val="single" w:color="auto" w:sz="4" w:space="0"/>
                  </w:tcBorders>
                  <w:shd w:val="clear" w:color="auto" w:fill="auto"/>
                  <w:vAlign w:val="center"/>
                </w:tcPr>
                <w:p w14:paraId="48F572D2">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0B13C4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拉伸机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880029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15T-35T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1A232A9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92DB1C">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FDD9D9C">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A2D13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280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FB4B5C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19125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AF940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15</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69E39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278F1331">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5EC0082">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D7D037">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0BC803D">
                  <w:pPr>
                    <w:spacing w:line="240" w:lineRule="auto"/>
                    <w:jc w:val="center"/>
                    <w:rPr>
                      <w:rFonts w:hint="eastAsia" w:ascii="Times New Roman" w:hAnsi="Times New Roman" w:eastAsia="宋体" w:cs="Times New Roman"/>
                      <w:color w:val="auto"/>
                      <w:sz w:val="18"/>
                      <w:szCs w:val="18"/>
                    </w:rPr>
                  </w:pPr>
                </w:p>
              </w:tc>
            </w:tr>
            <w:tr w14:paraId="32884A41">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DD684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28" w:type="pct"/>
                  <w:vMerge w:val="continue"/>
                  <w:tcBorders>
                    <w:left w:val="single" w:color="auto" w:sz="4" w:space="0"/>
                    <w:right w:val="single" w:color="auto" w:sz="4" w:space="0"/>
                  </w:tcBorders>
                  <w:shd w:val="clear" w:color="auto" w:fill="auto"/>
                  <w:vAlign w:val="center"/>
                </w:tcPr>
                <w:p w14:paraId="1289C607">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ECC66C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型材锯切机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234F98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87FF94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18</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2AF802">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32F9675B">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F8CAC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285</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6FF26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0CF71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A46E1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F00C5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438E960E">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52A65066">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D9DA2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8EFF743">
                  <w:pPr>
                    <w:spacing w:line="240" w:lineRule="auto"/>
                    <w:jc w:val="center"/>
                    <w:rPr>
                      <w:rFonts w:hint="eastAsia" w:ascii="Times New Roman" w:hAnsi="Times New Roman" w:eastAsia="宋体" w:cs="Times New Roman"/>
                      <w:color w:val="auto"/>
                      <w:sz w:val="18"/>
                      <w:szCs w:val="18"/>
                    </w:rPr>
                  </w:pPr>
                </w:p>
              </w:tc>
            </w:tr>
            <w:tr w14:paraId="4BBA08F0">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38F71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w:t>
                  </w:r>
                </w:p>
              </w:tc>
              <w:tc>
                <w:tcPr>
                  <w:tcW w:w="228" w:type="pct"/>
                  <w:vMerge w:val="continue"/>
                  <w:tcBorders>
                    <w:left w:val="single" w:color="auto" w:sz="4" w:space="0"/>
                    <w:bottom w:val="single" w:color="auto" w:sz="4" w:space="0"/>
                    <w:right w:val="single" w:color="auto" w:sz="4" w:space="0"/>
                  </w:tcBorders>
                  <w:shd w:val="clear" w:color="auto" w:fill="auto"/>
                  <w:vAlign w:val="center"/>
                </w:tcPr>
                <w:p w14:paraId="158A7F4C">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17292B0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螺杆式空压机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3DF543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E32B7A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C9E448">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249612A3">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6F1EC9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B620D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230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11FC2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B0EDE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31CAF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498FF84F">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027DF06">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238F5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8541B83">
                  <w:pPr>
                    <w:spacing w:line="240" w:lineRule="auto"/>
                    <w:jc w:val="center"/>
                    <w:rPr>
                      <w:rFonts w:hint="eastAsia" w:ascii="Times New Roman" w:hAnsi="Times New Roman" w:eastAsia="宋体" w:cs="Times New Roman"/>
                      <w:color w:val="auto"/>
                      <w:sz w:val="18"/>
                      <w:szCs w:val="18"/>
                    </w:rPr>
                  </w:pPr>
                </w:p>
              </w:tc>
            </w:tr>
            <w:tr w14:paraId="33BFD621">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70C9B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EE943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F5DF91D">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铣床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270262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LXDX-250</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267572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6C17EB">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290D2D9">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A8077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AE3C1A">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310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B1675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673C3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AEDE8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20E3B40">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46537E73">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D4443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7F321281">
                  <w:pPr>
                    <w:spacing w:line="240" w:lineRule="auto"/>
                    <w:jc w:val="center"/>
                    <w:rPr>
                      <w:rFonts w:hint="eastAsia" w:ascii="Times New Roman" w:hAnsi="Times New Roman" w:eastAsia="宋体" w:cs="Times New Roman"/>
                      <w:color w:val="auto"/>
                      <w:sz w:val="18"/>
                      <w:szCs w:val="18"/>
                    </w:rPr>
                  </w:pPr>
                </w:p>
              </w:tc>
            </w:tr>
            <w:tr w14:paraId="28766E23">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8F993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596104">
                  <w:pPr>
                    <w:spacing w:line="240" w:lineRule="auto"/>
                    <w:jc w:val="center"/>
                    <w:rPr>
                      <w:rFonts w:hint="default" w:ascii="Times New Roman" w:hAnsi="Times New Roman" w:eastAsia="宋体" w:cs="Times New Roman"/>
                      <w:color w:val="auto"/>
                      <w:sz w:val="18"/>
                      <w:szCs w:val="18"/>
                      <w:lang w:val="en-US" w:eastAsia="zh-CN"/>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F283122">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钻床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C9B2C2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LZZ6-13</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5919BFC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C849E2">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654F56E0">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7E605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110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3947C4">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310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918DB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4837E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A39BA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4BD74E03">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5D3DA605">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BEC94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1FC21727">
                  <w:pPr>
                    <w:spacing w:line="240" w:lineRule="auto"/>
                    <w:jc w:val="center"/>
                    <w:rPr>
                      <w:rFonts w:hint="eastAsia" w:ascii="Times New Roman" w:hAnsi="Times New Roman" w:eastAsia="宋体" w:cs="Times New Roman"/>
                      <w:color w:val="auto"/>
                      <w:sz w:val="18"/>
                      <w:szCs w:val="18"/>
                    </w:rPr>
                  </w:pPr>
                </w:p>
              </w:tc>
            </w:tr>
            <w:tr w14:paraId="7B0CF9E7">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208B8D">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2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7AD826">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3751C08E">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锯切机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A0E0DB5">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DZ600X1000</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478030A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C90ECB">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54E037C3">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FC92B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110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749FDA">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320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91FBA6">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78A2D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68EFF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5C0DD757">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67E417B4">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8C88B8">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13C717CE">
                  <w:pPr>
                    <w:spacing w:line="240" w:lineRule="auto"/>
                    <w:jc w:val="center"/>
                    <w:rPr>
                      <w:rFonts w:hint="eastAsia" w:ascii="Times New Roman" w:hAnsi="Times New Roman" w:eastAsia="宋体" w:cs="Times New Roman"/>
                      <w:color w:val="auto"/>
                      <w:sz w:val="18"/>
                      <w:szCs w:val="18"/>
                    </w:rPr>
                  </w:pPr>
                </w:p>
              </w:tc>
            </w:tr>
            <w:tr w14:paraId="61FA4314">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AC0B9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28" w:type="pct"/>
                  <w:vMerge w:val="restart"/>
                  <w:tcBorders>
                    <w:top w:val="single" w:color="auto" w:sz="4" w:space="0"/>
                    <w:left w:val="single" w:color="auto" w:sz="4" w:space="0"/>
                    <w:right w:val="single" w:color="auto" w:sz="4" w:space="0"/>
                  </w:tcBorders>
                  <w:shd w:val="clear" w:color="auto" w:fill="auto"/>
                  <w:vAlign w:val="center"/>
                </w:tcPr>
                <w:p w14:paraId="5CB4569C">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9#厂房</w:t>
                  </w: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41D264A3">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铣床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F723C7C">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LXDX-200</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31FC158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D23A43">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7CF4EEA7">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54E722">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5D6CE8">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320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B43ED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7ECAD1">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7</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83F26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3F182DB2">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307EF2D6">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CF9761">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4571931A">
                  <w:pPr>
                    <w:spacing w:line="240" w:lineRule="auto"/>
                    <w:jc w:val="center"/>
                    <w:rPr>
                      <w:rFonts w:hint="eastAsia" w:ascii="Times New Roman" w:hAnsi="Times New Roman" w:eastAsia="宋体" w:cs="Times New Roman"/>
                      <w:color w:val="auto"/>
                      <w:sz w:val="18"/>
                      <w:szCs w:val="18"/>
                    </w:rPr>
                  </w:pPr>
                </w:p>
              </w:tc>
            </w:tr>
            <w:tr w14:paraId="29CFFD5F">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775D2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w:t>
                  </w:r>
                </w:p>
              </w:tc>
              <w:tc>
                <w:tcPr>
                  <w:tcW w:w="228" w:type="pct"/>
                  <w:vMerge w:val="continue"/>
                  <w:tcBorders>
                    <w:left w:val="single" w:color="auto" w:sz="4" w:space="0"/>
                    <w:right w:val="single" w:color="auto" w:sz="4" w:space="0"/>
                  </w:tcBorders>
                  <w:shd w:val="clear" w:color="auto" w:fill="auto"/>
                  <w:vAlign w:val="center"/>
                </w:tcPr>
                <w:p w14:paraId="6F761528">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8AB231C">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钻床</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16EB09F">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69F52D08">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826946">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85</w:t>
                  </w:r>
                </w:p>
              </w:tc>
              <w:tc>
                <w:tcPr>
                  <w:tcW w:w="272" w:type="pct"/>
                  <w:vMerge w:val="continue"/>
                  <w:tcBorders>
                    <w:left w:val="single" w:color="auto" w:sz="4" w:space="0"/>
                    <w:right w:val="single" w:color="auto" w:sz="4" w:space="0"/>
                  </w:tcBorders>
                  <w:shd w:val="clear" w:color="auto" w:fill="auto"/>
                  <w:vAlign w:val="center"/>
                </w:tcPr>
                <w:p w14:paraId="337691A7">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18E590">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21F71C">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340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9AE5A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10474E">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10</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319FD7">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right w:val="single" w:color="auto" w:sz="4" w:space="0"/>
                  </w:tcBorders>
                  <w:shd w:val="clear" w:color="auto" w:fill="auto"/>
                  <w:noWrap/>
                  <w:vAlign w:val="center"/>
                </w:tcPr>
                <w:p w14:paraId="1E23E3A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right w:val="single" w:color="auto" w:sz="4" w:space="0"/>
                  </w:tcBorders>
                  <w:shd w:val="clear" w:color="auto" w:fill="auto"/>
                  <w:noWrap/>
                  <w:vAlign w:val="center"/>
                </w:tcPr>
                <w:p w14:paraId="1AAEADB1">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C35190">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right w:val="single" w:color="auto" w:sz="4" w:space="0"/>
                  </w:tcBorders>
                  <w:shd w:val="clear" w:color="auto" w:fill="auto"/>
                  <w:noWrap/>
                  <w:vAlign w:val="center"/>
                </w:tcPr>
                <w:p w14:paraId="5FFAE5EB">
                  <w:pPr>
                    <w:spacing w:line="240" w:lineRule="auto"/>
                    <w:jc w:val="center"/>
                    <w:rPr>
                      <w:rFonts w:hint="eastAsia" w:ascii="Times New Roman" w:hAnsi="Times New Roman" w:eastAsia="宋体" w:cs="Times New Roman"/>
                      <w:color w:val="auto"/>
                      <w:sz w:val="18"/>
                      <w:szCs w:val="18"/>
                    </w:rPr>
                  </w:pPr>
                </w:p>
              </w:tc>
            </w:tr>
            <w:tr w14:paraId="6C6C82E3">
              <w:tblPrEx>
                <w:tblCellMar>
                  <w:top w:w="0" w:type="dxa"/>
                  <w:left w:w="108" w:type="dxa"/>
                  <w:bottom w:w="0" w:type="dxa"/>
                  <w:right w:w="108" w:type="dxa"/>
                </w:tblCellMar>
              </w:tblPrEx>
              <w:trPr>
                <w:trHeight w:val="90" w:hRule="atLeast"/>
              </w:trPr>
              <w:tc>
                <w:tcPr>
                  <w:tcW w:w="1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025269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w:t>
                  </w:r>
                </w:p>
              </w:tc>
              <w:tc>
                <w:tcPr>
                  <w:tcW w:w="228" w:type="pct"/>
                  <w:vMerge w:val="continue"/>
                  <w:tcBorders>
                    <w:left w:val="single" w:color="auto" w:sz="4" w:space="0"/>
                    <w:bottom w:val="single" w:color="auto" w:sz="4" w:space="0"/>
                    <w:right w:val="single" w:color="auto" w:sz="4" w:space="0"/>
                  </w:tcBorders>
                  <w:shd w:val="clear" w:color="auto" w:fill="auto"/>
                  <w:vAlign w:val="center"/>
                </w:tcPr>
                <w:p w14:paraId="66447CD2">
                  <w:pPr>
                    <w:spacing w:line="240" w:lineRule="auto"/>
                    <w:jc w:val="center"/>
                    <w:rPr>
                      <w:rFonts w:hint="eastAsia" w:ascii="Times New Roman" w:hAnsi="Times New Roman" w:eastAsia="宋体" w:cs="Times New Roman"/>
                      <w:color w:val="auto"/>
                      <w:sz w:val="18"/>
                      <w:szCs w:val="18"/>
                    </w:rPr>
                  </w:pPr>
                </w:p>
              </w:tc>
              <w:tc>
                <w:tcPr>
                  <w:tcW w:w="531" w:type="pct"/>
                  <w:tcBorders>
                    <w:top w:val="single" w:color="auto" w:sz="4" w:space="0"/>
                    <w:left w:val="single" w:color="auto" w:sz="4" w:space="0"/>
                    <w:bottom w:val="single" w:color="auto" w:sz="4" w:space="0"/>
                    <w:right w:val="single" w:color="auto" w:sz="4" w:space="0"/>
                  </w:tcBorders>
                  <w:shd w:val="clear" w:color="auto" w:fill="auto"/>
                  <w:vAlign w:val="center"/>
                </w:tcPr>
                <w:p w14:paraId="692DBBB3">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型材锯切机</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AAFECB5">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272" w:type="pct"/>
                  <w:tcBorders>
                    <w:top w:val="single" w:color="auto" w:sz="4" w:space="0"/>
                    <w:left w:val="single" w:color="auto" w:sz="4" w:space="0"/>
                    <w:bottom w:val="single" w:color="auto" w:sz="4" w:space="0"/>
                    <w:right w:val="single" w:color="auto" w:sz="4" w:space="0"/>
                  </w:tcBorders>
                  <w:shd w:val="clear" w:color="auto" w:fill="auto"/>
                  <w:vAlign w:val="center"/>
                </w:tcPr>
                <w:p w14:paraId="21DE09CA">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4</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E77D9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85</w:t>
                  </w:r>
                </w:p>
              </w:tc>
              <w:tc>
                <w:tcPr>
                  <w:tcW w:w="272" w:type="pct"/>
                  <w:vMerge w:val="continue"/>
                  <w:tcBorders>
                    <w:left w:val="single" w:color="auto" w:sz="4" w:space="0"/>
                    <w:bottom w:val="single" w:color="auto" w:sz="4" w:space="0"/>
                    <w:right w:val="single" w:color="auto" w:sz="4" w:space="0"/>
                  </w:tcBorders>
                  <w:shd w:val="clear" w:color="auto" w:fill="auto"/>
                  <w:vAlign w:val="center"/>
                </w:tcPr>
                <w:p w14:paraId="12255CC0">
                  <w:pPr>
                    <w:spacing w:line="240" w:lineRule="auto"/>
                    <w:jc w:val="center"/>
                    <w:rPr>
                      <w:rFonts w:hint="eastAsia" w:ascii="Times New Roman" w:hAnsi="Times New Roman" w:eastAsia="宋体" w:cs="Times New Roman"/>
                      <w:color w:val="auto"/>
                      <w:sz w:val="18"/>
                      <w:szCs w:val="18"/>
                    </w:rPr>
                  </w:pP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A9CB4B">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90</w:t>
                  </w:r>
                </w:p>
              </w:tc>
              <w:tc>
                <w:tcPr>
                  <w:tcW w:w="27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235E3F">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340</w:t>
                  </w:r>
                </w:p>
              </w:tc>
              <w:tc>
                <w:tcPr>
                  <w:tcW w:w="28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7BD2A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EA6974">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w:t>
                  </w: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B63689">
                  <w:pPr>
                    <w:spacing w:line="240" w:lineRule="auto"/>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80</w:t>
                  </w:r>
                </w:p>
              </w:tc>
              <w:tc>
                <w:tcPr>
                  <w:tcW w:w="354" w:type="pct"/>
                  <w:vMerge w:val="continue"/>
                  <w:tcBorders>
                    <w:left w:val="single" w:color="auto" w:sz="4" w:space="0"/>
                    <w:bottom w:val="single" w:color="auto" w:sz="4" w:space="0"/>
                    <w:right w:val="single" w:color="auto" w:sz="4" w:space="0"/>
                  </w:tcBorders>
                  <w:shd w:val="clear" w:color="auto" w:fill="auto"/>
                  <w:noWrap/>
                  <w:vAlign w:val="center"/>
                </w:tcPr>
                <w:p w14:paraId="3530CDF9">
                  <w:pPr>
                    <w:spacing w:line="240" w:lineRule="auto"/>
                    <w:jc w:val="center"/>
                    <w:rPr>
                      <w:rFonts w:hint="eastAsia" w:ascii="Times New Roman" w:hAnsi="Times New Roman" w:eastAsia="宋体" w:cs="Times New Roman"/>
                      <w:color w:val="auto"/>
                      <w:sz w:val="18"/>
                      <w:szCs w:val="18"/>
                    </w:rPr>
                  </w:pPr>
                </w:p>
              </w:tc>
              <w:tc>
                <w:tcPr>
                  <w:tcW w:w="273" w:type="pct"/>
                  <w:vMerge w:val="continue"/>
                  <w:tcBorders>
                    <w:left w:val="single" w:color="auto" w:sz="4" w:space="0"/>
                    <w:bottom w:val="single" w:color="auto" w:sz="4" w:space="0"/>
                    <w:right w:val="single" w:color="auto" w:sz="4" w:space="0"/>
                  </w:tcBorders>
                  <w:shd w:val="clear" w:color="auto" w:fill="auto"/>
                  <w:noWrap/>
                  <w:vAlign w:val="center"/>
                </w:tcPr>
                <w:p w14:paraId="5F6D539A">
                  <w:pPr>
                    <w:spacing w:line="240" w:lineRule="auto"/>
                    <w:jc w:val="center"/>
                    <w:rPr>
                      <w:rFonts w:hint="eastAsia" w:ascii="Times New Roman" w:hAnsi="Times New Roman" w:eastAsia="宋体" w:cs="Times New Roman"/>
                      <w:color w:val="auto"/>
                      <w:sz w:val="18"/>
                      <w:szCs w:val="18"/>
                    </w:rPr>
                  </w:pPr>
                </w:p>
              </w:tc>
              <w:tc>
                <w:tcPr>
                  <w:tcW w:w="2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1AD9FF">
                  <w:pPr>
                    <w:spacing w:line="240" w:lineRule="auto"/>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65</w:t>
                  </w:r>
                </w:p>
              </w:tc>
              <w:tc>
                <w:tcPr>
                  <w:tcW w:w="286" w:type="pct"/>
                  <w:vMerge w:val="continue"/>
                  <w:tcBorders>
                    <w:left w:val="single" w:color="auto" w:sz="4" w:space="0"/>
                    <w:bottom w:val="single" w:color="auto" w:sz="4" w:space="0"/>
                    <w:right w:val="single" w:color="auto" w:sz="4" w:space="0"/>
                  </w:tcBorders>
                  <w:shd w:val="clear" w:color="auto" w:fill="auto"/>
                  <w:noWrap/>
                  <w:vAlign w:val="center"/>
                </w:tcPr>
                <w:p w14:paraId="5C2968CB">
                  <w:pPr>
                    <w:spacing w:line="240" w:lineRule="auto"/>
                    <w:jc w:val="center"/>
                    <w:rPr>
                      <w:rFonts w:hint="eastAsia" w:ascii="Times New Roman" w:hAnsi="Times New Roman" w:eastAsia="宋体" w:cs="Times New Roman"/>
                      <w:color w:val="auto"/>
                      <w:sz w:val="18"/>
                      <w:szCs w:val="18"/>
                    </w:rPr>
                  </w:pPr>
                </w:p>
              </w:tc>
            </w:tr>
          </w:tbl>
          <w:p w14:paraId="534614A9">
            <w:pPr>
              <w:rPr>
                <w:color w:val="auto"/>
              </w:rPr>
            </w:pPr>
            <w:r>
              <w:rPr>
                <w:color w:val="auto"/>
                <w:sz w:val="18"/>
                <w:szCs w:val="18"/>
              </w:rPr>
              <w:t>注：以</w:t>
            </w:r>
            <w:r>
              <w:rPr>
                <w:rFonts w:hint="eastAsia"/>
                <w:color w:val="auto"/>
                <w:sz w:val="18"/>
                <w:szCs w:val="18"/>
                <w:lang w:val="en-US" w:eastAsia="zh-CN"/>
              </w:rPr>
              <w:t>厂区</w:t>
            </w:r>
            <w:r>
              <w:rPr>
                <w:color w:val="auto"/>
                <w:sz w:val="18"/>
                <w:szCs w:val="18"/>
              </w:rPr>
              <w:t>西南</w:t>
            </w:r>
            <w:r>
              <w:rPr>
                <w:rFonts w:hint="eastAsia"/>
                <w:color w:val="auto"/>
                <w:sz w:val="18"/>
                <w:szCs w:val="18"/>
              </w:rPr>
              <w:t>角</w:t>
            </w:r>
            <w:r>
              <w:rPr>
                <w:color w:val="auto"/>
                <w:sz w:val="18"/>
                <w:szCs w:val="18"/>
              </w:rPr>
              <w:t>交汇点为坐标原点(x=0，y=0)，x轴正方向为正东向，y轴正方向为正北向</w:t>
            </w:r>
          </w:p>
          <w:p w14:paraId="4EAF2DF0">
            <w:pPr>
              <w:rPr>
                <w:color w:val="auto"/>
              </w:rPr>
            </w:pPr>
          </w:p>
          <w:p w14:paraId="4CE6E4C8">
            <w:pPr>
              <w:rPr>
                <w:color w:val="auto"/>
              </w:rPr>
            </w:pPr>
          </w:p>
          <w:p w14:paraId="0BF695C8">
            <w:pPr>
              <w:rPr>
                <w:color w:val="auto"/>
              </w:rPr>
            </w:pPr>
          </w:p>
          <w:p w14:paraId="06412D5C">
            <w:pPr>
              <w:rPr>
                <w:color w:val="auto"/>
              </w:rPr>
            </w:pPr>
          </w:p>
          <w:p w14:paraId="450BFF64">
            <w:pPr>
              <w:rPr>
                <w:color w:val="auto"/>
              </w:rPr>
            </w:pPr>
          </w:p>
        </w:tc>
      </w:tr>
    </w:tbl>
    <w:p w14:paraId="7C8F3E19">
      <w:pPr>
        <w:rPr>
          <w:color w:val="auto"/>
        </w:rPr>
        <w:sectPr>
          <w:pgSz w:w="16840" w:h="11907" w:orient="landscape"/>
          <w:pgMar w:top="1247" w:right="1247" w:bottom="1134" w:left="1134" w:header="680" w:footer="680" w:gutter="0"/>
          <w:cols w:space="720" w:num="1"/>
          <w:docGrid w:linePitch="326" w:charSpace="0"/>
        </w:sectPr>
      </w:pPr>
    </w:p>
    <w:tbl>
      <w:tblPr>
        <w:tblStyle w:val="69"/>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9281"/>
      </w:tblGrid>
      <w:tr w14:paraId="7A38F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3" w:hRule="atLeast"/>
        </w:trPr>
        <w:tc>
          <w:tcPr>
            <w:tcW w:w="239" w:type="pct"/>
            <w:shd w:val="clear" w:color="auto" w:fill="auto"/>
          </w:tcPr>
          <w:p w14:paraId="15354A4E">
            <w:pPr>
              <w:rPr>
                <w:color w:val="auto"/>
              </w:rPr>
            </w:pPr>
          </w:p>
        </w:tc>
        <w:tc>
          <w:tcPr>
            <w:tcW w:w="4761" w:type="pct"/>
            <w:shd w:val="clear" w:color="auto" w:fill="auto"/>
          </w:tcPr>
          <w:p w14:paraId="6B7F9B66">
            <w:pPr>
              <w:outlineLvl w:val="3"/>
              <w:rPr>
                <w:b/>
                <w:color w:val="auto"/>
              </w:rPr>
            </w:pPr>
            <w:r>
              <w:rPr>
                <w:b/>
                <w:color w:val="auto"/>
              </w:rPr>
              <w:t>2、预测点布设</w:t>
            </w:r>
          </w:p>
          <w:p w14:paraId="3FDCB35D">
            <w:pPr>
              <w:ind w:firstLine="480" w:firstLineChars="200"/>
              <w:rPr>
                <w:color w:val="auto"/>
              </w:rPr>
            </w:pPr>
            <w:r>
              <w:rPr>
                <w:rFonts w:hint="eastAsia"/>
                <w:color w:val="auto"/>
              </w:rPr>
              <w:t>本项目厂界</w:t>
            </w:r>
            <w:r>
              <w:rPr>
                <w:color w:val="auto"/>
              </w:rPr>
              <w:t>50m</w:t>
            </w:r>
            <w:r>
              <w:rPr>
                <w:rFonts w:hint="eastAsia"/>
                <w:color w:val="auto"/>
              </w:rPr>
              <w:t>范围内，无声环境保护目标。</w:t>
            </w:r>
            <w:r>
              <w:rPr>
                <w:color w:val="auto"/>
              </w:rPr>
              <w:t>本项目声环境</w:t>
            </w:r>
            <w:r>
              <w:rPr>
                <w:rFonts w:hint="eastAsia"/>
                <w:color w:val="auto"/>
              </w:rPr>
              <w:t>影响预测</w:t>
            </w:r>
            <w:r>
              <w:rPr>
                <w:color w:val="auto"/>
              </w:rPr>
              <w:t>中分别在</w:t>
            </w:r>
            <w:r>
              <w:rPr>
                <w:rFonts w:hint="eastAsia"/>
                <w:color w:val="auto"/>
              </w:rPr>
              <w:t>厂区东、</w:t>
            </w:r>
            <w:r>
              <w:rPr>
                <w:color w:val="auto"/>
              </w:rPr>
              <w:t>南、西、北</w:t>
            </w:r>
            <w:r>
              <w:rPr>
                <w:rFonts w:hint="eastAsia"/>
                <w:color w:val="auto"/>
              </w:rPr>
              <w:t>侧</w:t>
            </w:r>
            <w:r>
              <w:rPr>
                <w:color w:val="auto"/>
              </w:rPr>
              <w:t>布置</w:t>
            </w:r>
            <w:r>
              <w:rPr>
                <w:rFonts w:hint="eastAsia"/>
                <w:color w:val="auto"/>
              </w:rPr>
              <w:t>4</w:t>
            </w:r>
            <w:r>
              <w:rPr>
                <w:color w:val="auto"/>
              </w:rPr>
              <w:t>个</w:t>
            </w:r>
            <w:r>
              <w:rPr>
                <w:rFonts w:hint="eastAsia"/>
                <w:color w:val="auto"/>
              </w:rPr>
              <w:t>预测</w:t>
            </w:r>
            <w:r>
              <w:rPr>
                <w:color w:val="auto"/>
              </w:rPr>
              <w:t>点。</w:t>
            </w:r>
          </w:p>
          <w:p w14:paraId="06E78680">
            <w:pPr>
              <w:outlineLvl w:val="3"/>
              <w:rPr>
                <w:b/>
                <w:color w:val="auto"/>
              </w:rPr>
            </w:pPr>
            <w:r>
              <w:rPr>
                <w:b/>
                <w:bCs/>
                <w:iCs/>
                <w:color w:val="auto"/>
              </w:rPr>
              <w:t>3、</w:t>
            </w:r>
            <w:r>
              <w:rPr>
                <w:b/>
                <w:color w:val="auto"/>
              </w:rPr>
              <w:t>预测模式</w:t>
            </w:r>
          </w:p>
          <w:p w14:paraId="54BA2AA9">
            <w:pPr>
              <w:ind w:firstLine="480" w:firstLineChars="200"/>
              <w:rPr>
                <w:color w:val="auto"/>
              </w:rPr>
            </w:pPr>
            <w:r>
              <w:rPr>
                <w:color w:val="auto"/>
              </w:rPr>
              <w:t>本次环境噪声影响预测采用《环境影响评价技术导则 声环境》(HJ2.4-2021)中推荐的噪声预测模式，主要对本项目噪声源对厂界的影响进行预测。</w:t>
            </w:r>
          </w:p>
          <w:p w14:paraId="3D1E3A82">
            <w:pPr>
              <w:widowControl/>
              <w:ind w:firstLine="480" w:firstLineChars="200"/>
              <w:rPr>
                <w:rFonts w:hint="eastAsia" w:ascii="宋体" w:hAnsi="宋体" w:cs="宋体"/>
                <w:color w:val="auto"/>
                <w:kern w:val="0"/>
                <w:lang w:bidi="ar"/>
              </w:rPr>
            </w:pPr>
            <w:r>
              <w:rPr>
                <w:rFonts w:hint="eastAsia" w:ascii="宋体" w:hAnsi="宋体" w:cs="宋体"/>
                <w:color w:val="auto"/>
                <w:kern w:val="0"/>
                <w:lang w:bidi="ar"/>
              </w:rPr>
              <w:t>根据项目各个噪声源的特征，对于室内声源进行等效为室外声源。</w:t>
            </w:r>
          </w:p>
          <w:p w14:paraId="53C2F5B1">
            <w:pPr>
              <w:ind w:firstLine="480" w:firstLineChars="200"/>
              <w:rPr>
                <w:bCs/>
                <w:color w:val="auto"/>
              </w:rPr>
            </w:pPr>
            <w:r>
              <w:rPr>
                <w:rFonts w:hint="eastAsia"/>
                <w:color w:val="auto"/>
              </w:rPr>
              <w:t>（1）</w:t>
            </w:r>
            <w:r>
              <w:rPr>
                <w:bCs/>
                <w:color w:val="auto"/>
              </w:rPr>
              <w:t>室外声源预测模式</w:t>
            </w:r>
          </w:p>
          <w:p w14:paraId="68728BD1">
            <w:pPr>
              <w:ind w:firstLine="480" w:firstLineChars="200"/>
              <w:rPr>
                <w:bCs/>
                <w:color w:val="auto"/>
              </w:rPr>
            </w:pPr>
            <w:r>
              <w:rPr>
                <w:bCs/>
                <w:color w:val="auto"/>
              </w:rPr>
              <w:t>户外传播声级衰减计算模式按下面公式进行计算。</w:t>
            </w:r>
          </w:p>
          <w:p w14:paraId="737DDCC3">
            <w:pPr>
              <w:ind w:firstLine="480" w:firstLineChars="200"/>
              <w:jc w:val="center"/>
              <w:rPr>
                <w:color w:val="auto"/>
              </w:rPr>
            </w:pPr>
            <w:r>
              <w:rPr>
                <w:color w:val="auto"/>
                <w:position w:val="-12"/>
              </w:rPr>
              <w:drawing>
                <wp:inline distT="0" distB="0" distL="114300" distR="114300">
                  <wp:extent cx="1647825" cy="228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6"/>
                          <a:stretch>
                            <a:fillRect/>
                          </a:stretch>
                        </pic:blipFill>
                        <pic:spPr>
                          <a:xfrm>
                            <a:off x="0" y="0"/>
                            <a:ext cx="1647825" cy="228600"/>
                          </a:xfrm>
                          <a:prstGeom prst="rect">
                            <a:avLst/>
                          </a:prstGeom>
                          <a:noFill/>
                          <a:ln>
                            <a:noFill/>
                          </a:ln>
                        </pic:spPr>
                      </pic:pic>
                    </a:graphicData>
                  </a:graphic>
                </wp:inline>
              </w:drawing>
            </w:r>
          </w:p>
          <w:p w14:paraId="70D81D57">
            <w:pPr>
              <w:ind w:firstLine="480" w:firstLineChars="200"/>
              <w:rPr>
                <w:bCs/>
                <w:color w:val="auto"/>
                <w:position w:val="-14"/>
              </w:rPr>
            </w:pPr>
            <w:r>
              <w:rPr>
                <w:bCs/>
                <w:color w:val="auto"/>
              </w:rPr>
              <w:t>式中：</w:t>
            </w:r>
            <w:r>
              <w:rPr>
                <w:bCs/>
                <w:i/>
                <w:color w:val="auto"/>
                <w:position w:val="-14"/>
              </w:rPr>
              <w:t>L</w:t>
            </w:r>
            <w:r>
              <w:rPr>
                <w:bCs/>
                <w:i/>
                <w:color w:val="auto"/>
                <w:position w:val="-14"/>
                <w:vertAlign w:val="subscript"/>
              </w:rPr>
              <w:t>A</w:t>
            </w:r>
            <w:r>
              <w:rPr>
                <w:bCs/>
                <w:color w:val="auto"/>
                <w:position w:val="-14"/>
              </w:rPr>
              <w:t>(</w:t>
            </w:r>
            <w:r>
              <w:rPr>
                <w:bCs/>
                <w:i/>
                <w:color w:val="auto"/>
                <w:position w:val="-14"/>
              </w:rPr>
              <w:t>r</w:t>
            </w:r>
            <w:r>
              <w:rPr>
                <w:bCs/>
                <w:i/>
                <w:color w:val="auto"/>
                <w:position w:val="-14"/>
                <w:vertAlign w:val="subscript"/>
              </w:rPr>
              <w:t>0</w:t>
            </w:r>
            <w:r>
              <w:rPr>
                <w:bCs/>
                <w:color w:val="auto"/>
                <w:position w:val="-14"/>
              </w:rPr>
              <w:t>)</w:t>
            </w:r>
            <w:r>
              <w:rPr>
                <w:color w:val="auto"/>
              </w:rPr>
              <w:t xml:space="preserve"> </w:t>
            </w:r>
            <w:r>
              <w:rPr>
                <w:bCs/>
                <w:color w:val="auto"/>
                <w:position w:val="-14"/>
              </w:rPr>
              <w:t>——参考点A声压级；</w:t>
            </w:r>
          </w:p>
          <w:p w14:paraId="1C6353C6">
            <w:pPr>
              <w:ind w:firstLine="1200" w:firstLineChars="500"/>
              <w:rPr>
                <w:bCs/>
                <w:color w:val="auto"/>
              </w:rPr>
            </w:pPr>
            <w:r>
              <w:rPr>
                <w:bCs/>
                <w:i/>
                <w:color w:val="auto"/>
              </w:rPr>
              <w:t xml:space="preserve">r </w:t>
            </w:r>
            <w:r>
              <w:rPr>
                <w:bCs/>
                <w:color w:val="auto"/>
              </w:rPr>
              <w:t>—— 预测点距离，m；</w:t>
            </w:r>
          </w:p>
          <w:p w14:paraId="604220D0">
            <w:pPr>
              <w:ind w:firstLine="1200" w:firstLineChars="500"/>
              <w:rPr>
                <w:bCs/>
                <w:color w:val="auto"/>
              </w:rPr>
            </w:pPr>
            <w:r>
              <w:rPr>
                <w:bCs/>
                <w:i/>
                <w:color w:val="auto"/>
              </w:rPr>
              <w:t>r</w:t>
            </w:r>
            <w:r>
              <w:rPr>
                <w:bCs/>
                <w:i/>
                <w:color w:val="auto"/>
                <w:vertAlign w:val="subscript"/>
              </w:rPr>
              <w:t>0</w:t>
            </w:r>
            <w:r>
              <w:rPr>
                <w:bCs/>
                <w:i/>
                <w:color w:val="auto"/>
              </w:rPr>
              <w:t xml:space="preserve"> </w:t>
            </w:r>
            <w:r>
              <w:rPr>
                <w:bCs/>
                <w:color w:val="auto"/>
              </w:rPr>
              <w:t>—— 参考点距离，m</w:t>
            </w:r>
            <w:r>
              <w:rPr>
                <w:rFonts w:hint="eastAsia"/>
                <w:bCs/>
                <w:color w:val="auto"/>
              </w:rPr>
              <w:t>。</w:t>
            </w:r>
          </w:p>
          <w:p w14:paraId="036EDFDB">
            <w:pPr>
              <w:snapToGrid w:val="0"/>
              <w:ind w:firstLine="480" w:firstLineChars="200"/>
              <w:rPr>
                <w:color w:val="auto"/>
              </w:rPr>
            </w:pPr>
            <w:r>
              <w:rPr>
                <w:color w:val="auto"/>
              </w:rPr>
              <w:t>（2）室内声源预测模式</w:t>
            </w:r>
          </w:p>
          <w:p w14:paraId="67F1EFC9">
            <w:pPr>
              <w:snapToGrid w:val="0"/>
              <w:ind w:firstLine="480" w:firstLineChars="200"/>
              <w:rPr>
                <w:color w:val="auto"/>
              </w:rPr>
            </w:pPr>
            <w:r>
              <w:rPr>
                <w:color w:val="auto"/>
              </w:rPr>
              <w:t>噪声由室内传播到室外时，建筑物墙面相当于一个面声源。面声源衰减规律如下：当预测点和面声源中心距离r处于以下条件时，可按下述方法近似计算：r&lt;a/π时，几乎不衰减(</w:t>
            </w:r>
            <w:r>
              <w:rPr>
                <w:i/>
                <w:iCs/>
                <w:color w:val="auto"/>
              </w:rPr>
              <w:t>A</w:t>
            </w:r>
            <w:r>
              <w:rPr>
                <w:color w:val="auto"/>
                <w:vertAlign w:val="subscript"/>
              </w:rPr>
              <w:t>div</w:t>
            </w:r>
            <w:r>
              <w:rPr>
                <w:color w:val="auto"/>
              </w:rPr>
              <w:t>≈0)；当a/π&lt;r&lt;b/π，距离加倍衰减3dB左右，类似线声源衰减特性(</w:t>
            </w:r>
            <w:r>
              <w:rPr>
                <w:i/>
                <w:color w:val="auto"/>
              </w:rPr>
              <w:t>A</w:t>
            </w:r>
            <w:r>
              <w:rPr>
                <w:i/>
                <w:color w:val="auto"/>
                <w:vertAlign w:val="subscript"/>
              </w:rPr>
              <w:t>div</w:t>
            </w:r>
            <w:r>
              <w:rPr>
                <w:color w:val="auto"/>
              </w:rPr>
              <w:t>≈10lg(</w:t>
            </w:r>
            <w:r>
              <w:rPr>
                <w:i/>
                <w:color w:val="auto"/>
              </w:rPr>
              <w:t>r</w:t>
            </w:r>
            <w:r>
              <w:rPr>
                <w:color w:val="auto"/>
              </w:rPr>
              <w:t>/</w:t>
            </w:r>
            <w:r>
              <w:rPr>
                <w:i/>
                <w:color w:val="auto"/>
              </w:rPr>
              <w:t>r</w:t>
            </w:r>
            <w:r>
              <w:rPr>
                <w:i/>
                <w:color w:val="auto"/>
                <w:vertAlign w:val="subscript"/>
              </w:rPr>
              <w:t>0</w:t>
            </w:r>
            <w:r>
              <w:rPr>
                <w:color w:val="auto"/>
              </w:rPr>
              <w:t>))；当r&gt;b/π 时，距离加倍衰减趋近于6dB，类似点声源衰减特性(</w:t>
            </w:r>
            <w:r>
              <w:rPr>
                <w:i/>
                <w:color w:val="auto"/>
              </w:rPr>
              <w:t>A</w:t>
            </w:r>
            <w:r>
              <w:rPr>
                <w:i/>
                <w:color w:val="auto"/>
                <w:vertAlign w:val="subscript"/>
              </w:rPr>
              <w:t>div</w:t>
            </w:r>
            <w:r>
              <w:rPr>
                <w:color w:val="auto"/>
              </w:rPr>
              <w:t>≈20lg(</w:t>
            </w:r>
            <w:r>
              <w:rPr>
                <w:i/>
                <w:color w:val="auto"/>
              </w:rPr>
              <w:t>r</w:t>
            </w:r>
            <w:r>
              <w:rPr>
                <w:color w:val="auto"/>
              </w:rPr>
              <w:t>/</w:t>
            </w:r>
            <w:r>
              <w:rPr>
                <w:i/>
                <w:color w:val="auto"/>
              </w:rPr>
              <w:t>r</w:t>
            </w:r>
            <w:r>
              <w:rPr>
                <w:i/>
                <w:color w:val="auto"/>
                <w:vertAlign w:val="subscript"/>
              </w:rPr>
              <w:t>0</w:t>
            </w:r>
            <w:r>
              <w:rPr>
                <w:color w:val="auto"/>
              </w:rPr>
              <w:t>))。其中面声源的b&gt;a。图中虚线为实际衰减量。</w:t>
            </w:r>
          </w:p>
          <w:p w14:paraId="4F15DEB9">
            <w:pPr>
              <w:snapToGrid w:val="0"/>
              <w:jc w:val="center"/>
              <w:rPr>
                <w:color w:val="auto"/>
              </w:rPr>
            </w:pPr>
            <w:r>
              <w:rPr>
                <w:color w:val="auto"/>
              </w:rPr>
              <w:drawing>
                <wp:inline distT="0" distB="0" distL="0" distR="0">
                  <wp:extent cx="2520950" cy="1860550"/>
                  <wp:effectExtent l="0" t="0" r="0" b="0"/>
                  <wp:docPr id="1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2520950" cy="1860550"/>
                          </a:xfrm>
                          <a:prstGeom prst="rect">
                            <a:avLst/>
                          </a:prstGeom>
                          <a:noFill/>
                          <a:ln>
                            <a:noFill/>
                          </a:ln>
                        </pic:spPr>
                      </pic:pic>
                    </a:graphicData>
                  </a:graphic>
                </wp:inline>
              </w:drawing>
            </w:r>
          </w:p>
          <w:p w14:paraId="6D127AF2">
            <w:pPr>
              <w:snapToGrid w:val="0"/>
              <w:jc w:val="center"/>
              <w:rPr>
                <w:rFonts w:hint="eastAsia" w:ascii="黑体" w:hAnsi="黑体" w:eastAsia="黑体"/>
                <w:color w:val="auto"/>
              </w:rPr>
            </w:pPr>
            <w:r>
              <w:rPr>
                <w:rFonts w:ascii="黑体" w:hAnsi="黑体" w:eastAsia="黑体"/>
                <w:color w:val="auto"/>
              </w:rPr>
              <w:t>图</w:t>
            </w:r>
            <w:r>
              <w:rPr>
                <w:rFonts w:eastAsia="黑体"/>
                <w:color w:val="auto"/>
              </w:rPr>
              <w:t>4-</w:t>
            </w:r>
            <w:r>
              <w:rPr>
                <w:rFonts w:hint="eastAsia" w:eastAsia="黑体"/>
                <w:color w:val="auto"/>
                <w:lang w:val="en-US" w:eastAsia="zh-CN"/>
              </w:rPr>
              <w:t>3</w:t>
            </w:r>
            <w:r>
              <w:rPr>
                <w:rFonts w:hint="eastAsia" w:ascii="黑体" w:hAnsi="黑体" w:eastAsia="黑体"/>
                <w:color w:val="auto"/>
              </w:rPr>
              <w:t xml:space="preserve"> </w:t>
            </w:r>
            <w:r>
              <w:rPr>
                <w:rFonts w:ascii="黑体" w:hAnsi="黑体" w:eastAsia="黑体"/>
                <w:color w:val="auto"/>
              </w:rPr>
              <w:t xml:space="preserve"> 衰减示意图</w:t>
            </w:r>
          </w:p>
          <w:p w14:paraId="655C70FA">
            <w:pPr>
              <w:ind w:firstLine="480" w:firstLineChars="200"/>
              <w:rPr>
                <w:bCs/>
                <w:color w:val="auto"/>
              </w:rPr>
            </w:pPr>
            <w:r>
              <w:rPr>
                <w:rFonts w:hint="eastAsia"/>
                <w:bCs/>
                <w:color w:val="auto"/>
              </w:rPr>
              <w:t>①</w:t>
            </w:r>
            <w:r>
              <w:rPr>
                <w:bCs/>
                <w:color w:val="auto"/>
              </w:rPr>
              <w:t>当</w:t>
            </w:r>
            <w:r>
              <w:rPr>
                <w:i/>
                <w:color w:val="auto"/>
              </w:rPr>
              <w:t>r</w:t>
            </w:r>
            <w:r>
              <w:rPr>
                <w:color w:val="auto"/>
              </w:rPr>
              <w:t>&lt;</w:t>
            </w:r>
            <w:r>
              <w:rPr>
                <w:i/>
                <w:color w:val="auto"/>
              </w:rPr>
              <w:t>a</w:t>
            </w:r>
            <w:r>
              <w:rPr>
                <w:color w:val="auto"/>
              </w:rPr>
              <w:t>/</w:t>
            </w:r>
            <w:r>
              <w:rPr>
                <w:i/>
                <w:color w:val="auto"/>
              </w:rPr>
              <w:t>π</w:t>
            </w:r>
            <w:r>
              <w:rPr>
                <w:color w:val="auto"/>
              </w:rPr>
              <w:t>时</w:t>
            </w:r>
          </w:p>
          <w:p w14:paraId="593C3303">
            <w:pPr>
              <w:ind w:firstLine="480" w:firstLineChars="200"/>
              <w:rPr>
                <w:color w:val="auto"/>
              </w:rPr>
            </w:pPr>
            <w:r>
              <w:rPr>
                <w:bCs/>
                <w:color w:val="auto"/>
              </w:rPr>
              <w:t>声压级几乎不衰减，</w:t>
            </w:r>
            <w:r>
              <w:rPr>
                <w:color w:val="auto"/>
              </w:rPr>
              <w:t>r处的声压级按下式计算：</w:t>
            </w:r>
          </w:p>
          <w:p w14:paraId="3340C992">
            <w:pPr>
              <w:ind w:firstLine="480" w:firstLineChars="200"/>
              <w:jc w:val="center"/>
              <w:rPr>
                <w:bCs/>
                <w:color w:val="auto"/>
                <w:position w:val="-14"/>
              </w:rPr>
            </w:pPr>
            <w:r>
              <w:rPr>
                <w:bCs/>
                <w:i/>
                <w:color w:val="auto"/>
                <w:position w:val="-14"/>
              </w:rPr>
              <w:t>L</w:t>
            </w:r>
            <w:r>
              <w:rPr>
                <w:bCs/>
                <w:i/>
                <w:color w:val="auto"/>
                <w:position w:val="-14"/>
                <w:vertAlign w:val="subscript"/>
              </w:rPr>
              <w:t>A</w:t>
            </w:r>
            <w:r>
              <w:rPr>
                <w:bCs/>
                <w:color w:val="auto"/>
                <w:position w:val="-14"/>
              </w:rPr>
              <w:t>(</w:t>
            </w:r>
            <w:r>
              <w:rPr>
                <w:bCs/>
                <w:i/>
                <w:color w:val="auto"/>
                <w:position w:val="-14"/>
              </w:rPr>
              <w:t>r</w:t>
            </w:r>
            <w:r>
              <w:rPr>
                <w:bCs/>
                <w:color w:val="auto"/>
                <w:position w:val="-14"/>
              </w:rPr>
              <w:t xml:space="preserve">) = </w:t>
            </w:r>
            <w:r>
              <w:rPr>
                <w:bCs/>
                <w:i/>
                <w:color w:val="auto"/>
                <w:position w:val="-14"/>
              </w:rPr>
              <w:t>L</w:t>
            </w:r>
            <w:r>
              <w:rPr>
                <w:bCs/>
                <w:i/>
                <w:color w:val="auto"/>
                <w:position w:val="-14"/>
                <w:vertAlign w:val="subscript"/>
              </w:rPr>
              <w:t>A</w:t>
            </w:r>
            <w:r>
              <w:rPr>
                <w:bCs/>
                <w:color w:val="auto"/>
                <w:position w:val="-14"/>
              </w:rPr>
              <w:t>(</w:t>
            </w:r>
            <w:r>
              <w:rPr>
                <w:bCs/>
                <w:i/>
                <w:color w:val="auto"/>
                <w:position w:val="-14"/>
              </w:rPr>
              <w:t>r</w:t>
            </w:r>
            <w:r>
              <w:rPr>
                <w:bCs/>
                <w:i/>
                <w:color w:val="auto"/>
                <w:position w:val="-14"/>
                <w:vertAlign w:val="subscript"/>
              </w:rPr>
              <w:t>0</w:t>
            </w:r>
            <w:r>
              <w:rPr>
                <w:bCs/>
                <w:color w:val="auto"/>
                <w:position w:val="-14"/>
              </w:rPr>
              <w:t>)</w:t>
            </w:r>
          </w:p>
          <w:p w14:paraId="3665325E">
            <w:pPr>
              <w:ind w:firstLine="480" w:firstLineChars="200"/>
              <w:rPr>
                <w:bCs/>
                <w:color w:val="auto"/>
              </w:rPr>
            </w:pPr>
            <w:r>
              <w:rPr>
                <w:rFonts w:hint="eastAsia"/>
                <w:bCs/>
                <w:color w:val="auto"/>
              </w:rPr>
              <w:t>②</w:t>
            </w:r>
            <w:r>
              <w:rPr>
                <w:bCs/>
                <w:color w:val="auto"/>
              </w:rPr>
              <w:t>当</w:t>
            </w:r>
            <w:r>
              <w:rPr>
                <w:i/>
                <w:color w:val="auto"/>
              </w:rPr>
              <w:t>a</w:t>
            </w:r>
            <w:r>
              <w:rPr>
                <w:color w:val="auto"/>
              </w:rPr>
              <w:t>/</w:t>
            </w:r>
            <w:r>
              <w:rPr>
                <w:i/>
                <w:color w:val="auto"/>
              </w:rPr>
              <w:t>π</w:t>
            </w:r>
            <w:r>
              <w:rPr>
                <w:color w:val="auto"/>
              </w:rPr>
              <w:t>&lt;</w:t>
            </w:r>
            <w:r>
              <w:rPr>
                <w:i/>
                <w:color w:val="auto"/>
              </w:rPr>
              <w:t>r</w:t>
            </w:r>
            <w:r>
              <w:rPr>
                <w:color w:val="auto"/>
              </w:rPr>
              <w:t>&lt;</w:t>
            </w:r>
            <w:r>
              <w:rPr>
                <w:i/>
                <w:color w:val="auto"/>
              </w:rPr>
              <w:t>b</w:t>
            </w:r>
            <w:r>
              <w:rPr>
                <w:color w:val="auto"/>
              </w:rPr>
              <w:t>/</w:t>
            </w:r>
            <w:r>
              <w:rPr>
                <w:i/>
                <w:color w:val="auto"/>
              </w:rPr>
              <w:t>π</w:t>
            </w:r>
            <w:r>
              <w:rPr>
                <w:color w:val="auto"/>
              </w:rPr>
              <w:t>时</w:t>
            </w:r>
          </w:p>
          <w:p w14:paraId="6ACC73BB">
            <w:pPr>
              <w:ind w:firstLine="480" w:firstLineChars="200"/>
              <w:rPr>
                <w:color w:val="auto"/>
              </w:rPr>
            </w:pPr>
            <w:r>
              <w:rPr>
                <w:bCs/>
                <w:color w:val="auto"/>
              </w:rPr>
              <w:t>声压级随着距离加倍衰减3dB左右，类似线声源衰减特性，</w:t>
            </w:r>
            <w:r>
              <w:rPr>
                <w:color w:val="auto"/>
              </w:rPr>
              <w:t>r处的声压级按下式计算：</w:t>
            </w:r>
          </w:p>
          <w:p w14:paraId="57A74E88">
            <w:pPr>
              <w:ind w:firstLine="480" w:firstLineChars="200"/>
              <w:jc w:val="center"/>
              <w:rPr>
                <w:bCs/>
                <w:color w:val="auto"/>
                <w:position w:val="-14"/>
                <w:lang w:val="es-EC"/>
              </w:rPr>
            </w:pPr>
            <w:r>
              <w:rPr>
                <w:bCs/>
                <w:i/>
                <w:color w:val="auto"/>
                <w:position w:val="-14"/>
                <w:lang w:val="es-EC"/>
              </w:rPr>
              <w:t>L</w:t>
            </w:r>
            <w:r>
              <w:rPr>
                <w:bCs/>
                <w:i/>
                <w:color w:val="auto"/>
                <w:position w:val="-14"/>
                <w:vertAlign w:val="subscript"/>
                <w:lang w:val="es-EC"/>
              </w:rPr>
              <w:t>A</w:t>
            </w:r>
            <w:r>
              <w:rPr>
                <w:bCs/>
                <w:color w:val="auto"/>
                <w:position w:val="-14"/>
                <w:lang w:val="es-EC"/>
              </w:rPr>
              <w:t>(</w:t>
            </w:r>
            <w:r>
              <w:rPr>
                <w:bCs/>
                <w:i/>
                <w:color w:val="auto"/>
                <w:position w:val="-14"/>
                <w:lang w:val="es-EC"/>
              </w:rPr>
              <w:t>r</w:t>
            </w:r>
            <w:r>
              <w:rPr>
                <w:bCs/>
                <w:color w:val="auto"/>
                <w:position w:val="-14"/>
                <w:lang w:val="es-EC"/>
              </w:rPr>
              <w:t xml:space="preserve">) = </w:t>
            </w:r>
            <w:r>
              <w:rPr>
                <w:bCs/>
                <w:i/>
                <w:color w:val="auto"/>
                <w:position w:val="-14"/>
                <w:lang w:val="es-EC"/>
              </w:rPr>
              <w:t>L</w:t>
            </w:r>
            <w:r>
              <w:rPr>
                <w:bCs/>
                <w:i/>
                <w:color w:val="auto"/>
                <w:position w:val="-14"/>
                <w:vertAlign w:val="subscript"/>
                <w:lang w:val="es-EC"/>
              </w:rPr>
              <w:t>A</w:t>
            </w:r>
            <w:r>
              <w:rPr>
                <w:bCs/>
                <w:color w:val="auto"/>
                <w:position w:val="-14"/>
                <w:lang w:val="es-EC"/>
              </w:rPr>
              <w:t>(</w:t>
            </w:r>
            <w:r>
              <w:rPr>
                <w:bCs/>
                <w:i/>
                <w:color w:val="auto"/>
                <w:position w:val="-14"/>
                <w:lang w:val="es-EC"/>
              </w:rPr>
              <w:t>r</w:t>
            </w:r>
            <w:r>
              <w:rPr>
                <w:bCs/>
                <w:i/>
                <w:color w:val="auto"/>
                <w:position w:val="-14"/>
                <w:vertAlign w:val="subscript"/>
                <w:lang w:val="es-EC"/>
              </w:rPr>
              <w:t>0</w:t>
            </w:r>
            <w:r>
              <w:rPr>
                <w:bCs/>
                <w:color w:val="auto"/>
                <w:position w:val="-14"/>
                <w:lang w:val="es-EC"/>
              </w:rPr>
              <w:t>) - 10lg ((</w:t>
            </w:r>
            <w:r>
              <w:rPr>
                <w:bCs/>
                <w:i/>
                <w:color w:val="auto"/>
                <w:position w:val="-14"/>
                <w:lang w:val="es-EC"/>
              </w:rPr>
              <w:t>r-a</w:t>
            </w:r>
            <w:r>
              <w:rPr>
                <w:bCs/>
                <w:color w:val="auto"/>
                <w:position w:val="-14"/>
                <w:lang w:val="es-EC"/>
              </w:rPr>
              <w:t>/</w:t>
            </w:r>
            <w:r>
              <w:rPr>
                <w:bCs/>
                <w:i/>
                <w:color w:val="auto"/>
                <w:position w:val="-14"/>
              </w:rPr>
              <w:t>π</w:t>
            </w:r>
            <w:r>
              <w:rPr>
                <w:bCs/>
                <w:color w:val="auto"/>
                <w:position w:val="-14"/>
                <w:lang w:val="es-EC"/>
              </w:rPr>
              <w:t>)/</w:t>
            </w:r>
            <w:r>
              <w:rPr>
                <w:bCs/>
                <w:i/>
                <w:color w:val="auto"/>
                <w:position w:val="-14"/>
                <w:lang w:val="es-EC"/>
              </w:rPr>
              <w:t>r</w:t>
            </w:r>
            <w:r>
              <w:rPr>
                <w:bCs/>
                <w:i/>
                <w:color w:val="auto"/>
                <w:position w:val="-14"/>
                <w:vertAlign w:val="subscript"/>
                <w:lang w:val="es-EC"/>
              </w:rPr>
              <w:t>0</w:t>
            </w:r>
            <w:r>
              <w:rPr>
                <w:bCs/>
                <w:color w:val="auto"/>
                <w:position w:val="-14"/>
                <w:lang w:val="es-EC"/>
              </w:rPr>
              <w:t>)</w:t>
            </w:r>
          </w:p>
          <w:p w14:paraId="4B3BF9E0">
            <w:pPr>
              <w:ind w:firstLine="480" w:firstLineChars="200"/>
              <w:rPr>
                <w:bCs/>
                <w:color w:val="auto"/>
              </w:rPr>
            </w:pPr>
            <w:r>
              <w:rPr>
                <w:rFonts w:hint="eastAsia"/>
                <w:bCs/>
                <w:color w:val="auto"/>
              </w:rPr>
              <w:t>③</w:t>
            </w:r>
            <w:r>
              <w:rPr>
                <w:color w:val="auto"/>
              </w:rPr>
              <w:t>当</w:t>
            </w:r>
            <w:r>
              <w:rPr>
                <w:i/>
                <w:color w:val="auto"/>
              </w:rPr>
              <w:t>r</w:t>
            </w:r>
            <w:r>
              <w:rPr>
                <w:color w:val="auto"/>
              </w:rPr>
              <w:t>&gt;</w:t>
            </w:r>
            <w:r>
              <w:rPr>
                <w:i/>
                <w:color w:val="auto"/>
              </w:rPr>
              <w:t>b</w:t>
            </w:r>
            <w:r>
              <w:rPr>
                <w:color w:val="auto"/>
              </w:rPr>
              <w:t>/</w:t>
            </w:r>
            <w:r>
              <w:rPr>
                <w:i/>
                <w:color w:val="auto"/>
              </w:rPr>
              <w:t>π</w:t>
            </w:r>
            <w:r>
              <w:rPr>
                <w:color w:val="auto"/>
              </w:rPr>
              <w:t>时</w:t>
            </w:r>
          </w:p>
          <w:p w14:paraId="49320914">
            <w:pPr>
              <w:ind w:firstLine="480" w:firstLineChars="200"/>
              <w:rPr>
                <w:bCs/>
                <w:color w:val="auto"/>
              </w:rPr>
            </w:pPr>
            <w:r>
              <w:rPr>
                <w:bCs/>
                <w:color w:val="auto"/>
              </w:rPr>
              <w:t>声压级随着</w:t>
            </w:r>
            <w:r>
              <w:rPr>
                <w:color w:val="auto"/>
              </w:rPr>
              <w:t>距离加倍衰减趋近于6dB，类似点声源衰减特性</w:t>
            </w:r>
            <w:r>
              <w:rPr>
                <w:bCs/>
                <w:color w:val="auto"/>
              </w:rPr>
              <w:t>，</w:t>
            </w:r>
            <w:r>
              <w:rPr>
                <w:color w:val="auto"/>
              </w:rPr>
              <w:t>r处的声压级按下式计算：</w:t>
            </w:r>
          </w:p>
          <w:p w14:paraId="4D452D5B">
            <w:pPr>
              <w:ind w:firstLine="480" w:firstLineChars="200"/>
              <w:jc w:val="center"/>
              <w:rPr>
                <w:bCs/>
                <w:color w:val="auto"/>
                <w:position w:val="-14"/>
                <w:lang w:val="es-EC"/>
              </w:rPr>
            </w:pPr>
            <w:r>
              <w:rPr>
                <w:bCs/>
                <w:i/>
                <w:color w:val="auto"/>
                <w:position w:val="-14"/>
                <w:lang w:val="es-EC"/>
              </w:rPr>
              <w:t>L</w:t>
            </w:r>
            <w:r>
              <w:rPr>
                <w:bCs/>
                <w:i/>
                <w:color w:val="auto"/>
                <w:position w:val="-14"/>
                <w:vertAlign w:val="subscript"/>
                <w:lang w:val="es-EC"/>
              </w:rPr>
              <w:t>A</w:t>
            </w:r>
            <w:r>
              <w:rPr>
                <w:bCs/>
                <w:color w:val="auto"/>
                <w:position w:val="-14"/>
                <w:lang w:val="es-EC"/>
              </w:rPr>
              <w:t>(</w:t>
            </w:r>
            <w:r>
              <w:rPr>
                <w:bCs/>
                <w:i/>
                <w:color w:val="auto"/>
                <w:position w:val="-14"/>
                <w:lang w:val="es-EC"/>
              </w:rPr>
              <w:t>r</w:t>
            </w:r>
            <w:r>
              <w:rPr>
                <w:bCs/>
                <w:color w:val="auto"/>
                <w:position w:val="-14"/>
                <w:lang w:val="es-EC"/>
              </w:rPr>
              <w:t xml:space="preserve">) = </w:t>
            </w:r>
            <w:r>
              <w:rPr>
                <w:bCs/>
                <w:i/>
                <w:color w:val="auto"/>
                <w:position w:val="-14"/>
                <w:lang w:val="es-EC"/>
              </w:rPr>
              <w:t>L</w:t>
            </w:r>
            <w:r>
              <w:rPr>
                <w:bCs/>
                <w:i/>
                <w:color w:val="auto"/>
                <w:position w:val="-14"/>
                <w:vertAlign w:val="subscript"/>
                <w:lang w:val="es-EC"/>
              </w:rPr>
              <w:t>A</w:t>
            </w:r>
            <w:r>
              <w:rPr>
                <w:bCs/>
                <w:color w:val="auto"/>
                <w:position w:val="-14"/>
                <w:lang w:val="es-EC"/>
              </w:rPr>
              <w:t>(</w:t>
            </w:r>
            <w:r>
              <w:rPr>
                <w:bCs/>
                <w:i/>
                <w:color w:val="auto"/>
                <w:position w:val="-14"/>
                <w:lang w:val="es-EC"/>
              </w:rPr>
              <w:t>r</w:t>
            </w:r>
            <w:r>
              <w:rPr>
                <w:bCs/>
                <w:i/>
                <w:color w:val="auto"/>
                <w:position w:val="-14"/>
                <w:vertAlign w:val="subscript"/>
                <w:lang w:val="es-EC"/>
              </w:rPr>
              <w:t>0</w:t>
            </w:r>
            <w:r>
              <w:rPr>
                <w:bCs/>
                <w:color w:val="auto"/>
                <w:position w:val="-14"/>
                <w:lang w:val="es-EC"/>
              </w:rPr>
              <w:t>) - 20lg ((</w:t>
            </w:r>
            <w:r>
              <w:rPr>
                <w:bCs/>
                <w:i/>
                <w:color w:val="auto"/>
                <w:position w:val="-14"/>
                <w:lang w:val="es-EC"/>
              </w:rPr>
              <w:t>r-b</w:t>
            </w:r>
            <w:r>
              <w:rPr>
                <w:bCs/>
                <w:color w:val="auto"/>
                <w:position w:val="-14"/>
                <w:lang w:val="es-EC"/>
              </w:rPr>
              <w:t>/</w:t>
            </w:r>
            <w:r>
              <w:rPr>
                <w:bCs/>
                <w:i/>
                <w:color w:val="auto"/>
                <w:position w:val="-14"/>
              </w:rPr>
              <w:t>π</w:t>
            </w:r>
            <w:r>
              <w:rPr>
                <w:bCs/>
                <w:color w:val="auto"/>
                <w:position w:val="-14"/>
                <w:lang w:val="es-EC"/>
              </w:rPr>
              <w:t>)/</w:t>
            </w:r>
            <w:r>
              <w:rPr>
                <w:bCs/>
                <w:i/>
                <w:color w:val="auto"/>
                <w:position w:val="-14"/>
                <w:lang w:val="es-EC"/>
              </w:rPr>
              <w:t>r</w:t>
            </w:r>
            <w:r>
              <w:rPr>
                <w:bCs/>
                <w:i/>
                <w:color w:val="auto"/>
                <w:position w:val="-14"/>
                <w:vertAlign w:val="subscript"/>
                <w:lang w:val="es-EC"/>
              </w:rPr>
              <w:t>0</w:t>
            </w:r>
            <w:r>
              <w:rPr>
                <w:bCs/>
                <w:color w:val="auto"/>
                <w:position w:val="-14"/>
                <w:lang w:val="es-EC"/>
              </w:rPr>
              <w:t>)</w:t>
            </w:r>
          </w:p>
          <w:p w14:paraId="56683757">
            <w:pPr>
              <w:ind w:firstLine="480" w:firstLineChars="200"/>
              <w:rPr>
                <w:color w:val="auto"/>
              </w:rPr>
            </w:pPr>
          </w:p>
          <w:p w14:paraId="073EBBC5">
            <w:pPr>
              <w:ind w:firstLine="480" w:firstLineChars="200"/>
              <w:rPr>
                <w:color w:val="auto"/>
              </w:rPr>
            </w:pPr>
            <w:r>
              <w:rPr>
                <w:color w:val="auto"/>
              </w:rPr>
              <w:t>（3）预测点的等效声级贡献值</w:t>
            </w:r>
          </w:p>
          <w:p w14:paraId="7DDE42BB">
            <w:pPr>
              <w:ind w:firstLine="480" w:firstLineChars="200"/>
              <w:rPr>
                <w:color w:val="auto"/>
              </w:rPr>
            </w:pPr>
            <w:r>
              <w:rPr>
                <w:color w:val="auto"/>
              </w:rPr>
              <w:t>第</w:t>
            </w:r>
            <w:r>
              <w:rPr>
                <w:i/>
                <w:color w:val="auto"/>
              </w:rPr>
              <w:t>i</w:t>
            </w:r>
            <w:r>
              <w:rPr>
                <w:color w:val="auto"/>
              </w:rPr>
              <w:t>个室外声源在预测点产生的A声级为</w:t>
            </w:r>
            <w:r>
              <w:rPr>
                <w:i/>
                <w:color w:val="auto"/>
              </w:rPr>
              <w:t>L</w:t>
            </w:r>
            <w:r>
              <w:rPr>
                <w:i/>
                <w:color w:val="auto"/>
                <w:vertAlign w:val="subscript"/>
              </w:rPr>
              <w:t>Ai</w:t>
            </w:r>
            <w:r>
              <w:rPr>
                <w:color w:val="auto"/>
              </w:rPr>
              <w:t>，在</w:t>
            </w:r>
            <w:r>
              <w:rPr>
                <w:i/>
                <w:color w:val="auto"/>
              </w:rPr>
              <w:t>T</w:t>
            </w:r>
            <w:r>
              <w:rPr>
                <w:color w:val="auto"/>
              </w:rPr>
              <w:t>时间内该声源工作时间为</w:t>
            </w:r>
            <w:r>
              <w:rPr>
                <w:i/>
                <w:color w:val="auto"/>
              </w:rPr>
              <w:t>t</w:t>
            </w:r>
            <w:r>
              <w:rPr>
                <w:i/>
                <w:color w:val="auto"/>
                <w:vertAlign w:val="subscript"/>
              </w:rPr>
              <w:t>i</w:t>
            </w:r>
            <w:r>
              <w:rPr>
                <w:color w:val="auto"/>
              </w:rPr>
              <w:t>；第</w:t>
            </w:r>
            <w:r>
              <w:rPr>
                <w:i/>
                <w:color w:val="auto"/>
              </w:rPr>
              <w:t>j</w:t>
            </w:r>
            <w:r>
              <w:rPr>
                <w:color w:val="auto"/>
              </w:rPr>
              <w:t>个等效室外声源在预测点产生的 A声级为</w:t>
            </w:r>
            <w:r>
              <w:rPr>
                <w:i/>
                <w:color w:val="auto"/>
              </w:rPr>
              <w:t>L</w:t>
            </w:r>
            <w:r>
              <w:rPr>
                <w:i/>
                <w:color w:val="auto"/>
                <w:vertAlign w:val="subscript"/>
              </w:rPr>
              <w:t>Aj</w:t>
            </w:r>
            <w:r>
              <w:rPr>
                <w:color w:val="auto"/>
              </w:rPr>
              <w:t>，拟建工程声源对预测点产生的贡献值(</w:t>
            </w:r>
            <w:r>
              <w:rPr>
                <w:i/>
                <w:color w:val="auto"/>
              </w:rPr>
              <w:t>L</w:t>
            </w:r>
            <w:r>
              <w:rPr>
                <w:i/>
                <w:color w:val="auto"/>
                <w:vertAlign w:val="subscript"/>
              </w:rPr>
              <w:t>eqg</w:t>
            </w:r>
            <w:r>
              <w:rPr>
                <w:color w:val="auto"/>
              </w:rPr>
              <w:t>)为：</w:t>
            </w:r>
          </w:p>
          <w:p w14:paraId="6031A67C">
            <w:pPr>
              <w:jc w:val="center"/>
              <w:rPr>
                <w:bCs/>
                <w:color w:val="auto"/>
              </w:rPr>
            </w:pPr>
            <w:r>
              <w:rPr>
                <w:color w:val="auto"/>
              </w:rPr>
              <w:drawing>
                <wp:inline distT="0" distB="0" distL="0" distR="0">
                  <wp:extent cx="2708275" cy="525780"/>
                  <wp:effectExtent l="0" t="0" r="15875" b="7620"/>
                  <wp:docPr id="1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2708275" cy="525780"/>
                          </a:xfrm>
                          <a:prstGeom prst="rect">
                            <a:avLst/>
                          </a:prstGeom>
                          <a:noFill/>
                          <a:ln>
                            <a:noFill/>
                          </a:ln>
                        </pic:spPr>
                      </pic:pic>
                    </a:graphicData>
                  </a:graphic>
                </wp:inline>
              </w:drawing>
            </w:r>
          </w:p>
          <w:p w14:paraId="4F84D926">
            <w:pPr>
              <w:ind w:firstLine="480" w:firstLineChars="200"/>
              <w:rPr>
                <w:bCs/>
                <w:color w:val="auto"/>
              </w:rPr>
            </w:pPr>
            <w:r>
              <w:rPr>
                <w:bCs/>
                <w:color w:val="auto"/>
              </w:rPr>
              <w:t>式中：</w:t>
            </w:r>
          </w:p>
          <w:p w14:paraId="135AF205">
            <w:pPr>
              <w:ind w:firstLine="480" w:firstLineChars="200"/>
              <w:rPr>
                <w:bCs/>
                <w:color w:val="auto"/>
              </w:rPr>
            </w:pPr>
            <w:r>
              <w:rPr>
                <w:bCs/>
                <w:i/>
                <w:color w:val="auto"/>
              </w:rPr>
              <w:t>L</w:t>
            </w:r>
            <w:r>
              <w:rPr>
                <w:bCs/>
                <w:i/>
                <w:color w:val="auto"/>
                <w:vertAlign w:val="subscript"/>
              </w:rPr>
              <w:t>eqg</w:t>
            </w:r>
            <w:r>
              <w:rPr>
                <w:bCs/>
                <w:color w:val="auto"/>
              </w:rPr>
              <w:t>——建设项目声源在预测点的等效声级贡献值，dB(A)；</w:t>
            </w:r>
          </w:p>
          <w:p w14:paraId="2148A895">
            <w:pPr>
              <w:ind w:firstLine="480" w:firstLineChars="200"/>
              <w:rPr>
                <w:bCs/>
                <w:color w:val="auto"/>
              </w:rPr>
            </w:pPr>
            <w:r>
              <w:rPr>
                <w:color w:val="auto"/>
                <w:position w:val="-12"/>
              </w:rPr>
              <w:drawing>
                <wp:inline distT="0" distB="0" distL="0" distR="0">
                  <wp:extent cx="317500" cy="196850"/>
                  <wp:effectExtent l="0" t="0" r="0" b="0"/>
                  <wp:docPr id="12"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317500" cy="196850"/>
                          </a:xfrm>
                          <a:prstGeom prst="rect">
                            <a:avLst/>
                          </a:prstGeom>
                          <a:noFill/>
                          <a:ln>
                            <a:noFill/>
                          </a:ln>
                        </pic:spPr>
                      </pic:pic>
                    </a:graphicData>
                  </a:graphic>
                </wp:inline>
              </w:drawing>
            </w:r>
            <w:r>
              <w:rPr>
                <w:bCs/>
                <w:color w:val="auto"/>
              </w:rPr>
              <w:t>——i声源在预测点产生的A声级，dB(A)；</w:t>
            </w:r>
          </w:p>
          <w:p w14:paraId="13AAA981">
            <w:pPr>
              <w:ind w:firstLine="480" w:firstLineChars="200"/>
              <w:rPr>
                <w:bCs/>
                <w:color w:val="auto"/>
              </w:rPr>
            </w:pPr>
            <w:r>
              <w:rPr>
                <w:color w:val="auto"/>
                <w:position w:val="-12"/>
              </w:rPr>
              <w:drawing>
                <wp:inline distT="0" distB="0" distL="0" distR="0">
                  <wp:extent cx="158750" cy="196850"/>
                  <wp:effectExtent l="0" t="0" r="0" b="0"/>
                  <wp:docPr id="1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58750" cy="196850"/>
                          </a:xfrm>
                          <a:prstGeom prst="rect">
                            <a:avLst/>
                          </a:prstGeom>
                          <a:noFill/>
                          <a:ln>
                            <a:noFill/>
                          </a:ln>
                        </pic:spPr>
                      </pic:pic>
                    </a:graphicData>
                  </a:graphic>
                </wp:inline>
              </w:drawing>
            </w:r>
            <w:r>
              <w:rPr>
                <w:bCs/>
                <w:color w:val="auto"/>
              </w:rPr>
              <w:t>——i声源在T时间段内的运行时间，s；</w:t>
            </w:r>
          </w:p>
          <w:p w14:paraId="746DAA0E">
            <w:pPr>
              <w:ind w:firstLine="480" w:firstLineChars="200"/>
              <w:rPr>
                <w:bCs/>
                <w:color w:val="auto"/>
              </w:rPr>
            </w:pPr>
            <w:r>
              <w:rPr>
                <w:bCs/>
                <w:i/>
                <w:color w:val="auto"/>
              </w:rPr>
              <w:t>t</w:t>
            </w:r>
            <w:r>
              <w:rPr>
                <w:bCs/>
                <w:i/>
                <w:color w:val="auto"/>
                <w:vertAlign w:val="subscript"/>
              </w:rPr>
              <w:t>j</w:t>
            </w:r>
            <w:r>
              <w:rPr>
                <w:bCs/>
                <w:color w:val="auto"/>
              </w:rPr>
              <w:t xml:space="preserve"> ——在T时间内j声源工作时间，s；</w:t>
            </w:r>
          </w:p>
          <w:p w14:paraId="1C221544">
            <w:pPr>
              <w:ind w:firstLine="480" w:firstLineChars="200"/>
              <w:rPr>
                <w:bCs/>
                <w:color w:val="auto"/>
              </w:rPr>
            </w:pPr>
            <w:r>
              <w:rPr>
                <w:bCs/>
                <w:i/>
                <w:color w:val="auto"/>
              </w:rPr>
              <w:t>t</w:t>
            </w:r>
            <w:r>
              <w:rPr>
                <w:bCs/>
                <w:i/>
                <w:color w:val="auto"/>
                <w:vertAlign w:val="subscript"/>
              </w:rPr>
              <w:t>i</w:t>
            </w:r>
            <w:r>
              <w:rPr>
                <w:bCs/>
                <w:color w:val="auto"/>
              </w:rPr>
              <w:t xml:space="preserve"> ——在T时间内i声源工作时间，s；</w:t>
            </w:r>
          </w:p>
          <w:p w14:paraId="6AF64E42">
            <w:pPr>
              <w:ind w:firstLine="480" w:firstLineChars="200"/>
              <w:rPr>
                <w:bCs/>
                <w:color w:val="auto"/>
              </w:rPr>
            </w:pPr>
            <w:r>
              <w:rPr>
                <w:bCs/>
                <w:i/>
                <w:color w:val="auto"/>
              </w:rPr>
              <w:t>T</w:t>
            </w:r>
            <w:r>
              <w:rPr>
                <w:bCs/>
                <w:color w:val="auto"/>
              </w:rPr>
              <w:t xml:space="preserve"> ——用于计算等效声级的时间，s；</w:t>
            </w:r>
          </w:p>
          <w:p w14:paraId="30741CD0">
            <w:pPr>
              <w:ind w:firstLine="480" w:firstLineChars="200"/>
              <w:rPr>
                <w:bCs/>
                <w:color w:val="auto"/>
              </w:rPr>
            </w:pPr>
            <w:r>
              <w:rPr>
                <w:bCs/>
                <w:i/>
                <w:color w:val="auto"/>
              </w:rPr>
              <w:t>N</w:t>
            </w:r>
            <w:r>
              <w:rPr>
                <w:bCs/>
                <w:color w:val="auto"/>
              </w:rPr>
              <w:t xml:space="preserve"> ——室外声源个数；</w:t>
            </w:r>
          </w:p>
          <w:p w14:paraId="2E2B9090">
            <w:pPr>
              <w:adjustRightInd w:val="0"/>
              <w:snapToGrid w:val="0"/>
              <w:ind w:firstLine="480" w:firstLineChars="200"/>
              <w:rPr>
                <w:color w:val="auto"/>
              </w:rPr>
            </w:pPr>
            <w:r>
              <w:rPr>
                <w:bCs/>
                <w:i/>
                <w:color w:val="auto"/>
              </w:rPr>
              <w:t>M</w:t>
            </w:r>
            <w:r>
              <w:rPr>
                <w:bCs/>
                <w:color w:val="auto"/>
              </w:rPr>
              <w:t xml:space="preserve"> ——等效室外声源个数</w:t>
            </w:r>
            <w:r>
              <w:rPr>
                <w:color w:val="auto"/>
              </w:rPr>
              <w:t>。</w:t>
            </w:r>
          </w:p>
          <w:p w14:paraId="757C30F6">
            <w:pPr>
              <w:rPr>
                <w:b/>
                <w:color w:val="auto"/>
              </w:rPr>
            </w:pPr>
            <w:r>
              <w:rPr>
                <w:b/>
                <w:color w:val="auto"/>
              </w:rPr>
              <w:t>4</w:t>
            </w:r>
            <w:r>
              <w:rPr>
                <w:rFonts w:hint="eastAsia"/>
                <w:b/>
                <w:color w:val="auto"/>
              </w:rPr>
              <w:t>、</w:t>
            </w:r>
            <w:r>
              <w:rPr>
                <w:b/>
                <w:color w:val="auto"/>
              </w:rPr>
              <w:t>预测结果</w:t>
            </w:r>
          </w:p>
          <w:p w14:paraId="46FBAB45">
            <w:pPr>
              <w:ind w:firstLine="480" w:firstLineChars="200"/>
              <w:rPr>
                <w:rFonts w:hint="default" w:eastAsia="宋体"/>
                <w:bCs/>
                <w:iCs/>
                <w:color w:val="auto"/>
                <w:lang w:val="en-US" w:eastAsia="zh-CN"/>
              </w:rPr>
            </w:pPr>
            <w:r>
              <w:rPr>
                <w:bCs/>
                <w:iCs/>
                <w:color w:val="auto"/>
              </w:rPr>
              <w:t>根据拟建项目设备噪声源强分布，利用上述的噪声预测模式，声环境影响预测具体结果如下表所示。</w:t>
            </w:r>
            <w:r>
              <w:rPr>
                <w:rFonts w:hint="eastAsia"/>
                <w:bCs/>
                <w:iCs/>
                <w:color w:val="auto"/>
                <w:lang w:val="en-US" w:eastAsia="zh-CN"/>
              </w:rPr>
              <w:t>本项目厂房内噪声源为集中熔铝炉、倾倒熔炉、单工位离心浇铸机、四工位离心浇铸机、低压浇铸机、卧式带锯、立车、卧式车床、气密检测机、打包机及室外噪声源风机、空压机、循环水箱等设备。现有项目厂房内噪声源为数显双头精密切割锯、数控铣床、CNC数控车床、数控冲床、CNC四轴数控加工中心</w:t>
            </w:r>
          </w:p>
          <w:p w14:paraId="51B5C88C">
            <w:pPr>
              <w:topLinePunct/>
              <w:jc w:val="center"/>
              <w:rPr>
                <w:rFonts w:eastAsia="黑体"/>
                <w:color w:val="auto"/>
              </w:rPr>
            </w:pPr>
            <w:r>
              <w:rPr>
                <w:rFonts w:eastAsia="黑体"/>
                <w:color w:val="auto"/>
              </w:rPr>
              <w:t>表4-</w:t>
            </w:r>
            <w:r>
              <w:rPr>
                <w:rFonts w:hint="eastAsia" w:eastAsia="黑体"/>
                <w:color w:val="auto"/>
              </w:rPr>
              <w:t>1</w:t>
            </w:r>
            <w:r>
              <w:rPr>
                <w:rFonts w:hint="eastAsia" w:eastAsia="黑体"/>
                <w:color w:val="auto"/>
                <w:lang w:val="en-US" w:eastAsia="zh-CN"/>
              </w:rPr>
              <w:t>6</w:t>
            </w:r>
            <w:r>
              <w:rPr>
                <w:rFonts w:hint="eastAsia" w:eastAsia="黑体"/>
                <w:color w:val="auto"/>
              </w:rPr>
              <w:t xml:space="preserve">  </w:t>
            </w:r>
            <w:r>
              <w:rPr>
                <w:rFonts w:hint="eastAsia" w:eastAsia="黑体"/>
                <w:color w:val="auto"/>
                <w:lang w:val="en-US" w:eastAsia="zh-CN"/>
              </w:rPr>
              <w:t>本项目叠加现有设备后</w:t>
            </w:r>
            <w:r>
              <w:rPr>
                <w:rFonts w:eastAsia="黑体"/>
                <w:color w:val="auto"/>
              </w:rPr>
              <w:t>各厂界噪声预测结果（单位：dB(A)）</w:t>
            </w:r>
          </w:p>
          <w:tbl>
            <w:tblPr>
              <w:tblStyle w:val="6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759"/>
              <w:gridCol w:w="1416"/>
              <w:gridCol w:w="1501"/>
              <w:gridCol w:w="1525"/>
              <w:gridCol w:w="1413"/>
              <w:gridCol w:w="1654"/>
            </w:tblGrid>
            <w:tr w14:paraId="6DDB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51" w:type="pct"/>
                  <w:gridSpan w:val="2"/>
                  <w:shd w:val="clear" w:color="auto" w:fill="auto"/>
                  <w:vAlign w:val="center"/>
                </w:tcPr>
                <w:p w14:paraId="21F4392A">
                  <w:pPr>
                    <w:spacing w:line="240" w:lineRule="auto"/>
                    <w:jc w:val="center"/>
                    <w:rPr>
                      <w:color w:val="auto"/>
                      <w:sz w:val="18"/>
                      <w:szCs w:val="18"/>
                    </w:rPr>
                  </w:pPr>
                  <w:r>
                    <w:rPr>
                      <w:rFonts w:hint="eastAsia"/>
                      <w:color w:val="auto"/>
                      <w:sz w:val="18"/>
                      <w:szCs w:val="18"/>
                    </w:rPr>
                    <w:t>预测地点</w:t>
                  </w:r>
                </w:p>
              </w:tc>
              <w:tc>
                <w:tcPr>
                  <w:tcW w:w="782" w:type="pct"/>
                  <w:shd w:val="clear" w:color="auto" w:fill="auto"/>
                  <w:vAlign w:val="center"/>
                </w:tcPr>
                <w:p w14:paraId="629AE32A">
                  <w:pPr>
                    <w:spacing w:line="240" w:lineRule="auto"/>
                    <w:jc w:val="center"/>
                    <w:rPr>
                      <w:color w:val="auto"/>
                      <w:sz w:val="18"/>
                      <w:szCs w:val="18"/>
                    </w:rPr>
                  </w:pPr>
                  <w:r>
                    <w:rPr>
                      <w:rFonts w:hint="eastAsia"/>
                      <w:color w:val="auto"/>
                      <w:sz w:val="18"/>
                      <w:szCs w:val="18"/>
                    </w:rPr>
                    <w:t>贡献值（昼间）</w:t>
                  </w:r>
                </w:p>
              </w:tc>
              <w:tc>
                <w:tcPr>
                  <w:tcW w:w="829" w:type="pct"/>
                  <w:shd w:val="clear" w:color="auto" w:fill="auto"/>
                  <w:vAlign w:val="center"/>
                </w:tcPr>
                <w:p w14:paraId="63F18D3D">
                  <w:pPr>
                    <w:spacing w:line="240" w:lineRule="auto"/>
                    <w:jc w:val="center"/>
                    <w:rPr>
                      <w:color w:val="auto"/>
                      <w:sz w:val="18"/>
                      <w:szCs w:val="18"/>
                    </w:rPr>
                  </w:pPr>
                  <w:r>
                    <w:rPr>
                      <w:rFonts w:hint="eastAsia"/>
                      <w:color w:val="auto"/>
                      <w:sz w:val="18"/>
                      <w:szCs w:val="18"/>
                    </w:rPr>
                    <w:t>标准值（昼间）</w:t>
                  </w:r>
                </w:p>
              </w:tc>
              <w:tc>
                <w:tcPr>
                  <w:tcW w:w="842" w:type="pct"/>
                  <w:shd w:val="clear" w:color="auto" w:fill="auto"/>
                  <w:vAlign w:val="center"/>
                </w:tcPr>
                <w:p w14:paraId="0F4B05FB">
                  <w:pPr>
                    <w:spacing w:line="240" w:lineRule="auto"/>
                    <w:jc w:val="center"/>
                    <w:rPr>
                      <w:color w:val="auto"/>
                      <w:sz w:val="18"/>
                      <w:szCs w:val="18"/>
                    </w:rPr>
                  </w:pPr>
                  <w:r>
                    <w:rPr>
                      <w:rFonts w:hint="eastAsia"/>
                      <w:color w:val="auto"/>
                      <w:sz w:val="18"/>
                      <w:szCs w:val="18"/>
                    </w:rPr>
                    <w:t>贡献值（夜间）</w:t>
                  </w:r>
                </w:p>
              </w:tc>
              <w:tc>
                <w:tcPr>
                  <w:tcW w:w="780" w:type="pct"/>
                  <w:shd w:val="clear" w:color="auto" w:fill="auto"/>
                  <w:vAlign w:val="center"/>
                </w:tcPr>
                <w:p w14:paraId="14C05B01">
                  <w:pPr>
                    <w:spacing w:line="240" w:lineRule="auto"/>
                    <w:jc w:val="center"/>
                    <w:rPr>
                      <w:color w:val="auto"/>
                      <w:sz w:val="18"/>
                      <w:szCs w:val="18"/>
                    </w:rPr>
                  </w:pPr>
                  <w:r>
                    <w:rPr>
                      <w:rFonts w:hint="eastAsia"/>
                      <w:color w:val="auto"/>
                      <w:sz w:val="18"/>
                      <w:szCs w:val="18"/>
                    </w:rPr>
                    <w:t>标准值（夜间）</w:t>
                  </w:r>
                </w:p>
              </w:tc>
              <w:tc>
                <w:tcPr>
                  <w:tcW w:w="913" w:type="pct"/>
                  <w:shd w:val="clear" w:color="auto" w:fill="auto"/>
                  <w:vAlign w:val="center"/>
                </w:tcPr>
                <w:p w14:paraId="70FD73CB">
                  <w:pPr>
                    <w:spacing w:line="240" w:lineRule="auto"/>
                    <w:jc w:val="center"/>
                    <w:rPr>
                      <w:color w:val="auto"/>
                      <w:sz w:val="18"/>
                      <w:szCs w:val="18"/>
                    </w:rPr>
                  </w:pPr>
                  <w:r>
                    <w:rPr>
                      <w:rFonts w:hint="eastAsia"/>
                      <w:color w:val="auto"/>
                      <w:sz w:val="18"/>
                      <w:szCs w:val="18"/>
                    </w:rPr>
                    <w:t>达标情况</w:t>
                  </w:r>
                </w:p>
              </w:tc>
            </w:tr>
            <w:tr w14:paraId="75305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2" w:type="pct"/>
                  <w:shd w:val="clear" w:color="auto" w:fill="auto"/>
                  <w:vAlign w:val="center"/>
                </w:tcPr>
                <w:p w14:paraId="708FC42C">
                  <w:pPr>
                    <w:spacing w:line="240" w:lineRule="auto"/>
                    <w:jc w:val="center"/>
                    <w:rPr>
                      <w:color w:val="auto"/>
                      <w:sz w:val="18"/>
                      <w:szCs w:val="18"/>
                    </w:rPr>
                  </w:pPr>
                  <w:r>
                    <w:rPr>
                      <w:color w:val="auto"/>
                      <w:sz w:val="18"/>
                      <w:szCs w:val="18"/>
                    </w:rPr>
                    <w:t>N1</w:t>
                  </w:r>
                </w:p>
              </w:tc>
              <w:tc>
                <w:tcPr>
                  <w:tcW w:w="419" w:type="pct"/>
                  <w:shd w:val="clear" w:color="auto" w:fill="auto"/>
                  <w:vAlign w:val="center"/>
                </w:tcPr>
                <w:p w14:paraId="17F72BD2">
                  <w:pPr>
                    <w:spacing w:line="240" w:lineRule="auto"/>
                    <w:jc w:val="center"/>
                    <w:rPr>
                      <w:color w:val="auto"/>
                      <w:sz w:val="18"/>
                      <w:szCs w:val="18"/>
                    </w:rPr>
                  </w:pPr>
                  <w:r>
                    <w:rPr>
                      <w:rFonts w:hint="eastAsia"/>
                      <w:color w:val="auto"/>
                      <w:sz w:val="18"/>
                      <w:szCs w:val="18"/>
                    </w:rPr>
                    <w:t>厂界东</w:t>
                  </w:r>
                </w:p>
              </w:tc>
              <w:tc>
                <w:tcPr>
                  <w:tcW w:w="782" w:type="pct"/>
                  <w:shd w:val="clear" w:color="auto" w:fill="auto"/>
                  <w:vAlign w:val="center"/>
                </w:tcPr>
                <w:p w14:paraId="764A4AAD">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47</w:t>
                  </w:r>
                </w:p>
              </w:tc>
              <w:tc>
                <w:tcPr>
                  <w:tcW w:w="829" w:type="pct"/>
                  <w:vMerge w:val="restart"/>
                  <w:shd w:val="clear" w:color="auto" w:fill="auto"/>
                  <w:vAlign w:val="center"/>
                </w:tcPr>
                <w:p w14:paraId="30EFE12E">
                  <w:pPr>
                    <w:spacing w:line="240" w:lineRule="auto"/>
                    <w:jc w:val="center"/>
                    <w:rPr>
                      <w:color w:val="auto"/>
                      <w:sz w:val="18"/>
                      <w:szCs w:val="18"/>
                    </w:rPr>
                  </w:pPr>
                  <w:r>
                    <w:rPr>
                      <w:rFonts w:hint="eastAsia"/>
                      <w:color w:val="auto"/>
                      <w:sz w:val="18"/>
                      <w:szCs w:val="18"/>
                    </w:rPr>
                    <w:t>65</w:t>
                  </w:r>
                </w:p>
              </w:tc>
              <w:tc>
                <w:tcPr>
                  <w:tcW w:w="1525" w:type="dxa"/>
                  <w:shd w:val="clear" w:color="auto" w:fill="auto"/>
                  <w:vAlign w:val="center"/>
                </w:tcPr>
                <w:p w14:paraId="697BDE2D">
                  <w:pPr>
                    <w:spacing w:line="240" w:lineRule="auto"/>
                    <w:jc w:val="center"/>
                    <w:rPr>
                      <w:rFonts w:hint="default"/>
                      <w:color w:val="auto"/>
                      <w:sz w:val="18"/>
                      <w:szCs w:val="18"/>
                      <w:lang w:val="en-US"/>
                    </w:rPr>
                  </w:pPr>
                  <w:r>
                    <w:rPr>
                      <w:rFonts w:hint="eastAsia"/>
                      <w:color w:val="auto"/>
                      <w:sz w:val="18"/>
                      <w:szCs w:val="18"/>
                      <w:lang w:val="en-US" w:eastAsia="zh-CN"/>
                    </w:rPr>
                    <w:t>45</w:t>
                  </w:r>
                </w:p>
              </w:tc>
              <w:tc>
                <w:tcPr>
                  <w:tcW w:w="780" w:type="pct"/>
                  <w:vMerge w:val="restart"/>
                  <w:shd w:val="clear" w:color="auto" w:fill="auto"/>
                  <w:vAlign w:val="center"/>
                </w:tcPr>
                <w:p w14:paraId="771CF7E4">
                  <w:pPr>
                    <w:spacing w:line="240" w:lineRule="auto"/>
                    <w:jc w:val="center"/>
                    <w:rPr>
                      <w:color w:val="auto"/>
                      <w:sz w:val="18"/>
                      <w:szCs w:val="18"/>
                    </w:rPr>
                  </w:pPr>
                  <w:r>
                    <w:rPr>
                      <w:rFonts w:hint="eastAsia"/>
                      <w:color w:val="auto"/>
                      <w:sz w:val="18"/>
                      <w:szCs w:val="18"/>
                    </w:rPr>
                    <w:t>55</w:t>
                  </w:r>
                </w:p>
              </w:tc>
              <w:tc>
                <w:tcPr>
                  <w:tcW w:w="913" w:type="pct"/>
                  <w:shd w:val="clear" w:color="auto" w:fill="auto"/>
                  <w:vAlign w:val="center"/>
                </w:tcPr>
                <w:p w14:paraId="130FDE34">
                  <w:pPr>
                    <w:spacing w:line="240" w:lineRule="auto"/>
                    <w:jc w:val="center"/>
                    <w:rPr>
                      <w:color w:val="auto"/>
                      <w:sz w:val="18"/>
                      <w:szCs w:val="18"/>
                    </w:rPr>
                  </w:pPr>
                  <w:r>
                    <w:rPr>
                      <w:rFonts w:hint="eastAsia"/>
                      <w:color w:val="auto"/>
                      <w:sz w:val="18"/>
                      <w:szCs w:val="18"/>
                    </w:rPr>
                    <w:t>达标</w:t>
                  </w:r>
                </w:p>
              </w:tc>
            </w:tr>
            <w:tr w14:paraId="6255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2" w:type="pct"/>
                  <w:shd w:val="clear" w:color="auto" w:fill="auto"/>
                  <w:vAlign w:val="center"/>
                </w:tcPr>
                <w:p w14:paraId="0D04A0F8">
                  <w:pPr>
                    <w:spacing w:line="240" w:lineRule="auto"/>
                    <w:jc w:val="center"/>
                    <w:rPr>
                      <w:color w:val="auto"/>
                      <w:sz w:val="18"/>
                      <w:szCs w:val="18"/>
                    </w:rPr>
                  </w:pPr>
                  <w:r>
                    <w:rPr>
                      <w:color w:val="auto"/>
                      <w:sz w:val="18"/>
                      <w:szCs w:val="18"/>
                    </w:rPr>
                    <w:t>N2</w:t>
                  </w:r>
                </w:p>
              </w:tc>
              <w:tc>
                <w:tcPr>
                  <w:tcW w:w="419" w:type="pct"/>
                  <w:shd w:val="clear" w:color="auto" w:fill="auto"/>
                  <w:vAlign w:val="center"/>
                </w:tcPr>
                <w:p w14:paraId="078707DB">
                  <w:pPr>
                    <w:spacing w:line="240" w:lineRule="auto"/>
                    <w:jc w:val="center"/>
                    <w:rPr>
                      <w:color w:val="auto"/>
                      <w:sz w:val="18"/>
                      <w:szCs w:val="18"/>
                    </w:rPr>
                  </w:pPr>
                  <w:r>
                    <w:rPr>
                      <w:rFonts w:hint="eastAsia"/>
                      <w:color w:val="auto"/>
                      <w:sz w:val="18"/>
                      <w:szCs w:val="18"/>
                    </w:rPr>
                    <w:t>厂界南</w:t>
                  </w:r>
                </w:p>
              </w:tc>
              <w:tc>
                <w:tcPr>
                  <w:tcW w:w="782" w:type="pct"/>
                  <w:shd w:val="clear" w:color="auto" w:fill="auto"/>
                  <w:vAlign w:val="center"/>
                </w:tcPr>
                <w:p w14:paraId="61FB347F">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46</w:t>
                  </w:r>
                </w:p>
              </w:tc>
              <w:tc>
                <w:tcPr>
                  <w:tcW w:w="829" w:type="pct"/>
                  <w:vMerge w:val="continue"/>
                  <w:shd w:val="clear" w:color="auto" w:fill="auto"/>
                  <w:vAlign w:val="center"/>
                </w:tcPr>
                <w:p w14:paraId="5135C38A">
                  <w:pPr>
                    <w:spacing w:line="240" w:lineRule="auto"/>
                    <w:jc w:val="center"/>
                    <w:rPr>
                      <w:color w:val="auto"/>
                      <w:sz w:val="18"/>
                      <w:szCs w:val="18"/>
                    </w:rPr>
                  </w:pPr>
                </w:p>
              </w:tc>
              <w:tc>
                <w:tcPr>
                  <w:tcW w:w="1525" w:type="dxa"/>
                  <w:shd w:val="clear" w:color="auto" w:fill="auto"/>
                  <w:vAlign w:val="center"/>
                </w:tcPr>
                <w:p w14:paraId="5750C49B">
                  <w:pPr>
                    <w:spacing w:line="240" w:lineRule="auto"/>
                    <w:jc w:val="center"/>
                    <w:rPr>
                      <w:rFonts w:hint="eastAsia" w:eastAsia="宋体"/>
                      <w:color w:val="auto"/>
                      <w:sz w:val="18"/>
                      <w:szCs w:val="18"/>
                      <w:lang w:eastAsia="zh-CN"/>
                    </w:rPr>
                  </w:pPr>
                  <w:r>
                    <w:rPr>
                      <w:rFonts w:hint="eastAsia"/>
                      <w:color w:val="auto"/>
                      <w:sz w:val="18"/>
                      <w:szCs w:val="18"/>
                      <w:lang w:val="en-US" w:eastAsia="zh-CN"/>
                    </w:rPr>
                    <w:t>45</w:t>
                  </w:r>
                </w:p>
              </w:tc>
              <w:tc>
                <w:tcPr>
                  <w:tcW w:w="780" w:type="pct"/>
                  <w:vMerge w:val="continue"/>
                  <w:shd w:val="clear" w:color="auto" w:fill="auto"/>
                  <w:vAlign w:val="center"/>
                </w:tcPr>
                <w:p w14:paraId="67ACF30A">
                  <w:pPr>
                    <w:spacing w:line="240" w:lineRule="auto"/>
                    <w:jc w:val="center"/>
                    <w:rPr>
                      <w:color w:val="auto"/>
                      <w:sz w:val="18"/>
                      <w:szCs w:val="18"/>
                    </w:rPr>
                  </w:pPr>
                </w:p>
              </w:tc>
              <w:tc>
                <w:tcPr>
                  <w:tcW w:w="913" w:type="pct"/>
                  <w:shd w:val="clear" w:color="auto" w:fill="auto"/>
                  <w:vAlign w:val="center"/>
                </w:tcPr>
                <w:p w14:paraId="56E4AE9A">
                  <w:pPr>
                    <w:spacing w:line="240" w:lineRule="auto"/>
                    <w:jc w:val="center"/>
                    <w:rPr>
                      <w:color w:val="auto"/>
                      <w:sz w:val="18"/>
                      <w:szCs w:val="18"/>
                    </w:rPr>
                  </w:pPr>
                  <w:r>
                    <w:rPr>
                      <w:rFonts w:hint="eastAsia"/>
                      <w:color w:val="auto"/>
                      <w:sz w:val="18"/>
                      <w:szCs w:val="18"/>
                    </w:rPr>
                    <w:t>达标</w:t>
                  </w:r>
                </w:p>
              </w:tc>
            </w:tr>
            <w:tr w14:paraId="0BA8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2" w:type="pct"/>
                  <w:shd w:val="clear" w:color="auto" w:fill="auto"/>
                  <w:vAlign w:val="center"/>
                </w:tcPr>
                <w:p w14:paraId="1A7D1CAE">
                  <w:pPr>
                    <w:spacing w:line="240" w:lineRule="auto"/>
                    <w:jc w:val="center"/>
                    <w:rPr>
                      <w:color w:val="auto"/>
                      <w:sz w:val="18"/>
                      <w:szCs w:val="18"/>
                    </w:rPr>
                  </w:pPr>
                  <w:r>
                    <w:rPr>
                      <w:color w:val="auto"/>
                      <w:sz w:val="18"/>
                      <w:szCs w:val="18"/>
                    </w:rPr>
                    <w:t>N3</w:t>
                  </w:r>
                </w:p>
              </w:tc>
              <w:tc>
                <w:tcPr>
                  <w:tcW w:w="419" w:type="pct"/>
                  <w:shd w:val="clear" w:color="auto" w:fill="auto"/>
                  <w:vAlign w:val="center"/>
                </w:tcPr>
                <w:p w14:paraId="02F467C6">
                  <w:pPr>
                    <w:spacing w:line="240" w:lineRule="auto"/>
                    <w:jc w:val="center"/>
                    <w:rPr>
                      <w:color w:val="auto"/>
                      <w:sz w:val="18"/>
                      <w:szCs w:val="18"/>
                    </w:rPr>
                  </w:pPr>
                  <w:r>
                    <w:rPr>
                      <w:rFonts w:hint="eastAsia"/>
                      <w:color w:val="auto"/>
                      <w:sz w:val="18"/>
                      <w:szCs w:val="18"/>
                    </w:rPr>
                    <w:t>厂界西</w:t>
                  </w:r>
                </w:p>
              </w:tc>
              <w:tc>
                <w:tcPr>
                  <w:tcW w:w="782" w:type="pct"/>
                  <w:shd w:val="clear" w:color="auto" w:fill="auto"/>
                  <w:vAlign w:val="center"/>
                </w:tcPr>
                <w:p w14:paraId="36B22CF2">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45</w:t>
                  </w:r>
                </w:p>
              </w:tc>
              <w:tc>
                <w:tcPr>
                  <w:tcW w:w="829" w:type="pct"/>
                  <w:vMerge w:val="continue"/>
                  <w:vAlign w:val="center"/>
                </w:tcPr>
                <w:p w14:paraId="4D25E048">
                  <w:pPr>
                    <w:spacing w:line="240" w:lineRule="auto"/>
                    <w:jc w:val="center"/>
                    <w:rPr>
                      <w:color w:val="auto"/>
                      <w:sz w:val="18"/>
                      <w:szCs w:val="18"/>
                    </w:rPr>
                  </w:pPr>
                </w:p>
              </w:tc>
              <w:tc>
                <w:tcPr>
                  <w:tcW w:w="1525" w:type="dxa"/>
                  <w:vAlign w:val="center"/>
                </w:tcPr>
                <w:p w14:paraId="3C9AE4BD">
                  <w:pPr>
                    <w:spacing w:line="240" w:lineRule="auto"/>
                    <w:jc w:val="center"/>
                    <w:rPr>
                      <w:color w:val="auto"/>
                      <w:sz w:val="18"/>
                      <w:szCs w:val="18"/>
                    </w:rPr>
                  </w:pPr>
                  <w:r>
                    <w:rPr>
                      <w:rFonts w:hint="eastAsia"/>
                      <w:color w:val="auto"/>
                      <w:sz w:val="18"/>
                      <w:szCs w:val="18"/>
                      <w:lang w:val="en-US" w:eastAsia="zh-CN"/>
                    </w:rPr>
                    <w:t>41</w:t>
                  </w:r>
                </w:p>
              </w:tc>
              <w:tc>
                <w:tcPr>
                  <w:tcW w:w="780" w:type="pct"/>
                  <w:vMerge w:val="continue"/>
                  <w:vAlign w:val="center"/>
                </w:tcPr>
                <w:p w14:paraId="6640C306">
                  <w:pPr>
                    <w:spacing w:line="240" w:lineRule="auto"/>
                    <w:jc w:val="center"/>
                    <w:rPr>
                      <w:color w:val="auto"/>
                      <w:sz w:val="18"/>
                      <w:szCs w:val="18"/>
                    </w:rPr>
                  </w:pPr>
                </w:p>
              </w:tc>
              <w:tc>
                <w:tcPr>
                  <w:tcW w:w="913" w:type="pct"/>
                  <w:vAlign w:val="center"/>
                </w:tcPr>
                <w:p w14:paraId="638604E4">
                  <w:pPr>
                    <w:spacing w:line="240" w:lineRule="auto"/>
                    <w:jc w:val="center"/>
                    <w:rPr>
                      <w:color w:val="auto"/>
                      <w:sz w:val="18"/>
                      <w:szCs w:val="18"/>
                    </w:rPr>
                  </w:pPr>
                  <w:r>
                    <w:rPr>
                      <w:rFonts w:hint="eastAsia"/>
                      <w:color w:val="auto"/>
                      <w:sz w:val="18"/>
                      <w:szCs w:val="18"/>
                    </w:rPr>
                    <w:t>达标</w:t>
                  </w:r>
                </w:p>
              </w:tc>
            </w:tr>
            <w:tr w14:paraId="213C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2" w:type="pct"/>
                  <w:shd w:val="clear" w:color="auto" w:fill="auto"/>
                  <w:vAlign w:val="center"/>
                </w:tcPr>
                <w:p w14:paraId="3B11988C">
                  <w:pPr>
                    <w:spacing w:line="240" w:lineRule="auto"/>
                    <w:jc w:val="center"/>
                    <w:rPr>
                      <w:color w:val="auto"/>
                      <w:sz w:val="18"/>
                      <w:szCs w:val="18"/>
                    </w:rPr>
                  </w:pPr>
                  <w:r>
                    <w:rPr>
                      <w:rFonts w:hint="eastAsia"/>
                      <w:color w:val="auto"/>
                      <w:sz w:val="18"/>
                      <w:szCs w:val="18"/>
                    </w:rPr>
                    <w:t>N</w:t>
                  </w:r>
                  <w:r>
                    <w:rPr>
                      <w:color w:val="auto"/>
                      <w:sz w:val="18"/>
                      <w:szCs w:val="18"/>
                    </w:rPr>
                    <w:t>4</w:t>
                  </w:r>
                </w:p>
              </w:tc>
              <w:tc>
                <w:tcPr>
                  <w:tcW w:w="419" w:type="pct"/>
                  <w:shd w:val="clear" w:color="auto" w:fill="auto"/>
                  <w:vAlign w:val="center"/>
                </w:tcPr>
                <w:p w14:paraId="136FCE4E">
                  <w:pPr>
                    <w:spacing w:line="240" w:lineRule="auto"/>
                    <w:jc w:val="center"/>
                    <w:rPr>
                      <w:color w:val="auto"/>
                      <w:sz w:val="18"/>
                      <w:szCs w:val="18"/>
                    </w:rPr>
                  </w:pPr>
                  <w:r>
                    <w:rPr>
                      <w:rFonts w:hint="eastAsia"/>
                      <w:color w:val="auto"/>
                      <w:sz w:val="18"/>
                      <w:szCs w:val="18"/>
                    </w:rPr>
                    <w:t>厂界北</w:t>
                  </w:r>
                </w:p>
              </w:tc>
              <w:tc>
                <w:tcPr>
                  <w:tcW w:w="782" w:type="pct"/>
                  <w:shd w:val="clear" w:color="auto" w:fill="auto"/>
                  <w:vAlign w:val="center"/>
                </w:tcPr>
                <w:p w14:paraId="5771378B">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43</w:t>
                  </w:r>
                </w:p>
              </w:tc>
              <w:tc>
                <w:tcPr>
                  <w:tcW w:w="829" w:type="pct"/>
                  <w:vMerge w:val="continue"/>
                  <w:vAlign w:val="center"/>
                </w:tcPr>
                <w:p w14:paraId="0359C197">
                  <w:pPr>
                    <w:spacing w:line="240" w:lineRule="auto"/>
                    <w:jc w:val="center"/>
                    <w:rPr>
                      <w:color w:val="auto"/>
                      <w:sz w:val="18"/>
                      <w:szCs w:val="18"/>
                    </w:rPr>
                  </w:pPr>
                </w:p>
              </w:tc>
              <w:tc>
                <w:tcPr>
                  <w:tcW w:w="1525" w:type="dxa"/>
                  <w:vAlign w:val="center"/>
                </w:tcPr>
                <w:p w14:paraId="1ABD391E">
                  <w:pPr>
                    <w:spacing w:line="240" w:lineRule="auto"/>
                    <w:jc w:val="center"/>
                    <w:rPr>
                      <w:color w:val="auto"/>
                      <w:sz w:val="18"/>
                      <w:szCs w:val="18"/>
                    </w:rPr>
                  </w:pPr>
                  <w:r>
                    <w:rPr>
                      <w:rFonts w:hint="eastAsia"/>
                      <w:color w:val="auto"/>
                      <w:sz w:val="18"/>
                      <w:szCs w:val="18"/>
                      <w:lang w:val="en-US" w:eastAsia="zh-CN"/>
                    </w:rPr>
                    <w:t>41</w:t>
                  </w:r>
                </w:p>
              </w:tc>
              <w:tc>
                <w:tcPr>
                  <w:tcW w:w="780" w:type="pct"/>
                  <w:vMerge w:val="continue"/>
                  <w:vAlign w:val="center"/>
                </w:tcPr>
                <w:p w14:paraId="6A457FDF">
                  <w:pPr>
                    <w:spacing w:line="240" w:lineRule="auto"/>
                    <w:jc w:val="center"/>
                    <w:rPr>
                      <w:color w:val="auto"/>
                      <w:sz w:val="18"/>
                      <w:szCs w:val="18"/>
                    </w:rPr>
                  </w:pPr>
                </w:p>
              </w:tc>
              <w:tc>
                <w:tcPr>
                  <w:tcW w:w="913" w:type="pct"/>
                  <w:vAlign w:val="center"/>
                </w:tcPr>
                <w:p w14:paraId="10F5910F">
                  <w:pPr>
                    <w:spacing w:line="240" w:lineRule="auto"/>
                    <w:jc w:val="center"/>
                    <w:rPr>
                      <w:color w:val="auto"/>
                      <w:sz w:val="18"/>
                      <w:szCs w:val="18"/>
                    </w:rPr>
                  </w:pPr>
                  <w:r>
                    <w:rPr>
                      <w:rFonts w:hint="eastAsia"/>
                      <w:color w:val="auto"/>
                      <w:sz w:val="18"/>
                      <w:szCs w:val="18"/>
                    </w:rPr>
                    <w:t>达标</w:t>
                  </w:r>
                </w:p>
              </w:tc>
            </w:tr>
          </w:tbl>
          <w:p w14:paraId="1D669A21">
            <w:pPr>
              <w:ind w:firstLine="480" w:firstLineChars="200"/>
              <w:rPr>
                <w:color w:val="auto"/>
              </w:rPr>
            </w:pPr>
            <w:r>
              <w:rPr>
                <w:rFonts w:hint="eastAsia"/>
                <w:color w:val="auto"/>
              </w:rPr>
              <w:t>预测结果表明，</w:t>
            </w:r>
            <w:r>
              <w:rPr>
                <w:rFonts w:hint="eastAsia"/>
                <w:color w:val="auto"/>
                <w:lang w:val="en-US" w:eastAsia="zh-CN"/>
              </w:rPr>
              <w:t>本项目叠加现有设备</w:t>
            </w:r>
            <w:r>
              <w:rPr>
                <w:rFonts w:hint="eastAsia"/>
                <w:color w:val="auto"/>
              </w:rPr>
              <w:t>后，各厂界噪声贡献值均满足《工业企业厂界环境噪声排放标准》</w:t>
            </w:r>
            <w:r>
              <w:rPr>
                <w:rFonts w:hint="eastAsia"/>
                <w:color w:val="auto"/>
                <w:lang w:eastAsia="zh-CN"/>
              </w:rPr>
              <w:t>（</w:t>
            </w:r>
            <w:r>
              <w:rPr>
                <w:rFonts w:hint="eastAsia"/>
                <w:color w:val="auto"/>
              </w:rPr>
              <w:t>GB12348-2008</w:t>
            </w:r>
            <w:r>
              <w:rPr>
                <w:rFonts w:hint="eastAsia"/>
                <w:color w:val="auto"/>
                <w:lang w:eastAsia="zh-CN"/>
              </w:rPr>
              <w:t>）</w:t>
            </w:r>
            <w:r>
              <w:rPr>
                <w:rFonts w:hint="eastAsia"/>
                <w:color w:val="auto"/>
              </w:rPr>
              <w:t>3类标准限值要求。</w:t>
            </w:r>
          </w:p>
          <w:p w14:paraId="2BC0C314">
            <w:pPr>
              <w:rPr>
                <w:b/>
                <w:color w:val="auto"/>
              </w:rPr>
            </w:pPr>
            <w:r>
              <w:rPr>
                <w:b/>
                <w:color w:val="auto"/>
              </w:rPr>
              <w:t>5</w:t>
            </w:r>
            <w:r>
              <w:rPr>
                <w:rFonts w:hint="eastAsia"/>
                <w:b/>
                <w:color w:val="auto"/>
              </w:rPr>
              <w:t>、噪声防治措施</w:t>
            </w:r>
          </w:p>
          <w:p w14:paraId="1E9FA627">
            <w:pPr>
              <w:ind w:firstLine="480" w:firstLineChars="200"/>
              <w:rPr>
                <w:bCs/>
                <w:iCs/>
                <w:color w:val="auto"/>
              </w:rPr>
            </w:pPr>
            <w:r>
              <w:rPr>
                <w:rFonts w:hint="eastAsia"/>
                <w:bCs/>
                <w:iCs/>
                <w:color w:val="auto"/>
              </w:rPr>
              <w:t>为确保厂界噪声稳定达标，项目应进一步采取降噪措施，具体防治措施如下：</w:t>
            </w:r>
          </w:p>
          <w:p w14:paraId="57F5F606">
            <w:pPr>
              <w:ind w:firstLine="480" w:firstLineChars="200"/>
              <w:rPr>
                <w:bCs/>
                <w:iCs/>
                <w:color w:val="auto"/>
              </w:rPr>
            </w:pPr>
            <w:r>
              <w:rPr>
                <w:rFonts w:hint="eastAsia"/>
                <w:bCs/>
                <w:iCs/>
                <w:color w:val="auto"/>
              </w:rPr>
              <w:t>（1）选用先进的低噪声设备，尽可能将各设备布置在生产车间中央，增加生产车间与墙壁的距离，增加噪声在生产车间内的衰减，减少对外影响；</w:t>
            </w:r>
          </w:p>
          <w:p w14:paraId="4550B589">
            <w:pPr>
              <w:ind w:firstLine="480" w:firstLineChars="200"/>
              <w:rPr>
                <w:bCs/>
                <w:iCs/>
                <w:color w:val="auto"/>
              </w:rPr>
            </w:pPr>
            <w:r>
              <w:rPr>
                <w:rFonts w:hint="eastAsia"/>
                <w:bCs/>
                <w:iCs/>
                <w:color w:val="auto"/>
              </w:rPr>
              <w:t>（2）设备布置时，充分考虑其配用的噪声控制专用设备的安装和维修空间；</w:t>
            </w:r>
          </w:p>
          <w:p w14:paraId="2D561F7B">
            <w:pPr>
              <w:ind w:firstLine="480" w:firstLineChars="200"/>
              <w:rPr>
                <w:bCs/>
                <w:iCs/>
                <w:color w:val="auto"/>
              </w:rPr>
            </w:pPr>
            <w:r>
              <w:rPr>
                <w:rFonts w:hint="eastAsia"/>
                <w:bCs/>
                <w:iCs/>
                <w:color w:val="auto"/>
              </w:rPr>
              <w:t>（3）</w:t>
            </w:r>
            <w:r>
              <w:rPr>
                <w:color w:val="auto"/>
              </w:rPr>
              <w:t>采用隔声、减震降噪措施，</w:t>
            </w:r>
            <w:r>
              <w:rPr>
                <w:rFonts w:hint="eastAsia"/>
                <w:bCs/>
                <w:iCs/>
                <w:color w:val="auto"/>
              </w:rPr>
              <w:t>应加装适宜的减震基础、减震阻尼垫等设施，将噪声影响控制在较小范围内；</w:t>
            </w:r>
          </w:p>
          <w:p w14:paraId="43E63358">
            <w:pPr>
              <w:ind w:firstLine="480" w:firstLineChars="200"/>
              <w:rPr>
                <w:bCs/>
                <w:iCs/>
                <w:color w:val="auto"/>
              </w:rPr>
            </w:pPr>
            <w:r>
              <w:rPr>
                <w:rFonts w:hint="eastAsia"/>
                <w:bCs/>
                <w:iCs/>
                <w:color w:val="auto"/>
              </w:rPr>
              <w:t>（</w:t>
            </w:r>
            <w:r>
              <w:rPr>
                <w:bCs/>
                <w:iCs/>
                <w:color w:val="auto"/>
              </w:rPr>
              <w:t>4</w:t>
            </w:r>
            <w:r>
              <w:rPr>
                <w:rFonts w:hint="eastAsia"/>
                <w:bCs/>
                <w:iCs/>
                <w:color w:val="auto"/>
              </w:rPr>
              <w:t>）日常尽可能必须关闭门窗进行生产，加强设备维护，确保设备处于良好的运转状态，杜绝因设备不正常运转时产生的高噪声现象。</w:t>
            </w:r>
          </w:p>
          <w:p w14:paraId="59506224">
            <w:pPr>
              <w:rPr>
                <w:b/>
                <w:color w:val="auto"/>
              </w:rPr>
            </w:pPr>
            <w:r>
              <w:rPr>
                <w:b/>
                <w:color w:val="auto"/>
              </w:rPr>
              <w:t>6</w:t>
            </w:r>
            <w:r>
              <w:rPr>
                <w:rFonts w:hint="eastAsia"/>
                <w:b/>
                <w:color w:val="auto"/>
              </w:rPr>
              <w:t>、监测要求</w:t>
            </w:r>
          </w:p>
          <w:p w14:paraId="3C3EF9B4">
            <w:pPr>
              <w:ind w:firstLine="480" w:firstLineChars="200"/>
              <w:rPr>
                <w:bCs/>
                <w:iCs/>
                <w:color w:val="auto"/>
              </w:rPr>
            </w:pPr>
            <w:r>
              <w:rPr>
                <w:rFonts w:hint="eastAsia"/>
                <w:bCs/>
                <w:iCs/>
                <w:color w:val="auto"/>
              </w:rPr>
              <w:t>根据《排污单位自行监测技术指南 总则》（H</w:t>
            </w:r>
            <w:r>
              <w:rPr>
                <w:bCs/>
                <w:iCs/>
                <w:color w:val="auto"/>
              </w:rPr>
              <w:t>J 819-2017</w:t>
            </w:r>
            <w:r>
              <w:rPr>
                <w:rFonts w:hint="eastAsia"/>
                <w:bCs/>
                <w:iCs/>
                <w:color w:val="auto"/>
              </w:rPr>
              <w:t>），本项目噪声监测计划见下表：</w:t>
            </w:r>
          </w:p>
          <w:p w14:paraId="48145F6E">
            <w:pPr>
              <w:topLinePunct/>
              <w:jc w:val="center"/>
              <w:rPr>
                <w:rFonts w:hint="eastAsia" w:ascii="黑体" w:hAnsi="黑体" w:eastAsia="黑体"/>
                <w:color w:val="auto"/>
              </w:rPr>
            </w:pPr>
            <w:r>
              <w:rPr>
                <w:rFonts w:ascii="黑体" w:hAnsi="黑体" w:eastAsia="黑体"/>
                <w:color w:val="auto"/>
              </w:rPr>
              <w:t>表</w:t>
            </w:r>
            <w:r>
              <w:rPr>
                <w:rFonts w:eastAsia="黑体"/>
                <w:color w:val="auto"/>
              </w:rPr>
              <w:t>4-</w:t>
            </w:r>
            <w:r>
              <w:rPr>
                <w:rFonts w:hint="eastAsia" w:eastAsia="黑体"/>
                <w:color w:val="auto"/>
              </w:rPr>
              <w:t>1</w:t>
            </w:r>
            <w:r>
              <w:rPr>
                <w:rFonts w:hint="eastAsia" w:eastAsia="黑体"/>
                <w:color w:val="auto"/>
                <w:lang w:val="en-US" w:eastAsia="zh-CN"/>
              </w:rPr>
              <w:t>7</w:t>
            </w:r>
            <w:r>
              <w:rPr>
                <w:rFonts w:hint="eastAsia" w:ascii="黑体" w:hAnsi="黑体" w:eastAsia="黑体"/>
                <w:color w:val="auto"/>
              </w:rPr>
              <w:t xml:space="preserve">  噪声监测计划</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6"/>
              <w:gridCol w:w="2007"/>
              <w:gridCol w:w="1270"/>
              <w:gridCol w:w="3842"/>
            </w:tblGrid>
            <w:tr w14:paraId="7696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9" w:type="pct"/>
                  <w:shd w:val="clear" w:color="auto" w:fill="auto"/>
                  <w:noWrap/>
                  <w:vAlign w:val="center"/>
                </w:tcPr>
                <w:p w14:paraId="3FC5536D">
                  <w:pPr>
                    <w:spacing w:line="240" w:lineRule="auto"/>
                    <w:jc w:val="center"/>
                    <w:rPr>
                      <w:color w:val="auto"/>
                      <w:sz w:val="18"/>
                      <w:szCs w:val="18"/>
                    </w:rPr>
                  </w:pPr>
                  <w:r>
                    <w:rPr>
                      <w:rFonts w:hint="eastAsia"/>
                      <w:color w:val="auto"/>
                      <w:sz w:val="18"/>
                      <w:szCs w:val="18"/>
                    </w:rPr>
                    <w:t>监测点位</w:t>
                  </w:r>
                </w:p>
              </w:tc>
              <w:tc>
                <w:tcPr>
                  <w:tcW w:w="1108" w:type="pct"/>
                  <w:shd w:val="clear" w:color="auto" w:fill="auto"/>
                  <w:noWrap/>
                  <w:vAlign w:val="center"/>
                </w:tcPr>
                <w:p w14:paraId="1DFD2FD7">
                  <w:pPr>
                    <w:spacing w:line="240" w:lineRule="auto"/>
                    <w:jc w:val="center"/>
                    <w:rPr>
                      <w:color w:val="auto"/>
                      <w:sz w:val="18"/>
                      <w:szCs w:val="18"/>
                    </w:rPr>
                  </w:pPr>
                  <w:r>
                    <w:rPr>
                      <w:rFonts w:hint="eastAsia"/>
                      <w:color w:val="auto"/>
                      <w:sz w:val="18"/>
                      <w:szCs w:val="18"/>
                    </w:rPr>
                    <w:t>监测项目</w:t>
                  </w:r>
                </w:p>
              </w:tc>
              <w:tc>
                <w:tcPr>
                  <w:tcW w:w="701" w:type="pct"/>
                  <w:shd w:val="clear" w:color="auto" w:fill="auto"/>
                  <w:noWrap/>
                  <w:vAlign w:val="center"/>
                </w:tcPr>
                <w:p w14:paraId="770C7EAA">
                  <w:pPr>
                    <w:spacing w:line="240" w:lineRule="auto"/>
                    <w:jc w:val="center"/>
                    <w:rPr>
                      <w:color w:val="auto"/>
                      <w:sz w:val="18"/>
                      <w:szCs w:val="18"/>
                    </w:rPr>
                  </w:pPr>
                  <w:r>
                    <w:rPr>
                      <w:rFonts w:hint="eastAsia"/>
                      <w:color w:val="auto"/>
                      <w:sz w:val="18"/>
                      <w:szCs w:val="18"/>
                    </w:rPr>
                    <w:t>监测频次</w:t>
                  </w:r>
                </w:p>
              </w:tc>
              <w:tc>
                <w:tcPr>
                  <w:tcW w:w="2121" w:type="pct"/>
                  <w:shd w:val="clear" w:color="auto" w:fill="auto"/>
                  <w:noWrap/>
                  <w:vAlign w:val="center"/>
                </w:tcPr>
                <w:p w14:paraId="4CB8E316">
                  <w:pPr>
                    <w:spacing w:line="240" w:lineRule="auto"/>
                    <w:jc w:val="center"/>
                    <w:rPr>
                      <w:color w:val="auto"/>
                      <w:sz w:val="18"/>
                      <w:szCs w:val="18"/>
                    </w:rPr>
                  </w:pPr>
                  <w:r>
                    <w:rPr>
                      <w:rFonts w:hint="eastAsia"/>
                      <w:color w:val="auto"/>
                      <w:sz w:val="18"/>
                      <w:szCs w:val="18"/>
                    </w:rPr>
                    <w:t>执行标准</w:t>
                  </w:r>
                </w:p>
              </w:tc>
            </w:tr>
            <w:tr w14:paraId="0FDA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9" w:type="pct"/>
                  <w:shd w:val="clear" w:color="auto" w:fill="auto"/>
                  <w:vAlign w:val="center"/>
                </w:tcPr>
                <w:p w14:paraId="012439A6">
                  <w:pPr>
                    <w:spacing w:line="240" w:lineRule="auto"/>
                    <w:jc w:val="center"/>
                    <w:rPr>
                      <w:color w:val="auto"/>
                      <w:sz w:val="18"/>
                      <w:szCs w:val="18"/>
                    </w:rPr>
                  </w:pPr>
                  <w:r>
                    <w:rPr>
                      <w:rFonts w:hint="eastAsia"/>
                      <w:color w:val="auto"/>
                      <w:sz w:val="18"/>
                      <w:szCs w:val="18"/>
                    </w:rPr>
                    <w:t>厂界四周外1m处</w:t>
                  </w:r>
                </w:p>
              </w:tc>
              <w:tc>
                <w:tcPr>
                  <w:tcW w:w="1108" w:type="pct"/>
                  <w:shd w:val="clear" w:color="auto" w:fill="auto"/>
                  <w:vAlign w:val="center"/>
                </w:tcPr>
                <w:p w14:paraId="66B2392E">
                  <w:pPr>
                    <w:spacing w:line="240" w:lineRule="auto"/>
                    <w:jc w:val="center"/>
                    <w:rPr>
                      <w:color w:val="auto"/>
                      <w:sz w:val="18"/>
                      <w:szCs w:val="18"/>
                    </w:rPr>
                  </w:pPr>
                  <w:r>
                    <w:rPr>
                      <w:rFonts w:hint="eastAsia"/>
                      <w:color w:val="auto"/>
                      <w:sz w:val="18"/>
                      <w:szCs w:val="18"/>
                    </w:rPr>
                    <w:t>等效连续A声级</w:t>
                  </w:r>
                </w:p>
              </w:tc>
              <w:tc>
                <w:tcPr>
                  <w:tcW w:w="701" w:type="pct"/>
                  <w:shd w:val="clear" w:color="auto" w:fill="auto"/>
                  <w:vAlign w:val="center"/>
                </w:tcPr>
                <w:p w14:paraId="4993A649">
                  <w:pPr>
                    <w:spacing w:line="240" w:lineRule="auto"/>
                    <w:jc w:val="center"/>
                    <w:rPr>
                      <w:color w:val="auto"/>
                      <w:sz w:val="18"/>
                      <w:szCs w:val="18"/>
                    </w:rPr>
                  </w:pPr>
                  <w:r>
                    <w:rPr>
                      <w:rFonts w:hint="eastAsia"/>
                      <w:color w:val="auto"/>
                      <w:sz w:val="18"/>
                      <w:szCs w:val="18"/>
                    </w:rPr>
                    <w:t>1次/季</w:t>
                  </w:r>
                </w:p>
              </w:tc>
              <w:tc>
                <w:tcPr>
                  <w:tcW w:w="2121" w:type="pct"/>
                  <w:shd w:val="clear" w:color="auto" w:fill="auto"/>
                  <w:vAlign w:val="center"/>
                </w:tcPr>
                <w:p w14:paraId="375D769C">
                  <w:pPr>
                    <w:spacing w:line="240" w:lineRule="auto"/>
                    <w:jc w:val="center"/>
                    <w:rPr>
                      <w:color w:val="auto"/>
                      <w:sz w:val="18"/>
                      <w:szCs w:val="18"/>
                    </w:rPr>
                  </w:pPr>
                  <w:r>
                    <w:rPr>
                      <w:rFonts w:hint="eastAsia"/>
                      <w:color w:val="auto"/>
                      <w:sz w:val="18"/>
                      <w:szCs w:val="18"/>
                    </w:rPr>
                    <w:t>《工业企业厂界环境噪声排放标准》（GB12348-2008）中3类标准</w:t>
                  </w:r>
                </w:p>
              </w:tc>
            </w:tr>
          </w:tbl>
          <w:p w14:paraId="465C8C2A">
            <w:pPr>
              <w:rPr>
                <w:color w:val="auto"/>
              </w:rPr>
            </w:pPr>
          </w:p>
          <w:p w14:paraId="534753CD">
            <w:pPr>
              <w:rPr>
                <w:b/>
                <w:bCs/>
                <w:color w:val="auto"/>
              </w:rPr>
            </w:pPr>
            <w:r>
              <w:rPr>
                <w:rFonts w:hint="eastAsia"/>
                <w:b/>
                <w:bCs/>
                <w:color w:val="auto"/>
              </w:rPr>
              <w:t>7、环境影响</w:t>
            </w:r>
          </w:p>
          <w:p w14:paraId="5C462452">
            <w:pPr>
              <w:ind w:firstLine="480" w:firstLineChars="200"/>
              <w:rPr>
                <w:color w:val="auto"/>
              </w:rPr>
            </w:pPr>
            <w:r>
              <w:rPr>
                <w:color w:val="auto"/>
              </w:rPr>
              <w:t>在采取相应的降噪措施处理后，生产过程中厂房内各种设备运转产生的噪声，对厂界噪声的影响值均能满足《工业企业厂界环境噪声排放标准》（GB12348-2008）3类标准要求。因此，本评价认为，项目生产过程中的噪声不会对区域声环境造成明显不利影响。</w:t>
            </w:r>
          </w:p>
          <w:p w14:paraId="5409DBA1">
            <w:pPr>
              <w:rPr>
                <w:b/>
                <w:color w:val="auto"/>
                <w:szCs w:val="24"/>
              </w:rPr>
            </w:pPr>
            <w:r>
              <w:rPr>
                <w:rFonts w:hint="eastAsia"/>
                <w:b/>
                <w:color w:val="auto"/>
                <w:szCs w:val="24"/>
              </w:rPr>
              <w:t>四、固废</w:t>
            </w:r>
          </w:p>
          <w:p w14:paraId="31617CE5">
            <w:pPr>
              <w:rPr>
                <w:b/>
                <w:color w:val="auto"/>
              </w:rPr>
            </w:pPr>
            <w:r>
              <w:rPr>
                <w:b/>
                <w:color w:val="auto"/>
              </w:rPr>
              <w:t>1</w:t>
            </w:r>
            <w:r>
              <w:rPr>
                <w:rFonts w:hint="eastAsia"/>
                <w:b/>
                <w:color w:val="auto"/>
              </w:rPr>
              <w:t>、固废源强</w:t>
            </w:r>
          </w:p>
          <w:p w14:paraId="6C2B37E4">
            <w:pPr>
              <w:ind w:firstLine="480" w:firstLineChars="200"/>
              <w:rPr>
                <w:color w:val="auto"/>
              </w:rPr>
            </w:pPr>
            <w:r>
              <w:rPr>
                <w:rFonts w:hint="eastAsia"/>
                <w:color w:val="auto"/>
                <w:lang w:val="en-US" w:eastAsia="zh-CN"/>
              </w:rPr>
              <w:t>本</w:t>
            </w:r>
            <w:r>
              <w:rPr>
                <w:rFonts w:hint="eastAsia"/>
                <w:color w:val="auto"/>
              </w:rPr>
              <w:t>项目产生的固体废物分为生活垃圾、一般工业固废、危险废物，其中一般工业固废为边角料、不合格品、废</w:t>
            </w:r>
            <w:r>
              <w:rPr>
                <w:rFonts w:hint="eastAsia"/>
                <w:color w:val="auto"/>
                <w:lang w:val="en-US" w:eastAsia="zh-CN"/>
              </w:rPr>
              <w:t>布</w:t>
            </w:r>
            <w:r>
              <w:rPr>
                <w:rFonts w:hint="eastAsia"/>
                <w:color w:val="auto"/>
              </w:rPr>
              <w:t>袋，危险废物为</w:t>
            </w:r>
            <w:r>
              <w:rPr>
                <w:rFonts w:hint="eastAsia"/>
                <w:color w:val="auto"/>
                <w:lang w:val="en-US" w:eastAsia="zh-CN"/>
              </w:rPr>
              <w:t>废润滑油、废包装桶、废切削液、收集粉尘、铝灰渣</w:t>
            </w:r>
            <w:r>
              <w:rPr>
                <w:rFonts w:hint="eastAsia"/>
                <w:color w:val="auto"/>
              </w:rPr>
              <w:t>。</w:t>
            </w:r>
          </w:p>
          <w:p w14:paraId="0F8CC65C">
            <w:pPr>
              <w:pStyle w:val="161"/>
              <w:numPr>
                <w:ilvl w:val="0"/>
                <w:numId w:val="28"/>
              </w:numPr>
              <w:spacing w:line="360" w:lineRule="auto"/>
              <w:ind w:firstLine="480" w:firstLineChars="200"/>
              <w:jc w:val="both"/>
              <w:rPr>
                <w:rFonts w:ascii="Times New Roman"/>
                <w:color w:val="auto"/>
                <w:sz w:val="24"/>
              </w:rPr>
            </w:pPr>
            <w:r>
              <w:rPr>
                <w:rFonts w:hint="eastAsia" w:ascii="Times New Roman"/>
                <w:color w:val="auto"/>
                <w:sz w:val="24"/>
              </w:rPr>
              <w:t>生活垃圾</w:t>
            </w:r>
          </w:p>
          <w:p w14:paraId="1CB397B8">
            <w:pPr>
              <w:ind w:firstLine="482"/>
              <w:rPr>
                <w:color w:val="auto"/>
              </w:rPr>
            </w:pPr>
            <w:r>
              <w:rPr>
                <w:rFonts w:hint="eastAsia"/>
                <w:color w:val="auto"/>
              </w:rPr>
              <w:t>办公过程中产生的</w:t>
            </w:r>
            <w:r>
              <w:rPr>
                <w:color w:val="auto"/>
              </w:rPr>
              <w:t>生活垃圾根据劳动定员，</w:t>
            </w:r>
            <w:r>
              <w:rPr>
                <w:rFonts w:hint="eastAsia"/>
                <w:color w:val="auto"/>
              </w:rPr>
              <w:t>本项目</w:t>
            </w:r>
            <w:r>
              <w:rPr>
                <w:rFonts w:hint="eastAsia"/>
                <w:color w:val="auto"/>
                <w:lang w:val="en-US" w:eastAsia="zh-CN"/>
              </w:rPr>
              <w:t>新增</w:t>
            </w:r>
            <w:r>
              <w:rPr>
                <w:rFonts w:hint="eastAsia"/>
                <w:color w:val="auto"/>
              </w:rPr>
              <w:t>劳动</w:t>
            </w:r>
            <w:r>
              <w:rPr>
                <w:color w:val="auto"/>
              </w:rPr>
              <w:t>定员</w:t>
            </w:r>
            <w:r>
              <w:rPr>
                <w:rFonts w:hint="eastAsia"/>
                <w:color w:val="auto"/>
                <w:lang w:val="en-US" w:eastAsia="zh-CN"/>
              </w:rPr>
              <w:t>3</w:t>
            </w:r>
            <w:r>
              <w:rPr>
                <w:rFonts w:hint="eastAsia"/>
                <w:color w:val="auto"/>
              </w:rPr>
              <w:t>0人</w:t>
            </w:r>
            <w:r>
              <w:rPr>
                <w:rFonts w:hint="eastAsia"/>
                <w:color w:val="auto"/>
                <w:lang w:val="en-US" w:eastAsia="zh-CN"/>
              </w:rPr>
              <w:t>，</w:t>
            </w:r>
            <w:r>
              <w:rPr>
                <w:color w:val="auto"/>
              </w:rPr>
              <w:t>生活垃圾产生量按照0.5kg/人•天，生活垃圾约为</w:t>
            </w:r>
            <w:r>
              <w:rPr>
                <w:rFonts w:hint="eastAsia"/>
                <w:color w:val="auto"/>
              </w:rPr>
              <w:t>4.5</w:t>
            </w:r>
            <w:r>
              <w:rPr>
                <w:color w:val="auto"/>
              </w:rPr>
              <w:t>t/a，交由</w:t>
            </w:r>
            <w:r>
              <w:rPr>
                <w:rFonts w:hint="eastAsia"/>
                <w:color w:val="auto"/>
              </w:rPr>
              <w:t>环卫</w:t>
            </w:r>
            <w:r>
              <w:rPr>
                <w:color w:val="auto"/>
              </w:rPr>
              <w:t>部门</w:t>
            </w:r>
            <w:r>
              <w:rPr>
                <w:rFonts w:hint="eastAsia"/>
                <w:color w:val="auto"/>
              </w:rPr>
              <w:t>处理</w:t>
            </w:r>
            <w:r>
              <w:rPr>
                <w:color w:val="auto"/>
              </w:rPr>
              <w:t>。</w:t>
            </w:r>
          </w:p>
          <w:p w14:paraId="0606865D">
            <w:pPr>
              <w:pStyle w:val="161"/>
              <w:numPr>
                <w:ilvl w:val="0"/>
                <w:numId w:val="28"/>
              </w:numPr>
              <w:spacing w:line="360" w:lineRule="auto"/>
              <w:ind w:firstLine="480" w:firstLineChars="200"/>
              <w:jc w:val="both"/>
              <w:rPr>
                <w:rFonts w:ascii="Times New Roman"/>
                <w:color w:val="auto"/>
                <w:sz w:val="24"/>
              </w:rPr>
            </w:pPr>
            <w:r>
              <w:rPr>
                <w:rFonts w:hint="eastAsia" w:ascii="Times New Roman"/>
                <w:color w:val="auto"/>
                <w:sz w:val="24"/>
              </w:rPr>
              <w:t>一般工业固废</w:t>
            </w:r>
          </w:p>
          <w:p w14:paraId="2D3CE612">
            <w:pPr>
              <w:pStyle w:val="161"/>
              <w:spacing w:line="360" w:lineRule="auto"/>
              <w:ind w:firstLine="480" w:firstLineChars="200"/>
              <w:jc w:val="both"/>
              <w:rPr>
                <w:rFonts w:hint="default" w:ascii="Times New Roman" w:eastAsia="宋体"/>
                <w:color w:val="auto"/>
                <w:sz w:val="24"/>
                <w:lang w:val="en-US" w:eastAsia="zh-CN"/>
              </w:rPr>
            </w:pPr>
            <w:r>
              <w:rPr>
                <w:rFonts w:hint="eastAsia" w:ascii="Times New Roman"/>
                <w:color w:val="auto"/>
                <w:sz w:val="24"/>
              </w:rPr>
              <w:t>①边角</w:t>
            </w:r>
            <w:r>
              <w:rPr>
                <w:rFonts w:hint="eastAsia" w:ascii="Times New Roman"/>
                <w:color w:val="auto"/>
                <w:sz w:val="24"/>
                <w:lang w:val="en-US" w:eastAsia="zh-CN"/>
              </w:rPr>
              <w:t>料</w:t>
            </w:r>
          </w:p>
          <w:p w14:paraId="51CD5782">
            <w:pPr>
              <w:pStyle w:val="161"/>
              <w:spacing w:line="360" w:lineRule="auto"/>
              <w:ind w:firstLine="480" w:firstLineChars="200"/>
              <w:jc w:val="both"/>
              <w:rPr>
                <w:rFonts w:ascii="Times New Roman"/>
                <w:color w:val="auto"/>
                <w:sz w:val="24"/>
              </w:rPr>
            </w:pPr>
            <w:r>
              <w:rPr>
                <w:rFonts w:hint="eastAsia" w:ascii="Times New Roman"/>
                <w:color w:val="auto"/>
                <w:sz w:val="24"/>
              </w:rPr>
              <w:t>本项目</w:t>
            </w:r>
            <w:r>
              <w:rPr>
                <w:rFonts w:hint="eastAsia" w:ascii="Times New Roman"/>
                <w:color w:val="auto"/>
                <w:sz w:val="24"/>
                <w:lang w:val="en-US" w:eastAsia="zh-CN"/>
              </w:rPr>
              <w:t>精加工切割</w:t>
            </w:r>
            <w:r>
              <w:rPr>
                <w:rFonts w:hint="eastAsia" w:ascii="Times New Roman"/>
                <w:color w:val="auto"/>
                <w:sz w:val="24"/>
              </w:rPr>
              <w:t>过程中会产生</w:t>
            </w:r>
            <w:r>
              <w:rPr>
                <w:rFonts w:hint="eastAsia" w:ascii="Times New Roman"/>
                <w:color w:val="auto"/>
                <w:sz w:val="24"/>
                <w:lang w:val="en-US" w:eastAsia="zh-CN"/>
              </w:rPr>
              <w:t>铝</w:t>
            </w:r>
            <w:r>
              <w:rPr>
                <w:rFonts w:hint="eastAsia" w:ascii="Times New Roman"/>
                <w:color w:val="auto"/>
                <w:sz w:val="24"/>
              </w:rPr>
              <w:t>边角料，根据业主提供资料，边角料产生量约为产品量的3%</w:t>
            </w:r>
            <w:r>
              <w:rPr>
                <w:rFonts w:hint="eastAsia" w:ascii="Times New Roman"/>
                <w:color w:val="auto"/>
                <w:sz w:val="24"/>
                <w:lang w:eastAsia="zh-CN"/>
              </w:rPr>
              <w:t>，</w:t>
            </w:r>
            <w:r>
              <w:rPr>
                <w:rFonts w:hint="eastAsia" w:ascii="Times New Roman"/>
                <w:color w:val="auto"/>
                <w:sz w:val="24"/>
                <w:lang w:val="en-US" w:eastAsia="zh-CN"/>
              </w:rPr>
              <w:t>本项目产能约为8000t/a，边角料产生量为240t/a</w:t>
            </w:r>
            <w:r>
              <w:rPr>
                <w:rFonts w:hint="eastAsia" w:ascii="Times New Roman"/>
                <w:color w:val="auto"/>
                <w:sz w:val="24"/>
              </w:rPr>
              <w:t>。收集后暂存于</w:t>
            </w:r>
            <w:r>
              <w:rPr>
                <w:rFonts w:hint="eastAsia" w:ascii="Times New Roman"/>
                <w:color w:val="auto"/>
                <w:sz w:val="24"/>
                <w:lang w:val="en-US" w:eastAsia="zh-CN"/>
              </w:rPr>
              <w:t>一般固废</w:t>
            </w:r>
            <w:r>
              <w:rPr>
                <w:rFonts w:hint="eastAsia"/>
                <w:b w:val="0"/>
                <w:color w:val="auto"/>
                <w:sz w:val="24"/>
                <w:lang w:val="en-US" w:eastAsia="zh-CN"/>
              </w:rPr>
              <w:t>库</w:t>
            </w:r>
            <w:r>
              <w:rPr>
                <w:rFonts w:hint="eastAsia" w:ascii="Times New Roman"/>
                <w:color w:val="auto"/>
                <w:sz w:val="24"/>
              </w:rPr>
              <w:t>，定期</w:t>
            </w:r>
            <w:r>
              <w:rPr>
                <w:rFonts w:hint="eastAsia"/>
                <w:color w:val="auto"/>
                <w:sz w:val="24"/>
              </w:rPr>
              <w:t>外售</w:t>
            </w:r>
            <w:r>
              <w:rPr>
                <w:rFonts w:hint="eastAsia" w:ascii="Times New Roman"/>
                <w:color w:val="auto"/>
                <w:sz w:val="24"/>
              </w:rPr>
              <w:t>。</w:t>
            </w:r>
          </w:p>
          <w:p w14:paraId="01B4A686">
            <w:pPr>
              <w:pStyle w:val="161"/>
              <w:spacing w:line="360" w:lineRule="auto"/>
              <w:ind w:firstLine="480" w:firstLineChars="200"/>
              <w:jc w:val="both"/>
              <w:rPr>
                <w:rFonts w:hint="default" w:ascii="Times New Roman" w:eastAsia="宋体"/>
                <w:color w:val="auto"/>
                <w:sz w:val="24"/>
                <w:lang w:val="en-US" w:eastAsia="zh-CN"/>
              </w:rPr>
            </w:pPr>
            <w:r>
              <w:rPr>
                <w:rFonts w:hint="eastAsia" w:ascii="Times New Roman"/>
                <w:color w:val="auto"/>
                <w:sz w:val="24"/>
              </w:rPr>
              <w:t>②</w:t>
            </w:r>
            <w:r>
              <w:rPr>
                <w:rFonts w:hint="eastAsia" w:ascii="Times New Roman"/>
                <w:color w:val="auto"/>
                <w:sz w:val="24"/>
                <w:lang w:val="en-US" w:eastAsia="zh-CN"/>
              </w:rPr>
              <w:t>不合格品</w:t>
            </w:r>
          </w:p>
          <w:p w14:paraId="1472DD30">
            <w:pPr>
              <w:pStyle w:val="417"/>
              <w:ind w:firstLine="480" w:firstLineChars="200"/>
              <w:jc w:val="both"/>
              <w:rPr>
                <w:rFonts w:hint="eastAsia"/>
                <w:b w:val="0"/>
                <w:bCs/>
                <w:color w:val="auto"/>
                <w:sz w:val="24"/>
              </w:rPr>
            </w:pPr>
            <w:r>
              <w:rPr>
                <w:rFonts w:hint="eastAsia" w:ascii="Times New Roman"/>
                <w:b w:val="0"/>
                <w:bCs/>
                <w:color w:val="auto"/>
                <w:sz w:val="24"/>
              </w:rPr>
              <w:t>本项目</w:t>
            </w:r>
            <w:r>
              <w:rPr>
                <w:rFonts w:hint="eastAsia"/>
                <w:b w:val="0"/>
                <w:bCs/>
                <w:color w:val="auto"/>
                <w:sz w:val="24"/>
                <w:lang w:val="en-US" w:eastAsia="zh-CN"/>
              </w:rPr>
              <w:t>质检过程中会产生不合格品，</w:t>
            </w:r>
            <w:r>
              <w:rPr>
                <w:rFonts w:hint="eastAsia"/>
                <w:b w:val="0"/>
                <w:color w:val="auto"/>
                <w:sz w:val="24"/>
              </w:rPr>
              <w:t>根据建设单位提供的资料，不合格品产生量</w:t>
            </w:r>
            <w:r>
              <w:rPr>
                <w:rFonts w:hint="eastAsia"/>
                <w:b w:val="0"/>
                <w:color w:val="auto"/>
                <w:sz w:val="24"/>
                <w:lang w:val="en-US" w:eastAsia="zh-CN"/>
              </w:rPr>
              <w:t>约占</w:t>
            </w:r>
            <w:r>
              <w:rPr>
                <w:rFonts w:hint="eastAsia"/>
                <w:b w:val="0"/>
                <w:color w:val="auto"/>
                <w:sz w:val="24"/>
              </w:rPr>
              <w:t>产能的0.</w:t>
            </w:r>
            <w:r>
              <w:rPr>
                <w:rFonts w:hint="eastAsia"/>
                <w:b w:val="0"/>
                <w:color w:val="auto"/>
                <w:sz w:val="24"/>
                <w:lang w:val="en-US" w:eastAsia="zh-CN"/>
              </w:rPr>
              <w:t>2</w:t>
            </w:r>
            <w:r>
              <w:rPr>
                <w:rFonts w:hint="eastAsia"/>
                <w:b w:val="0"/>
                <w:color w:val="auto"/>
                <w:sz w:val="24"/>
              </w:rPr>
              <w:t>%，</w:t>
            </w:r>
            <w:r>
              <w:rPr>
                <w:rFonts w:hint="eastAsia" w:ascii="Times New Roman"/>
                <w:b w:val="0"/>
                <w:bCs/>
                <w:color w:val="auto"/>
                <w:sz w:val="24"/>
                <w:lang w:val="en-US" w:eastAsia="zh-CN"/>
              </w:rPr>
              <w:t>本项目</w:t>
            </w:r>
            <w:r>
              <w:rPr>
                <w:rFonts w:hint="eastAsia"/>
                <w:b w:val="0"/>
                <w:color w:val="auto"/>
                <w:sz w:val="24"/>
              </w:rPr>
              <w:t>不合格品产生量</w:t>
            </w:r>
            <w:r>
              <w:rPr>
                <w:rFonts w:hint="eastAsia" w:ascii="Times New Roman"/>
                <w:b w:val="0"/>
                <w:bCs/>
                <w:color w:val="auto"/>
                <w:sz w:val="24"/>
                <w:lang w:val="en-US" w:eastAsia="zh-CN"/>
              </w:rPr>
              <w:t>为</w:t>
            </w:r>
            <w:r>
              <w:rPr>
                <w:rFonts w:hint="eastAsia"/>
                <w:b w:val="0"/>
                <w:bCs/>
                <w:color w:val="auto"/>
                <w:sz w:val="24"/>
                <w:lang w:val="en-US" w:eastAsia="zh-CN"/>
              </w:rPr>
              <w:t>16</w:t>
            </w:r>
            <w:r>
              <w:rPr>
                <w:rFonts w:hint="eastAsia" w:ascii="Times New Roman"/>
                <w:b w:val="0"/>
                <w:bCs/>
                <w:color w:val="auto"/>
                <w:sz w:val="24"/>
                <w:lang w:val="en-US" w:eastAsia="zh-CN"/>
              </w:rPr>
              <w:t>t/a</w:t>
            </w:r>
            <w:r>
              <w:rPr>
                <w:rFonts w:hint="eastAsia"/>
                <w:b w:val="0"/>
                <w:color w:val="auto"/>
                <w:sz w:val="24"/>
              </w:rPr>
              <w:t>。收集后暂存于一般固废</w:t>
            </w:r>
            <w:r>
              <w:rPr>
                <w:rFonts w:hint="eastAsia"/>
                <w:b w:val="0"/>
                <w:color w:val="auto"/>
                <w:sz w:val="24"/>
                <w:lang w:val="en-US" w:eastAsia="zh-CN"/>
              </w:rPr>
              <w:t>库</w:t>
            </w:r>
            <w:r>
              <w:rPr>
                <w:rFonts w:hint="eastAsia"/>
                <w:b w:val="0"/>
                <w:color w:val="auto"/>
                <w:sz w:val="24"/>
              </w:rPr>
              <w:t>，定期外售。</w:t>
            </w:r>
          </w:p>
          <w:p w14:paraId="285EAC78">
            <w:pPr>
              <w:pStyle w:val="417"/>
              <w:ind w:firstLine="480" w:firstLineChars="200"/>
              <w:jc w:val="both"/>
              <w:rPr>
                <w:rFonts w:hint="eastAsia"/>
                <w:b w:val="0"/>
                <w:bCs/>
                <w:color w:val="auto"/>
                <w:sz w:val="24"/>
              </w:rPr>
            </w:pPr>
            <w:r>
              <w:rPr>
                <w:rFonts w:hint="eastAsia"/>
                <w:b w:val="0"/>
                <w:bCs/>
                <w:color w:val="auto"/>
                <w:sz w:val="24"/>
                <w:lang w:val="en-US" w:eastAsia="zh-CN"/>
              </w:rPr>
              <w:t>③</w:t>
            </w:r>
            <w:r>
              <w:rPr>
                <w:rFonts w:hint="eastAsia"/>
                <w:b w:val="0"/>
                <w:bCs/>
                <w:color w:val="auto"/>
                <w:sz w:val="24"/>
              </w:rPr>
              <w:t>废</w:t>
            </w:r>
            <w:r>
              <w:rPr>
                <w:rFonts w:hint="eastAsia"/>
                <w:b w:val="0"/>
                <w:bCs/>
                <w:color w:val="auto"/>
                <w:sz w:val="24"/>
                <w:lang w:val="en-US" w:eastAsia="zh-CN"/>
              </w:rPr>
              <w:t>布</w:t>
            </w:r>
            <w:r>
              <w:rPr>
                <w:rFonts w:hint="eastAsia"/>
                <w:b w:val="0"/>
                <w:bCs/>
                <w:color w:val="auto"/>
                <w:sz w:val="24"/>
              </w:rPr>
              <w:t>袋</w:t>
            </w:r>
          </w:p>
          <w:p w14:paraId="1E48D1B2">
            <w:pPr>
              <w:pStyle w:val="417"/>
              <w:ind w:firstLine="480" w:firstLineChars="200"/>
              <w:jc w:val="both"/>
              <w:rPr>
                <w:rFonts w:hint="default" w:ascii="Times New Roman" w:hAnsi="Times New Roman" w:eastAsia="宋体" w:cs="宋体"/>
                <w:b w:val="0"/>
                <w:bCs/>
                <w:color w:val="auto"/>
                <w:sz w:val="24"/>
                <w:lang w:val="en-US" w:eastAsia="zh-CN"/>
              </w:rPr>
            </w:pPr>
            <w:r>
              <w:rPr>
                <w:rFonts w:hint="eastAsia"/>
                <w:b w:val="0"/>
                <w:color w:val="auto"/>
                <w:sz w:val="24"/>
              </w:rPr>
              <w:t>根据建设单位提供的资料，</w:t>
            </w:r>
            <w:r>
              <w:rPr>
                <w:rFonts w:hint="eastAsia"/>
                <w:b w:val="0"/>
                <w:color w:val="auto"/>
                <w:sz w:val="24"/>
                <w:lang w:val="en-US" w:eastAsia="zh-CN"/>
              </w:rPr>
              <w:t>废</w:t>
            </w:r>
            <w:r>
              <w:rPr>
                <w:rFonts w:hint="eastAsia"/>
                <w:b w:val="0"/>
                <w:bCs/>
                <w:color w:val="auto"/>
                <w:sz w:val="24"/>
                <w:lang w:val="en-US" w:eastAsia="zh-CN"/>
              </w:rPr>
              <w:t>布</w:t>
            </w:r>
            <w:r>
              <w:rPr>
                <w:rFonts w:hint="eastAsia"/>
                <w:b w:val="0"/>
                <w:bCs/>
                <w:color w:val="auto"/>
                <w:sz w:val="24"/>
              </w:rPr>
              <w:t>袋主要产生于</w:t>
            </w:r>
            <w:r>
              <w:rPr>
                <w:rFonts w:hint="eastAsia"/>
                <w:b w:val="0"/>
                <w:bCs/>
                <w:color w:val="auto"/>
                <w:sz w:val="24"/>
                <w:lang w:val="en-US" w:eastAsia="zh-CN"/>
              </w:rPr>
              <w:t>更换除尘装置</w:t>
            </w:r>
            <w:r>
              <w:rPr>
                <w:rFonts w:hint="eastAsia"/>
                <w:b w:val="0"/>
                <w:bCs/>
                <w:color w:val="auto"/>
                <w:sz w:val="24"/>
              </w:rPr>
              <w:t>过程，</w:t>
            </w:r>
            <w:r>
              <w:rPr>
                <w:rFonts w:hint="eastAsia"/>
                <w:b w:val="0"/>
                <w:color w:val="auto"/>
                <w:sz w:val="24"/>
              </w:rPr>
              <w:t>产生量为0.0</w:t>
            </w:r>
            <w:r>
              <w:rPr>
                <w:rFonts w:hint="eastAsia"/>
                <w:b w:val="0"/>
                <w:color w:val="auto"/>
                <w:sz w:val="24"/>
                <w:lang w:val="en-US" w:eastAsia="zh-CN"/>
              </w:rPr>
              <w:t>5</w:t>
            </w:r>
            <w:r>
              <w:rPr>
                <w:b w:val="0"/>
                <w:color w:val="auto"/>
                <w:sz w:val="24"/>
              </w:rPr>
              <w:t>t/a</w:t>
            </w:r>
            <w:r>
              <w:rPr>
                <w:rFonts w:hint="eastAsia"/>
                <w:b w:val="0"/>
                <w:color w:val="auto"/>
                <w:sz w:val="24"/>
              </w:rPr>
              <w:t>，收集后外售</w:t>
            </w:r>
            <w:r>
              <w:rPr>
                <w:rFonts w:hint="eastAsia"/>
                <w:b w:val="0"/>
                <w:bCs/>
                <w:color w:val="auto"/>
                <w:sz w:val="24"/>
              </w:rPr>
              <w:t>。</w:t>
            </w:r>
          </w:p>
          <w:p w14:paraId="4A5E0C9A">
            <w:pPr>
              <w:pStyle w:val="161"/>
              <w:spacing w:line="360" w:lineRule="auto"/>
              <w:ind w:firstLine="480" w:firstLineChars="200"/>
              <w:jc w:val="both"/>
              <w:rPr>
                <w:color w:val="auto"/>
                <w:sz w:val="24"/>
              </w:rPr>
            </w:pPr>
            <w:r>
              <w:rPr>
                <w:rFonts w:hint="eastAsia" w:ascii="Times New Roman"/>
                <w:color w:val="auto"/>
                <w:sz w:val="24"/>
              </w:rPr>
              <w:t>（2）危险废物</w:t>
            </w:r>
          </w:p>
          <w:p w14:paraId="6AC18418">
            <w:pPr>
              <w:pStyle w:val="126"/>
              <w:jc w:val="both"/>
              <w:rPr>
                <w:rFonts w:hint="eastAsia"/>
                <w:color w:val="auto"/>
                <w:sz w:val="24"/>
                <w:lang w:val="en-US" w:eastAsia="zh-CN"/>
              </w:rPr>
            </w:pPr>
            <w:r>
              <w:rPr>
                <w:rFonts w:hint="eastAsia"/>
                <w:color w:val="auto"/>
                <w:sz w:val="24"/>
                <w:lang w:val="en-US" w:eastAsia="zh-CN"/>
              </w:rPr>
              <w:t>①</w:t>
            </w:r>
            <w:r>
              <w:rPr>
                <w:rFonts w:hint="eastAsia"/>
                <w:color w:val="auto"/>
                <w:sz w:val="24"/>
              </w:rPr>
              <w:t>废</w:t>
            </w:r>
            <w:r>
              <w:rPr>
                <w:rFonts w:hint="eastAsia"/>
                <w:color w:val="auto"/>
                <w:sz w:val="24"/>
                <w:lang w:val="en-US" w:eastAsia="zh-CN"/>
              </w:rPr>
              <w:t>润滑油</w:t>
            </w:r>
          </w:p>
          <w:p w14:paraId="171967F3">
            <w:pPr>
              <w:pStyle w:val="126"/>
              <w:jc w:val="both"/>
              <w:rPr>
                <w:rFonts w:hint="eastAsia"/>
                <w:b w:val="0"/>
                <w:bCs/>
                <w:color w:val="auto"/>
                <w:sz w:val="24"/>
                <w:lang w:val="en-US" w:eastAsia="zh-CN"/>
              </w:rPr>
            </w:pPr>
            <w:r>
              <w:rPr>
                <w:rFonts w:hint="eastAsia"/>
                <w:b w:val="0"/>
                <w:color w:val="auto"/>
                <w:sz w:val="24"/>
              </w:rPr>
              <w:t>根据建设单位提供的资料，</w:t>
            </w:r>
            <w:r>
              <w:rPr>
                <w:rFonts w:hint="eastAsia"/>
                <w:b w:val="0"/>
                <w:bCs/>
                <w:color w:val="auto"/>
                <w:sz w:val="24"/>
              </w:rPr>
              <w:t>废</w:t>
            </w:r>
            <w:r>
              <w:rPr>
                <w:rFonts w:hint="eastAsia"/>
                <w:color w:val="auto"/>
                <w:sz w:val="24"/>
                <w:lang w:val="en-US" w:eastAsia="zh-CN"/>
              </w:rPr>
              <w:t>润滑油</w:t>
            </w:r>
            <w:r>
              <w:rPr>
                <w:rFonts w:hint="eastAsia"/>
                <w:b w:val="0"/>
                <w:bCs/>
                <w:color w:val="auto"/>
                <w:sz w:val="24"/>
              </w:rPr>
              <w:t>主要产生于</w:t>
            </w:r>
            <w:r>
              <w:rPr>
                <w:rFonts w:hint="eastAsia"/>
                <w:b w:val="0"/>
                <w:bCs/>
                <w:color w:val="auto"/>
                <w:sz w:val="24"/>
                <w:lang w:val="en-US" w:eastAsia="zh-CN"/>
              </w:rPr>
              <w:t>更换润滑油，每年更换一次，本项目产生量为0.02t/a。</w:t>
            </w:r>
          </w:p>
          <w:p w14:paraId="6F592E07">
            <w:pPr>
              <w:pStyle w:val="126"/>
              <w:jc w:val="both"/>
              <w:rPr>
                <w:rFonts w:hint="eastAsia"/>
                <w:b w:val="0"/>
                <w:bCs/>
                <w:color w:val="auto"/>
                <w:sz w:val="24"/>
                <w:lang w:val="en-US" w:eastAsia="zh-CN"/>
              </w:rPr>
            </w:pPr>
            <w:r>
              <w:rPr>
                <w:rFonts w:hint="eastAsia"/>
                <w:b w:val="0"/>
                <w:bCs/>
                <w:color w:val="auto"/>
                <w:sz w:val="24"/>
                <w:lang w:val="en-US" w:eastAsia="zh-CN"/>
              </w:rPr>
              <w:t>②废包装桶</w:t>
            </w:r>
          </w:p>
          <w:p w14:paraId="69D0D580">
            <w:pPr>
              <w:pStyle w:val="126"/>
              <w:jc w:val="both"/>
              <w:rPr>
                <w:rFonts w:hint="eastAsia" w:eastAsia="宋体"/>
                <w:color w:val="auto"/>
                <w:sz w:val="24"/>
                <w:lang w:val="en-US" w:eastAsia="zh-CN"/>
              </w:rPr>
            </w:pPr>
            <w:r>
              <w:rPr>
                <w:rFonts w:hint="eastAsia"/>
                <w:b w:val="0"/>
                <w:color w:val="auto"/>
                <w:sz w:val="24"/>
              </w:rPr>
              <w:t>根据建设单位提供的资料，</w:t>
            </w:r>
            <w:r>
              <w:rPr>
                <w:rFonts w:hint="eastAsia"/>
                <w:b w:val="0"/>
                <w:bCs/>
                <w:color w:val="auto"/>
                <w:sz w:val="24"/>
                <w:lang w:val="en-US" w:eastAsia="zh-CN"/>
              </w:rPr>
              <w:t>废包装桶</w:t>
            </w:r>
            <w:r>
              <w:rPr>
                <w:rFonts w:hint="eastAsia"/>
                <w:b w:val="0"/>
                <w:bCs/>
                <w:color w:val="auto"/>
                <w:sz w:val="24"/>
              </w:rPr>
              <w:t>主要产生于</w:t>
            </w:r>
            <w:r>
              <w:rPr>
                <w:rFonts w:hint="eastAsia"/>
                <w:b w:val="0"/>
                <w:bCs/>
                <w:color w:val="auto"/>
                <w:sz w:val="24"/>
                <w:lang w:val="en-US" w:eastAsia="zh-CN"/>
              </w:rPr>
              <w:t>液体桶装辅料使用</w:t>
            </w:r>
            <w:r>
              <w:rPr>
                <w:rFonts w:hint="eastAsia"/>
                <w:b w:val="0"/>
                <w:bCs/>
                <w:color w:val="auto"/>
                <w:sz w:val="24"/>
              </w:rPr>
              <w:t>过程，</w:t>
            </w:r>
            <w:r>
              <w:rPr>
                <w:rFonts w:hint="eastAsia"/>
                <w:b w:val="0"/>
                <w:color w:val="auto"/>
                <w:sz w:val="24"/>
              </w:rPr>
              <w:t>产生量为0.0</w:t>
            </w:r>
            <w:r>
              <w:rPr>
                <w:rFonts w:hint="eastAsia"/>
                <w:b w:val="0"/>
                <w:color w:val="auto"/>
                <w:sz w:val="24"/>
                <w:lang w:val="en-US" w:eastAsia="zh-CN"/>
              </w:rPr>
              <w:t>2</w:t>
            </w:r>
            <w:r>
              <w:rPr>
                <w:b w:val="0"/>
                <w:color w:val="auto"/>
                <w:sz w:val="24"/>
              </w:rPr>
              <w:t>t/a</w:t>
            </w:r>
            <w:r>
              <w:rPr>
                <w:rFonts w:hint="eastAsia"/>
                <w:b w:val="0"/>
                <w:color w:val="auto"/>
                <w:sz w:val="24"/>
                <w:lang w:eastAsia="zh-CN"/>
              </w:rPr>
              <w:t>。</w:t>
            </w:r>
          </w:p>
          <w:p w14:paraId="36E518A4">
            <w:pPr>
              <w:pStyle w:val="126"/>
              <w:jc w:val="both"/>
              <w:rPr>
                <w:rFonts w:hint="eastAsia"/>
                <w:color w:val="auto"/>
                <w:sz w:val="24"/>
                <w:lang w:val="en-US" w:eastAsia="zh-CN"/>
              </w:rPr>
            </w:pPr>
            <w:r>
              <w:rPr>
                <w:rFonts w:hint="eastAsia"/>
                <w:color w:val="auto"/>
                <w:sz w:val="24"/>
                <w:lang w:val="en-US" w:eastAsia="zh-CN"/>
              </w:rPr>
              <w:t>③废切削液</w:t>
            </w:r>
          </w:p>
          <w:p w14:paraId="039A565B">
            <w:pPr>
              <w:pStyle w:val="126"/>
              <w:jc w:val="both"/>
              <w:rPr>
                <w:rFonts w:hint="default"/>
                <w:color w:val="auto"/>
                <w:sz w:val="24"/>
                <w:lang w:val="en-US" w:eastAsia="zh-CN"/>
              </w:rPr>
            </w:pPr>
            <w:r>
              <w:rPr>
                <w:rFonts w:hint="eastAsia"/>
                <w:color w:val="auto"/>
                <w:sz w:val="24"/>
                <w:lang w:val="en-US" w:eastAsia="zh-CN"/>
              </w:rPr>
              <w:t>本项目切削液循环使用，定期外排，每年排放一次，排放量为0.5t/a。</w:t>
            </w:r>
          </w:p>
          <w:p w14:paraId="54EE28CF">
            <w:pPr>
              <w:pStyle w:val="126"/>
              <w:jc w:val="both"/>
              <w:rPr>
                <w:rFonts w:hint="eastAsia" w:eastAsia="宋体"/>
                <w:color w:val="auto"/>
                <w:sz w:val="24"/>
                <w:lang w:eastAsia="zh-CN"/>
              </w:rPr>
            </w:pPr>
            <w:r>
              <w:rPr>
                <w:rFonts w:hint="eastAsia"/>
                <w:color w:val="auto"/>
                <w:sz w:val="24"/>
                <w:lang w:val="en-US" w:eastAsia="zh-CN"/>
              </w:rPr>
              <w:t>④</w:t>
            </w:r>
            <w:r>
              <w:rPr>
                <w:rFonts w:hint="eastAsia"/>
                <w:color w:val="auto"/>
                <w:sz w:val="24"/>
                <w:lang w:eastAsia="zh-CN"/>
              </w:rPr>
              <w:t>铝熔炼烟尘</w:t>
            </w:r>
          </w:p>
          <w:p w14:paraId="69A959D7">
            <w:pPr>
              <w:pStyle w:val="126"/>
              <w:jc w:val="both"/>
              <w:rPr>
                <w:rFonts w:hint="eastAsia"/>
                <w:color w:val="auto"/>
                <w:sz w:val="24"/>
              </w:rPr>
            </w:pPr>
            <w:r>
              <w:rPr>
                <w:rFonts w:hint="eastAsia"/>
                <w:b w:val="0"/>
                <w:bCs/>
                <w:color w:val="auto"/>
                <w:sz w:val="24"/>
                <w:lang w:val="en-US" w:eastAsia="zh-CN"/>
              </w:rPr>
              <w:t>铝熔炼烟尘</w:t>
            </w:r>
            <w:r>
              <w:rPr>
                <w:rFonts w:hint="eastAsia"/>
                <w:b w:val="0"/>
                <w:bCs/>
                <w:color w:val="auto"/>
                <w:sz w:val="24"/>
              </w:rPr>
              <w:t>主要产生于</w:t>
            </w:r>
            <w:r>
              <w:rPr>
                <w:rFonts w:hint="eastAsia"/>
                <w:b w:val="0"/>
                <w:bCs/>
                <w:color w:val="auto"/>
                <w:sz w:val="24"/>
                <w:lang w:val="en-US" w:eastAsia="zh-CN"/>
              </w:rPr>
              <w:t>更换除尘装置</w:t>
            </w:r>
            <w:r>
              <w:rPr>
                <w:rFonts w:hint="eastAsia"/>
                <w:b w:val="0"/>
                <w:bCs/>
                <w:color w:val="auto"/>
                <w:sz w:val="24"/>
              </w:rPr>
              <w:t>过程，</w:t>
            </w:r>
            <w:r>
              <w:rPr>
                <w:rFonts w:hint="eastAsia"/>
                <w:b w:val="0"/>
                <w:bCs/>
                <w:color w:val="auto"/>
                <w:sz w:val="24"/>
                <w:lang w:val="en-US" w:eastAsia="zh-CN"/>
              </w:rPr>
              <w:t>根据收集的粉尘计算，</w:t>
            </w:r>
            <w:r>
              <w:rPr>
                <w:rFonts w:hint="eastAsia"/>
                <w:b w:val="0"/>
                <w:color w:val="auto"/>
                <w:sz w:val="24"/>
              </w:rPr>
              <w:t>产生量为</w:t>
            </w:r>
            <w:r>
              <w:rPr>
                <w:rFonts w:hint="eastAsia"/>
                <w:b w:val="0"/>
                <w:color w:val="auto"/>
                <w:sz w:val="24"/>
                <w:lang w:val="en-US" w:eastAsia="zh-CN"/>
              </w:rPr>
              <w:t>6.357</w:t>
            </w:r>
            <w:r>
              <w:rPr>
                <w:b w:val="0"/>
                <w:color w:val="auto"/>
                <w:sz w:val="24"/>
              </w:rPr>
              <w:t>t/a</w:t>
            </w:r>
            <w:r>
              <w:rPr>
                <w:rFonts w:hint="eastAsia"/>
                <w:b w:val="0"/>
                <w:color w:val="auto"/>
                <w:sz w:val="24"/>
              </w:rPr>
              <w:t>，</w:t>
            </w:r>
            <w:r>
              <w:rPr>
                <w:rFonts w:hint="eastAsia"/>
                <w:b w:val="0"/>
                <w:color w:val="auto"/>
                <w:sz w:val="24"/>
                <w:lang w:val="en-US" w:eastAsia="zh-CN"/>
              </w:rPr>
              <w:t>经暂存后交由有资质单位处置</w:t>
            </w:r>
            <w:r>
              <w:rPr>
                <w:rFonts w:hint="eastAsia"/>
                <w:b w:val="0"/>
                <w:bCs/>
                <w:color w:val="auto"/>
                <w:sz w:val="24"/>
              </w:rPr>
              <w:t>。</w:t>
            </w:r>
          </w:p>
          <w:p w14:paraId="1E3678CB">
            <w:pPr>
              <w:pStyle w:val="126"/>
              <w:jc w:val="both"/>
              <w:rPr>
                <w:rFonts w:hint="default" w:eastAsia="宋体"/>
                <w:color w:val="auto"/>
                <w:sz w:val="24"/>
                <w:lang w:val="en-US" w:eastAsia="zh-CN"/>
              </w:rPr>
            </w:pPr>
            <w:r>
              <w:rPr>
                <w:rFonts w:hint="eastAsia"/>
                <w:color w:val="auto"/>
                <w:sz w:val="24"/>
                <w:lang w:val="en-US" w:eastAsia="zh-CN"/>
              </w:rPr>
              <w:t>⑤铝灰渣</w:t>
            </w:r>
          </w:p>
          <w:p w14:paraId="0B5255E2">
            <w:pPr>
              <w:ind w:firstLine="480" w:firstLineChars="200"/>
              <w:rPr>
                <w:rFonts w:hint="eastAsia" w:eastAsia="宋体"/>
                <w:color w:val="auto"/>
                <w:lang w:val="en-US" w:eastAsia="zh-CN"/>
              </w:rPr>
            </w:pPr>
            <w:r>
              <w:rPr>
                <w:rFonts w:hint="eastAsia"/>
                <w:b w:val="0"/>
                <w:bCs/>
                <w:color w:val="auto"/>
              </w:rPr>
              <w:t>项目</w:t>
            </w:r>
            <w:r>
              <w:rPr>
                <w:rFonts w:hint="eastAsia"/>
                <w:b w:val="0"/>
                <w:bCs/>
                <w:color w:val="auto"/>
                <w:lang w:val="en-US" w:eastAsia="zh-CN"/>
              </w:rPr>
              <w:t>扒渣过程中产生铝灰渣</w:t>
            </w:r>
            <w:r>
              <w:rPr>
                <w:rFonts w:hint="eastAsia"/>
                <w:b w:val="0"/>
                <w:bCs/>
                <w:color w:val="auto"/>
              </w:rPr>
              <w:t>，根据建设单位提供数据</w:t>
            </w:r>
            <w:r>
              <w:rPr>
                <w:rFonts w:hint="eastAsia"/>
                <w:b w:val="0"/>
                <w:bCs/>
                <w:color w:val="auto"/>
                <w:lang w:eastAsia="zh-CN"/>
              </w:rPr>
              <w:t>，</w:t>
            </w:r>
            <w:r>
              <w:rPr>
                <w:rFonts w:hint="eastAsia"/>
                <w:b w:val="0"/>
                <w:bCs/>
                <w:color w:val="auto"/>
              </w:rPr>
              <w:t>铝材生产过程中废渣产生量为</w:t>
            </w:r>
            <w:r>
              <w:rPr>
                <w:rFonts w:hint="eastAsia"/>
                <w:b w:val="0"/>
                <w:bCs/>
                <w:color w:val="auto"/>
                <w:lang w:val="en-US" w:eastAsia="zh-CN"/>
              </w:rPr>
              <w:t>15</w:t>
            </w:r>
            <w:r>
              <w:rPr>
                <w:rFonts w:hint="eastAsia"/>
                <w:b w:val="0"/>
                <w:bCs/>
                <w:color w:val="auto"/>
              </w:rPr>
              <w:t>kg</w:t>
            </w:r>
            <w:r>
              <w:rPr>
                <w:b w:val="0"/>
                <w:bCs/>
                <w:color w:val="auto"/>
              </w:rPr>
              <w:t>/t</w:t>
            </w:r>
            <w:r>
              <w:rPr>
                <w:rFonts w:hint="eastAsia"/>
                <w:b w:val="0"/>
                <w:bCs/>
                <w:color w:val="auto"/>
              </w:rPr>
              <w:t>产品，</w:t>
            </w:r>
            <w:r>
              <w:rPr>
                <w:rFonts w:hint="eastAsia"/>
                <w:b w:val="0"/>
                <w:bCs/>
                <w:color w:val="auto"/>
                <w:lang w:val="en-US" w:eastAsia="zh-CN"/>
              </w:rPr>
              <w:t>本</w:t>
            </w:r>
            <w:r>
              <w:rPr>
                <w:rFonts w:hint="eastAsia"/>
                <w:b w:val="0"/>
                <w:bCs/>
                <w:color w:val="auto"/>
              </w:rPr>
              <w:t>项目年产</w:t>
            </w:r>
            <w:r>
              <w:rPr>
                <w:rFonts w:hint="eastAsia"/>
                <w:b w:val="0"/>
                <w:bCs/>
                <w:color w:val="auto"/>
                <w:lang w:val="en-US" w:eastAsia="zh-CN"/>
              </w:rPr>
              <w:t>8000</w:t>
            </w:r>
            <w:r>
              <w:rPr>
                <w:rFonts w:hint="eastAsia"/>
                <w:b w:val="0"/>
                <w:bCs/>
                <w:color w:val="auto"/>
              </w:rPr>
              <w:t>吨铝合金</w:t>
            </w:r>
            <w:r>
              <w:rPr>
                <w:rFonts w:hint="eastAsia"/>
                <w:b w:val="0"/>
                <w:bCs/>
                <w:color w:val="auto"/>
                <w:lang w:val="en-US" w:eastAsia="zh-CN"/>
              </w:rPr>
              <w:t>铸件，</w:t>
            </w:r>
            <w:r>
              <w:rPr>
                <w:rFonts w:hint="eastAsia"/>
                <w:b w:val="0"/>
                <w:bCs/>
                <w:color w:val="auto"/>
              </w:rPr>
              <w:t>则</w:t>
            </w:r>
            <w:r>
              <w:rPr>
                <w:rFonts w:hint="eastAsia"/>
                <w:color w:val="auto"/>
                <w:sz w:val="24"/>
                <w:lang w:val="en-US" w:eastAsia="zh-CN"/>
              </w:rPr>
              <w:t>铝</w:t>
            </w:r>
            <w:r>
              <w:rPr>
                <w:rFonts w:hint="eastAsia"/>
                <w:b w:val="0"/>
                <w:bCs/>
                <w:color w:val="auto"/>
              </w:rPr>
              <w:t>灰渣合计产生量为</w:t>
            </w:r>
            <w:r>
              <w:rPr>
                <w:rFonts w:hint="eastAsia"/>
                <w:b w:val="0"/>
                <w:bCs/>
                <w:color w:val="auto"/>
                <w:lang w:val="en-US" w:eastAsia="zh-CN"/>
              </w:rPr>
              <w:t>120</w:t>
            </w:r>
            <w:r>
              <w:rPr>
                <w:rFonts w:hint="eastAsia"/>
                <w:b w:val="0"/>
                <w:bCs/>
                <w:color w:val="auto"/>
              </w:rPr>
              <w:t>t</w:t>
            </w:r>
            <w:r>
              <w:rPr>
                <w:b w:val="0"/>
                <w:bCs/>
                <w:color w:val="auto"/>
              </w:rPr>
              <w:t>/a</w:t>
            </w:r>
            <w:r>
              <w:rPr>
                <w:rFonts w:hint="eastAsia"/>
                <w:b w:val="0"/>
                <w:bCs/>
                <w:color w:val="auto"/>
                <w:lang w:eastAsia="zh-CN"/>
              </w:rPr>
              <w:t>，</w:t>
            </w:r>
            <w:r>
              <w:rPr>
                <w:rFonts w:hint="eastAsia"/>
                <w:b w:val="0"/>
                <w:color w:val="auto"/>
                <w:sz w:val="24"/>
                <w:lang w:val="en-US" w:eastAsia="zh-CN"/>
              </w:rPr>
              <w:t>经暂存后交由有资质单位处置</w:t>
            </w:r>
            <w:r>
              <w:rPr>
                <w:rFonts w:hint="eastAsia"/>
                <w:b w:val="0"/>
                <w:bCs/>
                <w:color w:val="auto"/>
                <w:lang w:eastAsia="zh-CN"/>
              </w:rPr>
              <w:t>。</w:t>
            </w:r>
          </w:p>
          <w:p w14:paraId="22674B66">
            <w:pPr>
              <w:ind w:firstLine="480" w:firstLineChars="200"/>
              <w:rPr>
                <w:color w:val="auto"/>
              </w:rPr>
            </w:pPr>
            <w:r>
              <w:rPr>
                <w:rFonts w:hint="eastAsia"/>
                <w:color w:val="auto"/>
                <w:lang w:val="en-US" w:eastAsia="zh-CN"/>
              </w:rPr>
              <w:t>本</w:t>
            </w:r>
            <w:r>
              <w:rPr>
                <w:color w:val="auto"/>
              </w:rPr>
              <w:t>项目固体废物产生及</w:t>
            </w:r>
            <w:r>
              <w:rPr>
                <w:rFonts w:hint="eastAsia"/>
                <w:color w:val="auto"/>
              </w:rPr>
              <w:t>处置</w:t>
            </w:r>
            <w:r>
              <w:rPr>
                <w:color w:val="auto"/>
              </w:rPr>
              <w:t>情况如下表所示。</w:t>
            </w:r>
          </w:p>
          <w:p w14:paraId="09D3DD30">
            <w:pPr>
              <w:ind w:firstLine="482"/>
              <w:jc w:val="center"/>
              <w:rPr>
                <w:color w:val="auto"/>
              </w:rPr>
            </w:pPr>
            <w:r>
              <w:rPr>
                <w:rFonts w:eastAsia="黑体"/>
                <w:color w:val="auto"/>
              </w:rPr>
              <w:t>表4-</w:t>
            </w:r>
            <w:r>
              <w:rPr>
                <w:rFonts w:hint="eastAsia" w:eastAsia="黑体"/>
                <w:color w:val="auto"/>
              </w:rPr>
              <w:t>1</w:t>
            </w:r>
            <w:r>
              <w:rPr>
                <w:rFonts w:hint="eastAsia" w:eastAsia="黑体"/>
                <w:color w:val="auto"/>
                <w:lang w:val="en-US" w:eastAsia="zh-CN"/>
              </w:rPr>
              <w:t>8</w:t>
            </w:r>
            <w:r>
              <w:rPr>
                <w:rFonts w:hint="eastAsia" w:eastAsia="黑体"/>
                <w:color w:val="auto"/>
              </w:rPr>
              <w:t xml:space="preserve"> </w:t>
            </w:r>
            <w:r>
              <w:rPr>
                <w:rFonts w:eastAsia="黑体"/>
                <w:color w:val="auto"/>
              </w:rPr>
              <w:t xml:space="preserve"> </w:t>
            </w:r>
            <w:r>
              <w:rPr>
                <w:rFonts w:hint="eastAsia" w:eastAsia="黑体"/>
                <w:color w:val="auto"/>
                <w:lang w:val="en-US" w:eastAsia="zh-CN"/>
              </w:rPr>
              <w:t>本项目</w:t>
            </w:r>
            <w:r>
              <w:rPr>
                <w:rFonts w:eastAsia="黑体"/>
                <w:color w:val="auto"/>
              </w:rPr>
              <w:t>固体废物产生及处置情况  单位t/a</w:t>
            </w:r>
          </w:p>
          <w:tbl>
            <w:tblPr>
              <w:tblStyle w:val="69"/>
              <w:tblW w:w="4998" w:type="pct"/>
              <w:tblInd w:w="0" w:type="dxa"/>
              <w:tblLayout w:type="fixed"/>
              <w:tblCellMar>
                <w:top w:w="0" w:type="dxa"/>
                <w:left w:w="108" w:type="dxa"/>
                <w:bottom w:w="0" w:type="dxa"/>
                <w:right w:w="108" w:type="dxa"/>
              </w:tblCellMar>
            </w:tblPr>
            <w:tblGrid>
              <w:gridCol w:w="446"/>
              <w:gridCol w:w="572"/>
              <w:gridCol w:w="919"/>
              <w:gridCol w:w="701"/>
              <w:gridCol w:w="1161"/>
              <w:gridCol w:w="805"/>
              <w:gridCol w:w="625"/>
              <w:gridCol w:w="654"/>
              <w:gridCol w:w="999"/>
              <w:gridCol w:w="654"/>
              <w:gridCol w:w="872"/>
              <w:gridCol w:w="654"/>
            </w:tblGrid>
            <w:tr w14:paraId="59D776A6">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F2E5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序号</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7CA9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固体属性</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1E1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废物名称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D6B7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废物类别</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711B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废物代码</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BCCBA">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产生量（</w:t>
                  </w:r>
                  <w:r>
                    <w:rPr>
                      <w:color w:val="auto"/>
                      <w:kern w:val="0"/>
                      <w:sz w:val="18"/>
                      <w:szCs w:val="18"/>
                      <w:lang w:bidi="ar"/>
                    </w:rPr>
                    <w:t>t/a</w:t>
                  </w:r>
                  <w:r>
                    <w:rPr>
                      <w:rFonts w:hint="eastAsia" w:cs="宋体"/>
                      <w:color w:val="auto"/>
                      <w:kern w:val="0"/>
                      <w:sz w:val="18"/>
                      <w:szCs w:val="18"/>
                      <w:lang w:bidi="ar"/>
                    </w:rPr>
                    <w:t>）</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11BF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产生工序及装置</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B279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形态</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92A7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主要成分</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4C9C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贮存方式</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7984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危险特性</w:t>
                  </w:r>
                </w:p>
              </w:tc>
              <w:tc>
                <w:tcPr>
                  <w:tcW w:w="360" w:type="pct"/>
                  <w:tcBorders>
                    <w:top w:val="single" w:color="000000" w:sz="4" w:space="0"/>
                    <w:left w:val="single" w:color="000000" w:sz="4" w:space="0"/>
                    <w:bottom w:val="single" w:color="auto" w:sz="4" w:space="0"/>
                    <w:right w:val="single" w:color="000000" w:sz="4" w:space="0"/>
                  </w:tcBorders>
                  <w:shd w:val="clear" w:color="auto" w:fill="auto"/>
                  <w:vAlign w:val="center"/>
                </w:tcPr>
                <w:p w14:paraId="5706367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污染防治措施</w:t>
                  </w:r>
                </w:p>
              </w:tc>
            </w:tr>
            <w:tr w14:paraId="799F35ED">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2E242">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1</w:t>
                  </w:r>
                </w:p>
              </w:tc>
              <w:tc>
                <w:tcPr>
                  <w:tcW w:w="315" w:type="pct"/>
                  <w:vMerge w:val="restart"/>
                  <w:tcBorders>
                    <w:left w:val="single" w:color="000000" w:sz="4" w:space="0"/>
                    <w:right w:val="single" w:color="000000" w:sz="4" w:space="0"/>
                  </w:tcBorders>
                  <w:shd w:val="clear" w:color="auto" w:fill="auto"/>
                  <w:vAlign w:val="center"/>
                </w:tcPr>
                <w:p w14:paraId="751C3E8A">
                  <w:pPr>
                    <w:widowControl/>
                    <w:spacing w:line="240" w:lineRule="auto"/>
                    <w:jc w:val="center"/>
                    <w:rPr>
                      <w:rFonts w:hint="default" w:cs="宋体"/>
                      <w:color w:val="auto"/>
                      <w:sz w:val="18"/>
                      <w:szCs w:val="18"/>
                      <w:lang w:val="en-US" w:eastAsia="zh-CN"/>
                    </w:rPr>
                  </w:pPr>
                  <w:r>
                    <w:rPr>
                      <w:rFonts w:hint="eastAsia" w:cs="宋体"/>
                      <w:color w:val="auto"/>
                      <w:sz w:val="18"/>
                      <w:szCs w:val="18"/>
                      <w:lang w:val="en-US" w:eastAsia="zh-CN"/>
                    </w:rPr>
                    <w:t>一般固废</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7BA0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边角料</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59C89">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SW17</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556B7">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900-00</w:t>
                  </w:r>
                  <w:r>
                    <w:rPr>
                      <w:rFonts w:hint="eastAsia"/>
                      <w:color w:val="auto"/>
                      <w:kern w:val="0"/>
                      <w:sz w:val="18"/>
                      <w:szCs w:val="18"/>
                      <w:lang w:val="en-US" w:eastAsia="zh-CN" w:bidi="ar"/>
                    </w:rPr>
                    <w:t>2</w:t>
                  </w:r>
                  <w:r>
                    <w:rPr>
                      <w:rFonts w:hint="eastAsia"/>
                      <w:color w:val="auto"/>
                      <w:kern w:val="0"/>
                      <w:sz w:val="18"/>
                      <w:szCs w:val="18"/>
                      <w:lang w:bidi="ar"/>
                    </w:rPr>
                    <w:t>-S17</w:t>
                  </w:r>
                </w:p>
              </w:tc>
              <w:tc>
                <w:tcPr>
                  <w:tcW w:w="4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21F9">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240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8677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sz w:val="18"/>
                      <w:szCs w:val="18"/>
                    </w:rPr>
                    <w:t>修整</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F93CC">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固态</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9571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塑料</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F783">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袋装</w:t>
                  </w:r>
                </w:p>
              </w:tc>
              <w:tc>
                <w:tcPr>
                  <w:tcW w:w="481" w:type="pct"/>
                  <w:tcBorders>
                    <w:top w:val="single" w:color="000000" w:sz="4" w:space="0"/>
                    <w:left w:val="single" w:color="000000" w:sz="4" w:space="0"/>
                    <w:bottom w:val="single" w:color="000000" w:sz="4" w:space="0"/>
                    <w:right w:val="single" w:color="auto" w:sz="4" w:space="0"/>
                  </w:tcBorders>
                  <w:shd w:val="clear" w:color="auto" w:fill="auto"/>
                  <w:vAlign w:val="center"/>
                </w:tcPr>
                <w:p w14:paraId="2F51C547">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360" w:type="pct"/>
                  <w:vMerge w:val="restart"/>
                  <w:tcBorders>
                    <w:top w:val="single" w:color="auto" w:sz="4" w:space="0"/>
                    <w:left w:val="single" w:color="auto" w:sz="4" w:space="0"/>
                    <w:right w:val="single" w:color="auto" w:sz="4" w:space="0"/>
                  </w:tcBorders>
                  <w:shd w:val="clear" w:color="auto" w:fill="auto"/>
                  <w:vAlign w:val="center"/>
                </w:tcPr>
                <w:p w14:paraId="507B1690">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外售综合利用</w:t>
                  </w:r>
                </w:p>
              </w:tc>
            </w:tr>
            <w:tr w14:paraId="03E25847">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D72A3">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2</w:t>
                  </w:r>
                </w:p>
              </w:tc>
              <w:tc>
                <w:tcPr>
                  <w:tcW w:w="315" w:type="pct"/>
                  <w:vMerge w:val="continue"/>
                  <w:tcBorders>
                    <w:left w:val="single" w:color="000000" w:sz="4" w:space="0"/>
                    <w:right w:val="single" w:color="000000" w:sz="4" w:space="0"/>
                  </w:tcBorders>
                  <w:shd w:val="clear" w:color="auto" w:fill="auto"/>
                  <w:vAlign w:val="center"/>
                </w:tcPr>
                <w:p w14:paraId="2B639C69">
                  <w:pPr>
                    <w:widowControl/>
                    <w:spacing w:line="240" w:lineRule="auto"/>
                    <w:jc w:val="center"/>
                    <w:rPr>
                      <w:rFonts w:hint="eastAsia" w:cs="宋体"/>
                      <w:color w:val="auto"/>
                      <w:sz w:val="18"/>
                      <w:szCs w:val="18"/>
                      <w:lang w:val="en-US" w:eastAsia="zh-CN"/>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72875">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sz w:val="18"/>
                      <w:szCs w:val="18"/>
                      <w:lang w:val="en-US" w:eastAsia="zh-CN"/>
                    </w:rPr>
                    <w:t>不</w:t>
                  </w:r>
                  <w:r>
                    <w:rPr>
                      <w:rFonts w:hint="eastAsia" w:cs="宋体"/>
                      <w:color w:val="auto"/>
                      <w:sz w:val="18"/>
                      <w:szCs w:val="18"/>
                    </w:rPr>
                    <w:t>合格品</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19A1B">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SW17</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CA48B">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900-00</w:t>
                  </w:r>
                  <w:r>
                    <w:rPr>
                      <w:rFonts w:hint="eastAsia"/>
                      <w:color w:val="auto"/>
                      <w:kern w:val="0"/>
                      <w:sz w:val="18"/>
                      <w:szCs w:val="18"/>
                      <w:lang w:val="en-US" w:eastAsia="zh-CN" w:bidi="ar"/>
                    </w:rPr>
                    <w:t>2</w:t>
                  </w:r>
                  <w:r>
                    <w:rPr>
                      <w:rFonts w:hint="eastAsia"/>
                      <w:color w:val="auto"/>
                      <w:kern w:val="0"/>
                      <w:sz w:val="18"/>
                      <w:szCs w:val="18"/>
                      <w:lang w:bidi="ar"/>
                    </w:rPr>
                    <w:t>-S17</w:t>
                  </w:r>
                </w:p>
              </w:tc>
              <w:tc>
                <w:tcPr>
                  <w:tcW w:w="4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7F8E">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16</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8F37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sz w:val="18"/>
                      <w:szCs w:val="18"/>
                    </w:rPr>
                    <w:t>检验</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4C0D9">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固态</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65EC2">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塑料</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6CC3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袋装</w:t>
                  </w:r>
                </w:p>
              </w:tc>
              <w:tc>
                <w:tcPr>
                  <w:tcW w:w="481" w:type="pct"/>
                  <w:tcBorders>
                    <w:top w:val="single" w:color="000000" w:sz="4" w:space="0"/>
                    <w:left w:val="single" w:color="000000" w:sz="4" w:space="0"/>
                    <w:bottom w:val="single" w:color="000000" w:sz="4" w:space="0"/>
                    <w:right w:val="single" w:color="auto" w:sz="4" w:space="0"/>
                  </w:tcBorders>
                  <w:shd w:val="clear" w:color="auto" w:fill="auto"/>
                  <w:vAlign w:val="center"/>
                </w:tcPr>
                <w:p w14:paraId="4E42582D">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36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A1FB2C">
                  <w:pPr>
                    <w:widowControl/>
                    <w:spacing w:line="240" w:lineRule="auto"/>
                    <w:jc w:val="center"/>
                    <w:textAlignment w:val="center"/>
                    <w:rPr>
                      <w:rFonts w:hint="eastAsia" w:cs="宋体"/>
                      <w:color w:val="auto"/>
                      <w:kern w:val="0"/>
                      <w:sz w:val="18"/>
                      <w:szCs w:val="18"/>
                      <w:lang w:val="en-US" w:eastAsia="zh-CN" w:bidi="ar"/>
                    </w:rPr>
                  </w:pPr>
                </w:p>
              </w:tc>
            </w:tr>
            <w:tr w14:paraId="40B1DDC1">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9653A">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bookmarkStart w:id="72" w:name="OLE_LINK13" w:colFirst="2" w:colLast="2"/>
                  <w:r>
                    <w:rPr>
                      <w:rFonts w:hint="eastAsia"/>
                      <w:color w:val="auto"/>
                      <w:sz w:val="18"/>
                      <w:szCs w:val="18"/>
                      <w:lang w:val="en-US" w:eastAsia="zh-CN"/>
                    </w:rPr>
                    <w:t>3</w:t>
                  </w:r>
                </w:p>
              </w:tc>
              <w:tc>
                <w:tcPr>
                  <w:tcW w:w="315" w:type="pct"/>
                  <w:vMerge w:val="continue"/>
                  <w:tcBorders>
                    <w:left w:val="single" w:color="000000" w:sz="4" w:space="0"/>
                    <w:right w:val="single" w:color="000000" w:sz="4" w:space="0"/>
                  </w:tcBorders>
                  <w:shd w:val="clear" w:color="auto" w:fill="auto"/>
                  <w:vAlign w:val="center"/>
                </w:tcPr>
                <w:p w14:paraId="5B491016">
                  <w:pPr>
                    <w:widowControl/>
                    <w:spacing w:line="240" w:lineRule="auto"/>
                    <w:jc w:val="center"/>
                    <w:rPr>
                      <w:rFonts w:cs="宋体"/>
                      <w:color w:val="auto"/>
                      <w:sz w:val="18"/>
                      <w:szCs w:val="18"/>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39219">
                  <w:pPr>
                    <w:widowControl/>
                    <w:spacing w:line="240" w:lineRule="auto"/>
                    <w:jc w:val="center"/>
                    <w:textAlignment w:val="center"/>
                    <w:rPr>
                      <w:rFonts w:hint="default" w:cs="宋体"/>
                      <w:color w:val="auto"/>
                      <w:sz w:val="18"/>
                      <w:szCs w:val="18"/>
                      <w:lang w:val="en-US" w:eastAsia="zh-CN"/>
                    </w:rPr>
                  </w:pPr>
                  <w:r>
                    <w:rPr>
                      <w:rFonts w:hint="eastAsia" w:cs="宋体"/>
                      <w:color w:val="auto"/>
                      <w:sz w:val="18"/>
                      <w:szCs w:val="18"/>
                      <w:lang w:val="en-US" w:eastAsia="zh-CN"/>
                    </w:rPr>
                    <w:t>废布袋</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1068">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SW17</w:t>
                  </w:r>
                </w:p>
              </w:tc>
              <w:tc>
                <w:tcPr>
                  <w:tcW w:w="6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DD82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bidi="ar"/>
                    </w:rPr>
                    <w:t>900-003-S17</w:t>
                  </w:r>
                </w:p>
              </w:tc>
              <w:tc>
                <w:tcPr>
                  <w:tcW w:w="4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F2C66">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0.05</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6AB82">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废气处理</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FB0B9">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固态</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881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塑料</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05A9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袋装</w:t>
                  </w:r>
                </w:p>
              </w:tc>
              <w:tc>
                <w:tcPr>
                  <w:tcW w:w="481" w:type="pct"/>
                  <w:tcBorders>
                    <w:top w:val="single" w:color="000000" w:sz="4" w:space="0"/>
                    <w:left w:val="single" w:color="000000" w:sz="4" w:space="0"/>
                    <w:bottom w:val="single" w:color="000000" w:sz="4" w:space="0"/>
                    <w:right w:val="single" w:color="auto" w:sz="4" w:space="0"/>
                  </w:tcBorders>
                  <w:shd w:val="clear" w:color="auto" w:fill="auto"/>
                  <w:vAlign w:val="center"/>
                </w:tcPr>
                <w:p w14:paraId="2A996C4A">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w:t>
                  </w:r>
                </w:p>
              </w:tc>
              <w:tc>
                <w:tcPr>
                  <w:tcW w:w="36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CC8C21">
                  <w:pPr>
                    <w:widowControl/>
                    <w:spacing w:line="240" w:lineRule="auto"/>
                    <w:jc w:val="center"/>
                    <w:textAlignment w:val="center"/>
                    <w:rPr>
                      <w:rFonts w:cs="宋体"/>
                      <w:color w:val="auto"/>
                      <w:kern w:val="0"/>
                      <w:sz w:val="18"/>
                      <w:szCs w:val="18"/>
                      <w:lang w:bidi="ar"/>
                    </w:rPr>
                  </w:pPr>
                </w:p>
              </w:tc>
            </w:tr>
            <w:bookmarkEnd w:id="72"/>
            <w:tr w14:paraId="7C491152">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0E290">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4</w:t>
                  </w:r>
                </w:p>
              </w:tc>
              <w:tc>
                <w:tcPr>
                  <w:tcW w:w="315" w:type="pct"/>
                  <w:tcBorders>
                    <w:top w:val="single" w:color="000000" w:sz="4" w:space="0"/>
                    <w:left w:val="single" w:color="000000" w:sz="4" w:space="0"/>
                    <w:bottom w:val="single" w:color="auto" w:sz="4" w:space="0"/>
                    <w:right w:val="single" w:color="000000" w:sz="4" w:space="0"/>
                  </w:tcBorders>
                  <w:shd w:val="clear" w:color="auto" w:fill="auto"/>
                  <w:vAlign w:val="center"/>
                </w:tcPr>
                <w:p w14:paraId="41659D72">
                  <w:pPr>
                    <w:widowControl/>
                    <w:spacing w:line="240" w:lineRule="auto"/>
                    <w:jc w:val="center"/>
                    <w:rPr>
                      <w:rFonts w:cs="宋体"/>
                      <w:color w:val="auto"/>
                      <w:sz w:val="18"/>
                      <w:szCs w:val="18"/>
                    </w:rPr>
                  </w:pPr>
                  <w:r>
                    <w:rPr>
                      <w:rFonts w:hint="eastAsia" w:cs="宋体"/>
                      <w:color w:val="auto"/>
                      <w:sz w:val="18"/>
                      <w:szCs w:val="18"/>
                    </w:rPr>
                    <w:t>/</w:t>
                  </w:r>
                </w:p>
              </w:tc>
              <w:tc>
                <w:tcPr>
                  <w:tcW w:w="507" w:type="pct"/>
                  <w:tcBorders>
                    <w:top w:val="single" w:color="000000" w:sz="4" w:space="0"/>
                    <w:left w:val="single" w:color="000000" w:sz="4" w:space="0"/>
                    <w:bottom w:val="single" w:color="auto" w:sz="4" w:space="0"/>
                    <w:right w:val="single" w:color="000000" w:sz="4" w:space="0"/>
                  </w:tcBorders>
                  <w:shd w:val="clear" w:color="auto" w:fill="auto"/>
                  <w:vAlign w:val="center"/>
                </w:tcPr>
                <w:p w14:paraId="269EC93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生活垃圾</w:t>
                  </w:r>
                </w:p>
              </w:tc>
              <w:tc>
                <w:tcPr>
                  <w:tcW w:w="386" w:type="pct"/>
                  <w:tcBorders>
                    <w:top w:val="single" w:color="000000" w:sz="4" w:space="0"/>
                    <w:left w:val="single" w:color="000000" w:sz="4" w:space="0"/>
                    <w:bottom w:val="single" w:color="auto" w:sz="4" w:space="0"/>
                    <w:right w:val="single" w:color="000000" w:sz="4" w:space="0"/>
                  </w:tcBorders>
                  <w:shd w:val="clear" w:color="auto" w:fill="auto"/>
                  <w:vAlign w:val="center"/>
                </w:tcPr>
                <w:p w14:paraId="28D09766">
                  <w:pPr>
                    <w:widowControl/>
                    <w:spacing w:line="240" w:lineRule="auto"/>
                    <w:jc w:val="center"/>
                    <w:textAlignment w:val="center"/>
                    <w:rPr>
                      <w:color w:val="auto"/>
                      <w:sz w:val="18"/>
                      <w:szCs w:val="18"/>
                    </w:rPr>
                  </w:pPr>
                  <w:r>
                    <w:rPr>
                      <w:color w:val="auto"/>
                      <w:kern w:val="0"/>
                      <w:sz w:val="18"/>
                      <w:szCs w:val="18"/>
                      <w:lang w:bidi="ar"/>
                    </w:rPr>
                    <w:t>/</w:t>
                  </w:r>
                </w:p>
              </w:tc>
              <w:tc>
                <w:tcPr>
                  <w:tcW w:w="640" w:type="pct"/>
                  <w:tcBorders>
                    <w:top w:val="single" w:color="000000" w:sz="4" w:space="0"/>
                    <w:left w:val="single" w:color="000000" w:sz="4" w:space="0"/>
                    <w:bottom w:val="single" w:color="auto" w:sz="4" w:space="0"/>
                    <w:right w:val="single" w:color="000000" w:sz="4" w:space="0"/>
                  </w:tcBorders>
                  <w:shd w:val="clear" w:color="auto" w:fill="auto"/>
                  <w:vAlign w:val="center"/>
                </w:tcPr>
                <w:p w14:paraId="44A60000">
                  <w:pPr>
                    <w:widowControl/>
                    <w:spacing w:line="240" w:lineRule="auto"/>
                    <w:jc w:val="center"/>
                    <w:textAlignment w:val="center"/>
                    <w:rPr>
                      <w:color w:val="auto"/>
                      <w:sz w:val="18"/>
                      <w:szCs w:val="18"/>
                    </w:rPr>
                  </w:pPr>
                  <w:r>
                    <w:rPr>
                      <w:color w:val="auto"/>
                      <w:kern w:val="0"/>
                      <w:sz w:val="18"/>
                      <w:szCs w:val="18"/>
                      <w:lang w:bidi="ar"/>
                    </w:rPr>
                    <w:t>/</w:t>
                  </w:r>
                </w:p>
              </w:tc>
              <w:tc>
                <w:tcPr>
                  <w:tcW w:w="44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6EAD23C">
                  <w:pPr>
                    <w:widowControl/>
                    <w:spacing w:line="240" w:lineRule="auto"/>
                    <w:jc w:val="center"/>
                    <w:textAlignment w:val="center"/>
                    <w:rPr>
                      <w:color w:val="auto"/>
                      <w:sz w:val="18"/>
                      <w:szCs w:val="18"/>
                    </w:rPr>
                  </w:pPr>
                  <w:r>
                    <w:rPr>
                      <w:rFonts w:hint="eastAsia"/>
                      <w:color w:val="auto"/>
                      <w:kern w:val="0"/>
                      <w:sz w:val="18"/>
                      <w:szCs w:val="18"/>
                      <w:lang w:bidi="ar"/>
                    </w:rPr>
                    <w:t>4.</w:t>
                  </w:r>
                  <w:r>
                    <w:rPr>
                      <w:color w:val="auto"/>
                      <w:kern w:val="0"/>
                      <w:sz w:val="18"/>
                      <w:szCs w:val="18"/>
                      <w:lang w:bidi="ar"/>
                    </w:rPr>
                    <w:t>5</w:t>
                  </w:r>
                </w:p>
              </w:tc>
              <w:tc>
                <w:tcPr>
                  <w:tcW w:w="344" w:type="pct"/>
                  <w:tcBorders>
                    <w:top w:val="single" w:color="000000" w:sz="4" w:space="0"/>
                    <w:left w:val="single" w:color="000000" w:sz="4" w:space="0"/>
                    <w:bottom w:val="single" w:color="auto" w:sz="4" w:space="0"/>
                    <w:right w:val="single" w:color="000000" w:sz="4" w:space="0"/>
                  </w:tcBorders>
                  <w:shd w:val="clear" w:color="auto" w:fill="auto"/>
                  <w:vAlign w:val="center"/>
                </w:tcPr>
                <w:p w14:paraId="0894DD3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职工生活</w:t>
                  </w:r>
                </w:p>
              </w:tc>
              <w:tc>
                <w:tcPr>
                  <w:tcW w:w="360" w:type="pct"/>
                  <w:tcBorders>
                    <w:top w:val="single" w:color="000000" w:sz="4" w:space="0"/>
                    <w:left w:val="single" w:color="000000" w:sz="4" w:space="0"/>
                    <w:bottom w:val="single" w:color="auto" w:sz="4" w:space="0"/>
                    <w:right w:val="single" w:color="000000" w:sz="4" w:space="0"/>
                  </w:tcBorders>
                  <w:shd w:val="clear" w:color="auto" w:fill="auto"/>
                  <w:vAlign w:val="center"/>
                </w:tcPr>
                <w:p w14:paraId="51398D4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固态</w:t>
                  </w:r>
                </w:p>
              </w:tc>
              <w:tc>
                <w:tcPr>
                  <w:tcW w:w="551" w:type="pct"/>
                  <w:tcBorders>
                    <w:top w:val="single" w:color="000000" w:sz="4" w:space="0"/>
                    <w:left w:val="single" w:color="000000" w:sz="4" w:space="0"/>
                    <w:bottom w:val="single" w:color="auto" w:sz="4" w:space="0"/>
                    <w:right w:val="single" w:color="000000" w:sz="4" w:space="0"/>
                  </w:tcBorders>
                  <w:shd w:val="clear" w:color="auto" w:fill="auto"/>
                  <w:vAlign w:val="center"/>
                </w:tcPr>
                <w:p w14:paraId="22DFE42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果皮、纸屑等</w:t>
                  </w:r>
                </w:p>
              </w:tc>
              <w:tc>
                <w:tcPr>
                  <w:tcW w:w="360" w:type="pct"/>
                  <w:tcBorders>
                    <w:top w:val="single" w:color="000000" w:sz="4" w:space="0"/>
                    <w:left w:val="single" w:color="000000" w:sz="4" w:space="0"/>
                    <w:bottom w:val="single" w:color="auto" w:sz="4" w:space="0"/>
                    <w:right w:val="single" w:color="000000" w:sz="4" w:space="0"/>
                  </w:tcBorders>
                  <w:shd w:val="clear" w:color="auto" w:fill="auto"/>
                  <w:vAlign w:val="center"/>
                </w:tcPr>
                <w:p w14:paraId="4D32F6F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桶装</w:t>
                  </w:r>
                </w:p>
              </w:tc>
              <w:tc>
                <w:tcPr>
                  <w:tcW w:w="481" w:type="pct"/>
                  <w:tcBorders>
                    <w:top w:val="single" w:color="000000" w:sz="4" w:space="0"/>
                    <w:left w:val="single" w:color="000000" w:sz="4" w:space="0"/>
                    <w:bottom w:val="single" w:color="auto" w:sz="4" w:space="0"/>
                    <w:right w:val="single" w:color="000000" w:sz="4" w:space="0"/>
                  </w:tcBorders>
                  <w:shd w:val="clear" w:color="auto" w:fill="auto"/>
                  <w:vAlign w:val="center"/>
                </w:tcPr>
                <w:p w14:paraId="3C444FE9">
                  <w:pPr>
                    <w:widowControl/>
                    <w:spacing w:line="240" w:lineRule="auto"/>
                    <w:jc w:val="center"/>
                    <w:textAlignment w:val="center"/>
                    <w:rPr>
                      <w:color w:val="auto"/>
                      <w:sz w:val="18"/>
                      <w:szCs w:val="18"/>
                    </w:rPr>
                  </w:pPr>
                  <w:r>
                    <w:rPr>
                      <w:color w:val="auto"/>
                      <w:kern w:val="0"/>
                      <w:sz w:val="18"/>
                      <w:szCs w:val="18"/>
                      <w:lang w:bidi="ar"/>
                    </w:rPr>
                    <w:t>/</w:t>
                  </w:r>
                </w:p>
              </w:tc>
              <w:tc>
                <w:tcPr>
                  <w:tcW w:w="360" w:type="pct"/>
                  <w:tcBorders>
                    <w:top w:val="single" w:color="auto" w:sz="4" w:space="0"/>
                    <w:left w:val="single" w:color="000000" w:sz="4" w:space="0"/>
                    <w:bottom w:val="single" w:color="auto" w:sz="4" w:space="0"/>
                    <w:right w:val="single" w:color="000000" w:sz="4" w:space="0"/>
                  </w:tcBorders>
                  <w:shd w:val="clear" w:color="auto" w:fill="auto"/>
                  <w:vAlign w:val="center"/>
                </w:tcPr>
                <w:p w14:paraId="3A62394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交由环卫部门处理</w:t>
                  </w:r>
                </w:p>
              </w:tc>
            </w:tr>
            <w:tr w14:paraId="319BF71D">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auto" w:sz="4" w:space="0"/>
                  </w:tcBorders>
                  <w:shd w:val="clear" w:color="auto" w:fill="auto"/>
                  <w:vAlign w:val="center"/>
                </w:tcPr>
                <w:p w14:paraId="005FF451">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5</w:t>
                  </w:r>
                </w:p>
              </w:tc>
              <w:tc>
                <w:tcPr>
                  <w:tcW w:w="315" w:type="pct"/>
                  <w:vMerge w:val="restart"/>
                  <w:tcBorders>
                    <w:top w:val="single" w:color="auto" w:sz="4" w:space="0"/>
                    <w:left w:val="single" w:color="auto" w:sz="4" w:space="0"/>
                    <w:right w:val="single" w:color="auto" w:sz="4" w:space="0"/>
                  </w:tcBorders>
                  <w:shd w:val="clear" w:color="auto" w:fill="auto"/>
                  <w:vAlign w:val="center"/>
                </w:tcPr>
                <w:p w14:paraId="757D28E2">
                  <w:pPr>
                    <w:widowControl/>
                    <w:spacing w:line="240" w:lineRule="auto"/>
                    <w:jc w:val="center"/>
                    <w:rPr>
                      <w:rFonts w:hint="default" w:eastAsia="宋体" w:cs="宋体"/>
                      <w:color w:val="auto"/>
                      <w:sz w:val="18"/>
                      <w:szCs w:val="18"/>
                      <w:lang w:val="en-US" w:eastAsia="zh-CN"/>
                    </w:rPr>
                  </w:pPr>
                  <w:r>
                    <w:rPr>
                      <w:rFonts w:hint="eastAsia" w:cs="宋体"/>
                      <w:color w:val="auto"/>
                      <w:sz w:val="18"/>
                      <w:szCs w:val="18"/>
                      <w:lang w:val="en-US" w:eastAsia="zh-CN"/>
                    </w:rPr>
                    <w:t>危险废物</w:t>
                  </w:r>
                </w:p>
              </w:tc>
              <w:tc>
                <w:tcPr>
                  <w:tcW w:w="507" w:type="pct"/>
                  <w:tcBorders>
                    <w:top w:val="single" w:color="auto" w:sz="4" w:space="0"/>
                    <w:left w:val="single" w:color="auto" w:sz="4" w:space="0"/>
                    <w:bottom w:val="single" w:color="auto" w:sz="4" w:space="0"/>
                    <w:right w:val="single" w:color="auto" w:sz="4" w:space="0"/>
                  </w:tcBorders>
                  <w:shd w:val="clear" w:color="auto" w:fill="auto"/>
                  <w:vAlign w:val="center"/>
                </w:tcPr>
                <w:p w14:paraId="3C580F83">
                  <w:pPr>
                    <w:widowControl/>
                    <w:spacing w:line="240" w:lineRule="auto"/>
                    <w:jc w:val="center"/>
                    <w:textAlignment w:val="center"/>
                    <w:rPr>
                      <w:rFonts w:hint="eastAsia" w:eastAsia="宋体" w:cs="宋体"/>
                      <w:color w:val="auto"/>
                      <w:sz w:val="18"/>
                      <w:szCs w:val="18"/>
                      <w:lang w:eastAsia="zh-CN"/>
                    </w:rPr>
                  </w:pPr>
                  <w:r>
                    <w:rPr>
                      <w:rFonts w:hint="eastAsia" w:cs="宋体"/>
                      <w:color w:val="auto"/>
                      <w:sz w:val="18"/>
                      <w:szCs w:val="18"/>
                      <w:lang w:val="en-US" w:eastAsia="zh-CN"/>
                    </w:rPr>
                    <w:t>铝灰渣</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4B03F5">
                  <w:pPr>
                    <w:widowControl/>
                    <w:spacing w:line="240" w:lineRule="auto"/>
                    <w:jc w:val="center"/>
                    <w:textAlignment w:val="center"/>
                    <w:rPr>
                      <w:rFonts w:hint="eastAsia" w:eastAsia="宋体"/>
                      <w:color w:val="auto"/>
                      <w:sz w:val="18"/>
                      <w:szCs w:val="18"/>
                      <w:lang w:eastAsia="zh-CN"/>
                    </w:rPr>
                  </w:pPr>
                  <w:r>
                    <w:rPr>
                      <w:color w:val="auto"/>
                      <w:sz w:val="18"/>
                      <w:szCs w:val="18"/>
                    </w:rPr>
                    <w:t>HW4</w:t>
                  </w:r>
                  <w:r>
                    <w:rPr>
                      <w:rFonts w:hint="eastAsia"/>
                      <w:color w:val="auto"/>
                      <w:sz w:val="18"/>
                      <w:szCs w:val="18"/>
                      <w:lang w:val="en-US" w:eastAsia="zh-CN"/>
                    </w:rPr>
                    <w:t>8</w:t>
                  </w:r>
                </w:p>
              </w:tc>
              <w:tc>
                <w:tcPr>
                  <w:tcW w:w="6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C2BDF3">
                  <w:pPr>
                    <w:widowControl/>
                    <w:spacing w:line="240" w:lineRule="auto"/>
                    <w:jc w:val="center"/>
                    <w:textAlignment w:val="center"/>
                    <w:rPr>
                      <w:color w:val="auto"/>
                      <w:sz w:val="18"/>
                      <w:szCs w:val="18"/>
                    </w:rPr>
                  </w:pPr>
                  <w:r>
                    <w:rPr>
                      <w:b w:val="0"/>
                      <w:color w:val="auto"/>
                      <w:kern w:val="0"/>
                      <w:sz w:val="18"/>
                      <w:szCs w:val="18"/>
                      <w:lang w:bidi="ar"/>
                    </w:rPr>
                    <w:t>321-026-48</w:t>
                  </w:r>
                </w:p>
              </w:tc>
              <w:tc>
                <w:tcPr>
                  <w:tcW w:w="4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8FF104">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120</w:t>
                  </w:r>
                </w:p>
              </w:tc>
              <w:tc>
                <w:tcPr>
                  <w:tcW w:w="344" w:type="pct"/>
                  <w:tcBorders>
                    <w:top w:val="single" w:color="auto" w:sz="4" w:space="0"/>
                    <w:left w:val="single" w:color="auto" w:sz="4" w:space="0"/>
                    <w:bottom w:val="single" w:color="auto" w:sz="4" w:space="0"/>
                    <w:right w:val="single" w:color="auto" w:sz="4" w:space="0"/>
                  </w:tcBorders>
                  <w:shd w:val="clear" w:color="auto" w:fill="auto"/>
                  <w:vAlign w:val="center"/>
                </w:tcPr>
                <w:p w14:paraId="635A10F5">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扒渣</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650D35E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固态</w:t>
                  </w:r>
                </w:p>
              </w:tc>
              <w:tc>
                <w:tcPr>
                  <w:tcW w:w="551" w:type="pct"/>
                  <w:tcBorders>
                    <w:top w:val="single" w:color="auto" w:sz="4" w:space="0"/>
                    <w:left w:val="single" w:color="auto" w:sz="4" w:space="0"/>
                    <w:bottom w:val="single" w:color="auto" w:sz="4" w:space="0"/>
                    <w:right w:val="single" w:color="auto" w:sz="4" w:space="0"/>
                  </w:tcBorders>
                  <w:shd w:val="clear" w:color="auto" w:fill="auto"/>
                  <w:vAlign w:val="center"/>
                </w:tcPr>
                <w:p w14:paraId="5B282F24">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铝灰</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0C1FBC6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袋装</w:t>
                  </w:r>
                </w:p>
              </w:tc>
              <w:tc>
                <w:tcPr>
                  <w:tcW w:w="4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3C863F">
                  <w:pPr>
                    <w:widowControl/>
                    <w:jc w:val="center"/>
                    <w:textAlignment w:val="center"/>
                    <w:rPr>
                      <w:rFonts w:ascii="Times New Roman" w:hAnsi="Times New Roman" w:eastAsia="宋体" w:cs="Times New Roman"/>
                      <w:color w:val="auto"/>
                      <w:kern w:val="2"/>
                      <w:sz w:val="18"/>
                      <w:szCs w:val="18"/>
                      <w:lang w:val="en-US" w:eastAsia="zh-CN" w:bidi="ar-SA"/>
                    </w:rPr>
                  </w:pPr>
                  <w:r>
                    <w:rPr>
                      <w:b w:val="0"/>
                      <w:color w:val="auto"/>
                      <w:kern w:val="0"/>
                      <w:sz w:val="18"/>
                      <w:szCs w:val="18"/>
                      <w:lang w:bidi="ar"/>
                    </w:rPr>
                    <w:t>R</w:t>
                  </w:r>
                </w:p>
              </w:tc>
              <w:tc>
                <w:tcPr>
                  <w:tcW w:w="360" w:type="pct"/>
                  <w:vMerge w:val="restart"/>
                  <w:tcBorders>
                    <w:top w:val="single" w:color="auto" w:sz="4" w:space="0"/>
                    <w:left w:val="single" w:color="auto" w:sz="4" w:space="0"/>
                    <w:right w:val="single" w:color="auto" w:sz="4" w:space="0"/>
                  </w:tcBorders>
                  <w:shd w:val="clear" w:color="auto" w:fill="auto"/>
                  <w:vAlign w:val="center"/>
                </w:tcPr>
                <w:p w14:paraId="2A4AF680">
                  <w:pPr>
                    <w:widowControl/>
                    <w:spacing w:line="240" w:lineRule="auto"/>
                    <w:jc w:val="center"/>
                    <w:rPr>
                      <w:rFonts w:hint="default" w:eastAsia="宋体" w:cs="宋体"/>
                      <w:color w:val="auto"/>
                      <w:sz w:val="18"/>
                      <w:szCs w:val="18"/>
                      <w:lang w:val="en-US" w:eastAsia="zh-CN"/>
                    </w:rPr>
                  </w:pPr>
                  <w:r>
                    <w:rPr>
                      <w:rFonts w:hint="eastAsia" w:cs="宋体"/>
                      <w:color w:val="auto"/>
                      <w:sz w:val="18"/>
                      <w:szCs w:val="18"/>
                      <w:lang w:val="en-US" w:eastAsia="zh-CN"/>
                    </w:rPr>
                    <w:t>委托有资质单位处置</w:t>
                  </w:r>
                </w:p>
              </w:tc>
            </w:tr>
            <w:tr w14:paraId="5D3239B8">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auto" w:sz="4" w:space="0"/>
                  </w:tcBorders>
                  <w:shd w:val="clear" w:color="auto" w:fill="auto"/>
                  <w:vAlign w:val="center"/>
                </w:tcPr>
                <w:p w14:paraId="0C3344D2">
                  <w:pPr>
                    <w:widowControl/>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6</w:t>
                  </w:r>
                </w:p>
              </w:tc>
              <w:tc>
                <w:tcPr>
                  <w:tcW w:w="315" w:type="pct"/>
                  <w:vMerge w:val="continue"/>
                  <w:tcBorders>
                    <w:left w:val="single" w:color="auto" w:sz="4" w:space="0"/>
                    <w:right w:val="single" w:color="auto" w:sz="4" w:space="0"/>
                  </w:tcBorders>
                  <w:shd w:val="clear" w:color="auto" w:fill="auto"/>
                  <w:vAlign w:val="center"/>
                </w:tcPr>
                <w:p w14:paraId="60E4E354">
                  <w:pPr>
                    <w:widowControl/>
                    <w:spacing w:line="240" w:lineRule="auto"/>
                    <w:jc w:val="center"/>
                    <w:rPr>
                      <w:rFonts w:hint="eastAsia" w:cs="宋体"/>
                      <w:color w:val="auto"/>
                      <w:sz w:val="18"/>
                      <w:szCs w:val="18"/>
                      <w:lang w:val="en-US" w:eastAsia="zh-CN"/>
                    </w:rPr>
                  </w:pPr>
                </w:p>
              </w:tc>
              <w:tc>
                <w:tcPr>
                  <w:tcW w:w="507" w:type="pct"/>
                  <w:tcBorders>
                    <w:top w:val="single" w:color="auto" w:sz="4" w:space="0"/>
                    <w:left w:val="single" w:color="auto" w:sz="4" w:space="0"/>
                    <w:bottom w:val="single" w:color="auto" w:sz="4" w:space="0"/>
                    <w:right w:val="single" w:color="auto" w:sz="4" w:space="0"/>
                  </w:tcBorders>
                  <w:shd w:val="clear" w:color="auto" w:fill="auto"/>
                  <w:vAlign w:val="center"/>
                </w:tcPr>
                <w:p w14:paraId="3F556ADA">
                  <w:pPr>
                    <w:widowControl/>
                    <w:spacing w:line="240" w:lineRule="auto"/>
                    <w:jc w:val="center"/>
                    <w:textAlignment w:val="center"/>
                    <w:rPr>
                      <w:rFonts w:hint="eastAsia" w:cs="宋体"/>
                      <w:color w:val="auto"/>
                      <w:sz w:val="18"/>
                      <w:szCs w:val="18"/>
                      <w:lang w:val="en-US" w:eastAsia="zh-CN"/>
                    </w:rPr>
                  </w:pPr>
                  <w:r>
                    <w:rPr>
                      <w:rFonts w:hint="eastAsia" w:cs="宋体"/>
                      <w:color w:val="auto"/>
                      <w:sz w:val="18"/>
                      <w:szCs w:val="18"/>
                      <w:lang w:val="en-US" w:eastAsia="zh-CN"/>
                    </w:rPr>
                    <w:t>铝熔炼烟尘</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6DB9A6">
                  <w:pPr>
                    <w:widowControl/>
                    <w:spacing w:line="240" w:lineRule="auto"/>
                    <w:jc w:val="center"/>
                    <w:textAlignment w:val="center"/>
                    <w:rPr>
                      <w:color w:val="auto"/>
                      <w:sz w:val="18"/>
                      <w:szCs w:val="18"/>
                    </w:rPr>
                  </w:pPr>
                  <w:r>
                    <w:rPr>
                      <w:color w:val="auto"/>
                      <w:sz w:val="18"/>
                      <w:szCs w:val="18"/>
                    </w:rPr>
                    <w:t>HW4</w:t>
                  </w:r>
                  <w:r>
                    <w:rPr>
                      <w:rFonts w:hint="eastAsia"/>
                      <w:color w:val="auto"/>
                      <w:sz w:val="18"/>
                      <w:szCs w:val="18"/>
                      <w:lang w:val="en-US" w:eastAsia="zh-CN"/>
                    </w:rPr>
                    <w:t>8</w:t>
                  </w:r>
                </w:p>
              </w:tc>
              <w:tc>
                <w:tcPr>
                  <w:tcW w:w="6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67D682">
                  <w:pPr>
                    <w:widowControl/>
                    <w:spacing w:line="240" w:lineRule="auto"/>
                    <w:jc w:val="center"/>
                    <w:textAlignment w:val="center"/>
                    <w:rPr>
                      <w:color w:val="auto"/>
                      <w:sz w:val="18"/>
                      <w:szCs w:val="18"/>
                    </w:rPr>
                  </w:pPr>
                  <w:r>
                    <w:rPr>
                      <w:b w:val="0"/>
                      <w:color w:val="auto"/>
                      <w:kern w:val="0"/>
                      <w:sz w:val="18"/>
                      <w:szCs w:val="18"/>
                      <w:lang w:bidi="ar"/>
                    </w:rPr>
                    <w:t>321-034-48</w:t>
                  </w:r>
                </w:p>
              </w:tc>
              <w:tc>
                <w:tcPr>
                  <w:tcW w:w="4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F99468">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6.357</w:t>
                  </w:r>
                </w:p>
              </w:tc>
              <w:tc>
                <w:tcPr>
                  <w:tcW w:w="344" w:type="pct"/>
                  <w:tcBorders>
                    <w:top w:val="single" w:color="auto" w:sz="4" w:space="0"/>
                    <w:left w:val="single" w:color="auto" w:sz="4" w:space="0"/>
                    <w:bottom w:val="single" w:color="auto" w:sz="4" w:space="0"/>
                    <w:right w:val="single" w:color="auto" w:sz="4" w:space="0"/>
                  </w:tcBorders>
                  <w:shd w:val="clear" w:color="auto" w:fill="auto"/>
                  <w:vAlign w:val="center"/>
                </w:tcPr>
                <w:p w14:paraId="3A7F2B7D">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废气处理</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31EFD20C">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固态</w:t>
                  </w:r>
                </w:p>
              </w:tc>
              <w:tc>
                <w:tcPr>
                  <w:tcW w:w="551" w:type="pct"/>
                  <w:tcBorders>
                    <w:top w:val="single" w:color="auto" w:sz="4" w:space="0"/>
                    <w:left w:val="single" w:color="auto" w:sz="4" w:space="0"/>
                    <w:bottom w:val="single" w:color="auto" w:sz="4" w:space="0"/>
                    <w:right w:val="single" w:color="auto" w:sz="4" w:space="0"/>
                  </w:tcBorders>
                  <w:shd w:val="clear" w:color="auto" w:fill="auto"/>
                  <w:vAlign w:val="center"/>
                </w:tcPr>
                <w:p w14:paraId="09958EAE">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含铝粉尘</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6CF0D11E">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bidi="ar"/>
                    </w:rPr>
                    <w:t>袋装</w:t>
                  </w:r>
                </w:p>
              </w:tc>
              <w:tc>
                <w:tcPr>
                  <w:tcW w:w="4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E5D6EB">
                  <w:pPr>
                    <w:widowControl/>
                    <w:jc w:val="center"/>
                    <w:textAlignment w:val="center"/>
                    <w:rPr>
                      <w:rFonts w:ascii="Times New Roman" w:hAnsi="Times New Roman" w:eastAsia="宋体" w:cs="Times New Roman"/>
                      <w:color w:val="auto"/>
                      <w:kern w:val="2"/>
                      <w:sz w:val="18"/>
                      <w:szCs w:val="18"/>
                      <w:lang w:val="en-US" w:eastAsia="zh-CN" w:bidi="ar-SA"/>
                    </w:rPr>
                  </w:pPr>
                  <w:r>
                    <w:rPr>
                      <w:b w:val="0"/>
                      <w:color w:val="auto"/>
                      <w:kern w:val="0"/>
                      <w:sz w:val="18"/>
                      <w:szCs w:val="18"/>
                      <w:lang w:bidi="ar"/>
                    </w:rPr>
                    <w:t>T，R</w:t>
                  </w:r>
                </w:p>
              </w:tc>
              <w:tc>
                <w:tcPr>
                  <w:tcW w:w="360" w:type="pct"/>
                  <w:vMerge w:val="continue"/>
                  <w:tcBorders>
                    <w:left w:val="single" w:color="auto" w:sz="4" w:space="0"/>
                    <w:right w:val="single" w:color="auto" w:sz="4" w:space="0"/>
                  </w:tcBorders>
                  <w:shd w:val="clear" w:color="auto" w:fill="auto"/>
                  <w:vAlign w:val="center"/>
                </w:tcPr>
                <w:p w14:paraId="2D1FDC9C">
                  <w:pPr>
                    <w:widowControl/>
                    <w:spacing w:line="240" w:lineRule="auto"/>
                    <w:jc w:val="center"/>
                    <w:rPr>
                      <w:rFonts w:hint="eastAsia" w:cs="宋体"/>
                      <w:color w:val="auto"/>
                      <w:sz w:val="18"/>
                      <w:szCs w:val="18"/>
                      <w:lang w:val="en-US" w:eastAsia="zh-CN"/>
                    </w:rPr>
                  </w:pPr>
                </w:p>
              </w:tc>
            </w:tr>
            <w:tr w14:paraId="2F123CCF">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auto" w:sz="4" w:space="0"/>
                  </w:tcBorders>
                  <w:shd w:val="clear" w:color="auto" w:fill="auto"/>
                  <w:vAlign w:val="center"/>
                </w:tcPr>
                <w:p w14:paraId="02224487">
                  <w:pPr>
                    <w:widowControl/>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7</w:t>
                  </w:r>
                </w:p>
              </w:tc>
              <w:tc>
                <w:tcPr>
                  <w:tcW w:w="315" w:type="pct"/>
                  <w:vMerge w:val="continue"/>
                  <w:tcBorders>
                    <w:left w:val="single" w:color="auto" w:sz="4" w:space="0"/>
                    <w:right w:val="single" w:color="auto" w:sz="4" w:space="0"/>
                  </w:tcBorders>
                  <w:shd w:val="clear" w:color="auto" w:fill="auto"/>
                  <w:vAlign w:val="center"/>
                </w:tcPr>
                <w:p w14:paraId="69B587B9">
                  <w:pPr>
                    <w:widowControl/>
                    <w:spacing w:line="240" w:lineRule="auto"/>
                    <w:jc w:val="center"/>
                    <w:rPr>
                      <w:rFonts w:hint="eastAsia" w:cs="宋体"/>
                      <w:color w:val="auto"/>
                      <w:sz w:val="18"/>
                      <w:szCs w:val="18"/>
                      <w:lang w:val="en-US" w:eastAsia="zh-CN"/>
                    </w:rPr>
                  </w:pPr>
                </w:p>
              </w:tc>
              <w:tc>
                <w:tcPr>
                  <w:tcW w:w="507" w:type="pct"/>
                  <w:tcBorders>
                    <w:top w:val="single" w:color="auto" w:sz="4" w:space="0"/>
                    <w:left w:val="single" w:color="auto" w:sz="4" w:space="0"/>
                    <w:bottom w:val="single" w:color="auto" w:sz="4" w:space="0"/>
                    <w:right w:val="single" w:color="auto" w:sz="4" w:space="0"/>
                  </w:tcBorders>
                  <w:shd w:val="clear" w:color="auto" w:fill="auto"/>
                  <w:vAlign w:val="center"/>
                </w:tcPr>
                <w:p w14:paraId="535C725F">
                  <w:pPr>
                    <w:widowControl/>
                    <w:spacing w:line="240" w:lineRule="auto"/>
                    <w:jc w:val="center"/>
                    <w:textAlignment w:val="center"/>
                    <w:rPr>
                      <w:rFonts w:hint="default" w:cs="宋体"/>
                      <w:color w:val="auto"/>
                      <w:sz w:val="18"/>
                      <w:szCs w:val="18"/>
                      <w:lang w:val="en-US" w:eastAsia="zh-CN"/>
                    </w:rPr>
                  </w:pPr>
                  <w:r>
                    <w:rPr>
                      <w:rFonts w:hint="eastAsia" w:cs="宋体"/>
                      <w:color w:val="auto"/>
                      <w:sz w:val="18"/>
                      <w:szCs w:val="18"/>
                      <w:lang w:val="en-US" w:eastAsia="zh-CN"/>
                    </w:rPr>
                    <w:t>废切削液</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3CEF01">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HW09</w:t>
                  </w:r>
                </w:p>
              </w:tc>
              <w:tc>
                <w:tcPr>
                  <w:tcW w:w="6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692F26">
                  <w:pPr>
                    <w:widowControl/>
                    <w:spacing w:line="240" w:lineRule="auto"/>
                    <w:jc w:val="center"/>
                    <w:textAlignment w:val="center"/>
                    <w:rPr>
                      <w:color w:val="auto"/>
                      <w:sz w:val="18"/>
                      <w:szCs w:val="18"/>
                    </w:rPr>
                  </w:pPr>
                  <w:r>
                    <w:rPr>
                      <w:rFonts w:hint="eastAsia"/>
                      <w:color w:val="auto"/>
                      <w:sz w:val="18"/>
                      <w:szCs w:val="18"/>
                    </w:rPr>
                    <w:t>900-006-09</w:t>
                  </w:r>
                </w:p>
              </w:tc>
              <w:tc>
                <w:tcPr>
                  <w:tcW w:w="4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964A1C">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0.5</w:t>
                  </w:r>
                </w:p>
              </w:tc>
              <w:tc>
                <w:tcPr>
                  <w:tcW w:w="344" w:type="pct"/>
                  <w:tcBorders>
                    <w:top w:val="single" w:color="auto" w:sz="4" w:space="0"/>
                    <w:left w:val="single" w:color="auto" w:sz="4" w:space="0"/>
                    <w:bottom w:val="single" w:color="auto" w:sz="4" w:space="0"/>
                    <w:right w:val="single" w:color="auto" w:sz="4" w:space="0"/>
                  </w:tcBorders>
                  <w:shd w:val="clear" w:color="auto" w:fill="auto"/>
                  <w:vAlign w:val="center"/>
                </w:tcPr>
                <w:p w14:paraId="2F91900A">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精加工</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0ABB59D8">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val="en-US" w:eastAsia="zh-CN" w:bidi="ar"/>
                    </w:rPr>
                    <w:t>液态</w:t>
                  </w:r>
                </w:p>
              </w:tc>
              <w:tc>
                <w:tcPr>
                  <w:tcW w:w="551" w:type="pct"/>
                  <w:tcBorders>
                    <w:top w:val="single" w:color="auto" w:sz="4" w:space="0"/>
                    <w:left w:val="single" w:color="auto" w:sz="4" w:space="0"/>
                    <w:bottom w:val="single" w:color="auto" w:sz="4" w:space="0"/>
                    <w:right w:val="single" w:color="auto" w:sz="4" w:space="0"/>
                  </w:tcBorders>
                  <w:shd w:val="clear" w:color="auto" w:fill="auto"/>
                  <w:vAlign w:val="center"/>
                </w:tcPr>
                <w:p w14:paraId="27FA3417">
                  <w:pPr>
                    <w:widowControl/>
                    <w:spacing w:line="240" w:lineRule="auto"/>
                    <w:jc w:val="center"/>
                    <w:textAlignment w:val="center"/>
                    <w:rPr>
                      <w:rFonts w:hint="eastAsia" w:cs="宋体"/>
                      <w:color w:val="auto"/>
                      <w:sz w:val="18"/>
                      <w:szCs w:val="18"/>
                    </w:rPr>
                  </w:pPr>
                  <w:r>
                    <w:rPr>
                      <w:rFonts w:hint="eastAsia" w:cs="宋体"/>
                      <w:color w:val="auto"/>
                      <w:sz w:val="18"/>
                      <w:szCs w:val="18"/>
                      <w:lang w:val="en-US" w:eastAsia="zh-CN"/>
                    </w:rPr>
                    <w:t>矿物油类</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220B5323">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bidi="ar"/>
                    </w:rPr>
                    <w:t>桶装</w:t>
                  </w:r>
                </w:p>
              </w:tc>
              <w:tc>
                <w:tcPr>
                  <w:tcW w:w="4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F672EE">
                  <w:pPr>
                    <w:widowControl/>
                    <w:spacing w:line="240" w:lineRule="auto"/>
                    <w:jc w:val="center"/>
                    <w:textAlignment w:val="center"/>
                    <w:rPr>
                      <w:color w:val="auto"/>
                      <w:kern w:val="0"/>
                      <w:sz w:val="18"/>
                      <w:szCs w:val="18"/>
                      <w:lang w:bidi="ar"/>
                    </w:rPr>
                  </w:pPr>
                  <w:r>
                    <w:rPr>
                      <w:b w:val="0"/>
                      <w:color w:val="auto"/>
                      <w:kern w:val="0"/>
                      <w:sz w:val="18"/>
                      <w:szCs w:val="18"/>
                      <w:lang w:bidi="ar"/>
                    </w:rPr>
                    <w:t>T，I</w:t>
                  </w:r>
                </w:p>
              </w:tc>
              <w:tc>
                <w:tcPr>
                  <w:tcW w:w="360" w:type="pct"/>
                  <w:vMerge w:val="continue"/>
                  <w:tcBorders>
                    <w:left w:val="single" w:color="auto" w:sz="4" w:space="0"/>
                    <w:right w:val="single" w:color="auto" w:sz="4" w:space="0"/>
                  </w:tcBorders>
                  <w:shd w:val="clear" w:color="auto" w:fill="auto"/>
                  <w:vAlign w:val="center"/>
                </w:tcPr>
                <w:p w14:paraId="39268624">
                  <w:pPr>
                    <w:widowControl/>
                    <w:spacing w:line="240" w:lineRule="auto"/>
                    <w:jc w:val="center"/>
                    <w:rPr>
                      <w:rFonts w:hint="eastAsia" w:cs="宋体"/>
                      <w:color w:val="auto"/>
                      <w:sz w:val="18"/>
                      <w:szCs w:val="18"/>
                      <w:lang w:val="en-US" w:eastAsia="zh-CN"/>
                    </w:rPr>
                  </w:pPr>
                </w:p>
              </w:tc>
            </w:tr>
            <w:tr w14:paraId="12F4E85D">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auto" w:sz="4" w:space="0"/>
                  </w:tcBorders>
                  <w:shd w:val="clear" w:color="auto" w:fill="auto"/>
                  <w:vAlign w:val="center"/>
                </w:tcPr>
                <w:p w14:paraId="43025C18">
                  <w:pPr>
                    <w:widowControl/>
                    <w:spacing w:line="240" w:lineRule="auto"/>
                    <w:jc w:val="center"/>
                    <w:rPr>
                      <w:rFonts w:hint="default"/>
                      <w:color w:val="auto"/>
                      <w:sz w:val="18"/>
                      <w:szCs w:val="18"/>
                      <w:lang w:val="en-US" w:eastAsia="zh-CN"/>
                    </w:rPr>
                  </w:pPr>
                  <w:r>
                    <w:rPr>
                      <w:rFonts w:hint="eastAsia"/>
                      <w:color w:val="auto"/>
                      <w:sz w:val="18"/>
                      <w:szCs w:val="18"/>
                      <w:lang w:val="en-US" w:eastAsia="zh-CN"/>
                    </w:rPr>
                    <w:t>8</w:t>
                  </w:r>
                </w:p>
              </w:tc>
              <w:tc>
                <w:tcPr>
                  <w:tcW w:w="315" w:type="pct"/>
                  <w:vMerge w:val="continue"/>
                  <w:tcBorders>
                    <w:left w:val="single" w:color="auto" w:sz="4" w:space="0"/>
                    <w:right w:val="single" w:color="auto" w:sz="4" w:space="0"/>
                  </w:tcBorders>
                  <w:shd w:val="clear" w:color="auto" w:fill="auto"/>
                  <w:vAlign w:val="center"/>
                </w:tcPr>
                <w:p w14:paraId="3E9C6E8E">
                  <w:pPr>
                    <w:widowControl/>
                    <w:spacing w:line="240" w:lineRule="auto"/>
                    <w:jc w:val="center"/>
                    <w:rPr>
                      <w:rFonts w:hint="eastAsia" w:cs="宋体"/>
                      <w:color w:val="auto"/>
                      <w:sz w:val="18"/>
                      <w:szCs w:val="18"/>
                      <w:lang w:val="en-US" w:eastAsia="zh-CN"/>
                    </w:rPr>
                  </w:pPr>
                </w:p>
              </w:tc>
              <w:tc>
                <w:tcPr>
                  <w:tcW w:w="507" w:type="pct"/>
                  <w:tcBorders>
                    <w:top w:val="single" w:color="auto" w:sz="4" w:space="0"/>
                    <w:left w:val="single" w:color="auto" w:sz="4" w:space="0"/>
                    <w:bottom w:val="single" w:color="auto" w:sz="4" w:space="0"/>
                    <w:right w:val="single" w:color="auto" w:sz="4" w:space="0"/>
                  </w:tcBorders>
                  <w:shd w:val="clear" w:color="auto" w:fill="auto"/>
                  <w:vAlign w:val="center"/>
                </w:tcPr>
                <w:p w14:paraId="03E2DF66">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废润滑油</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EF51D6">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HW08</w:t>
                  </w:r>
                </w:p>
              </w:tc>
              <w:tc>
                <w:tcPr>
                  <w:tcW w:w="6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632B65">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900-21</w:t>
                  </w:r>
                  <w:r>
                    <w:rPr>
                      <w:rFonts w:hint="eastAsia"/>
                      <w:color w:val="auto"/>
                      <w:kern w:val="0"/>
                      <w:sz w:val="18"/>
                      <w:szCs w:val="18"/>
                      <w:lang w:val="en-US" w:eastAsia="zh-CN" w:bidi="ar"/>
                    </w:rPr>
                    <w:t>7</w:t>
                  </w:r>
                  <w:r>
                    <w:rPr>
                      <w:color w:val="auto"/>
                      <w:kern w:val="0"/>
                      <w:sz w:val="18"/>
                      <w:szCs w:val="18"/>
                      <w:lang w:bidi="ar"/>
                    </w:rPr>
                    <w:t>-08</w:t>
                  </w:r>
                </w:p>
              </w:tc>
              <w:tc>
                <w:tcPr>
                  <w:tcW w:w="4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651FDE">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0.</w:t>
                  </w:r>
                  <w:r>
                    <w:rPr>
                      <w:rFonts w:hint="eastAsia"/>
                      <w:color w:val="auto"/>
                      <w:kern w:val="0"/>
                      <w:sz w:val="18"/>
                      <w:szCs w:val="18"/>
                      <w:lang w:bidi="ar"/>
                    </w:rPr>
                    <w:t>0</w:t>
                  </w:r>
                  <w:r>
                    <w:rPr>
                      <w:rFonts w:hint="eastAsia"/>
                      <w:color w:val="auto"/>
                      <w:kern w:val="0"/>
                      <w:sz w:val="18"/>
                      <w:szCs w:val="18"/>
                      <w:lang w:val="en-US" w:eastAsia="zh-CN" w:bidi="ar"/>
                    </w:rPr>
                    <w:t>2</w:t>
                  </w:r>
                </w:p>
              </w:tc>
              <w:tc>
                <w:tcPr>
                  <w:tcW w:w="344" w:type="pct"/>
                  <w:tcBorders>
                    <w:top w:val="single" w:color="auto" w:sz="4" w:space="0"/>
                    <w:left w:val="single" w:color="auto" w:sz="4" w:space="0"/>
                    <w:bottom w:val="single" w:color="auto" w:sz="4" w:space="0"/>
                    <w:right w:val="single" w:color="auto" w:sz="4" w:space="0"/>
                  </w:tcBorders>
                  <w:shd w:val="clear" w:color="auto" w:fill="auto"/>
                  <w:vAlign w:val="center"/>
                </w:tcPr>
                <w:p w14:paraId="5AEF24EB">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设备润滑</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2B886634">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液态</w:t>
                  </w:r>
                </w:p>
              </w:tc>
              <w:tc>
                <w:tcPr>
                  <w:tcW w:w="551" w:type="pct"/>
                  <w:tcBorders>
                    <w:top w:val="single" w:color="auto" w:sz="4" w:space="0"/>
                    <w:left w:val="single" w:color="auto" w:sz="4" w:space="0"/>
                    <w:bottom w:val="single" w:color="auto" w:sz="4" w:space="0"/>
                    <w:right w:val="single" w:color="auto" w:sz="4" w:space="0"/>
                  </w:tcBorders>
                  <w:shd w:val="clear" w:color="auto" w:fill="auto"/>
                  <w:vAlign w:val="center"/>
                </w:tcPr>
                <w:p w14:paraId="565D3713">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矿物油类</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4EDDF539">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bidi="ar"/>
                    </w:rPr>
                    <w:t>桶装</w:t>
                  </w:r>
                </w:p>
              </w:tc>
              <w:tc>
                <w:tcPr>
                  <w:tcW w:w="4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470837">
                  <w:pPr>
                    <w:widowControl/>
                    <w:spacing w:line="240" w:lineRule="auto"/>
                    <w:jc w:val="center"/>
                    <w:textAlignment w:val="center"/>
                    <w:rPr>
                      <w:rFonts w:hint="eastAsia" w:eastAsia="宋体"/>
                      <w:color w:val="auto"/>
                      <w:kern w:val="0"/>
                      <w:sz w:val="18"/>
                      <w:szCs w:val="18"/>
                      <w:lang w:val="en-US" w:eastAsia="zh-CN" w:bidi="ar"/>
                    </w:rPr>
                  </w:pPr>
                  <w:r>
                    <w:rPr>
                      <w:rFonts w:hint="eastAsia"/>
                      <w:color w:val="auto"/>
                      <w:kern w:val="0"/>
                      <w:sz w:val="18"/>
                      <w:szCs w:val="18"/>
                      <w:lang w:val="en-US" w:eastAsia="zh-CN" w:bidi="ar"/>
                    </w:rPr>
                    <w:t>T</w:t>
                  </w:r>
                </w:p>
              </w:tc>
              <w:tc>
                <w:tcPr>
                  <w:tcW w:w="360" w:type="pct"/>
                  <w:vMerge w:val="continue"/>
                  <w:tcBorders>
                    <w:left w:val="single" w:color="auto" w:sz="4" w:space="0"/>
                    <w:right w:val="single" w:color="auto" w:sz="4" w:space="0"/>
                  </w:tcBorders>
                  <w:shd w:val="clear" w:color="auto" w:fill="auto"/>
                  <w:vAlign w:val="center"/>
                </w:tcPr>
                <w:p w14:paraId="21BFDFAB">
                  <w:pPr>
                    <w:widowControl/>
                    <w:spacing w:line="240" w:lineRule="auto"/>
                    <w:jc w:val="center"/>
                    <w:rPr>
                      <w:rFonts w:hint="eastAsia" w:cs="宋体"/>
                      <w:color w:val="auto"/>
                      <w:sz w:val="18"/>
                      <w:szCs w:val="18"/>
                      <w:lang w:val="en-US" w:eastAsia="zh-CN"/>
                    </w:rPr>
                  </w:pPr>
                </w:p>
              </w:tc>
            </w:tr>
            <w:tr w14:paraId="7840BAD1">
              <w:tblPrEx>
                <w:tblCellMar>
                  <w:top w:w="0" w:type="dxa"/>
                  <w:left w:w="108" w:type="dxa"/>
                  <w:bottom w:w="0" w:type="dxa"/>
                  <w:right w:w="108" w:type="dxa"/>
                </w:tblCellMar>
              </w:tblPrEx>
              <w:trPr>
                <w:trHeight w:val="340" w:hRule="atLeast"/>
              </w:trPr>
              <w:tc>
                <w:tcPr>
                  <w:tcW w:w="246" w:type="pct"/>
                  <w:tcBorders>
                    <w:top w:val="single" w:color="000000" w:sz="4" w:space="0"/>
                    <w:left w:val="single" w:color="000000" w:sz="4" w:space="0"/>
                    <w:bottom w:val="single" w:color="000000" w:sz="4" w:space="0"/>
                    <w:right w:val="single" w:color="auto" w:sz="4" w:space="0"/>
                  </w:tcBorders>
                  <w:shd w:val="clear" w:color="auto" w:fill="auto"/>
                  <w:vAlign w:val="center"/>
                </w:tcPr>
                <w:p w14:paraId="621477D0">
                  <w:pPr>
                    <w:widowControl/>
                    <w:spacing w:line="240" w:lineRule="auto"/>
                    <w:jc w:val="center"/>
                    <w:rPr>
                      <w:rFonts w:hint="default"/>
                      <w:color w:val="auto"/>
                      <w:sz w:val="18"/>
                      <w:szCs w:val="18"/>
                      <w:lang w:val="en-US" w:eastAsia="zh-CN"/>
                    </w:rPr>
                  </w:pPr>
                  <w:r>
                    <w:rPr>
                      <w:rFonts w:hint="eastAsia"/>
                      <w:color w:val="auto"/>
                      <w:sz w:val="18"/>
                      <w:szCs w:val="18"/>
                      <w:lang w:val="en-US" w:eastAsia="zh-CN"/>
                    </w:rPr>
                    <w:t>9</w:t>
                  </w:r>
                </w:p>
              </w:tc>
              <w:tc>
                <w:tcPr>
                  <w:tcW w:w="315" w:type="pct"/>
                  <w:vMerge w:val="continue"/>
                  <w:tcBorders>
                    <w:left w:val="single" w:color="auto" w:sz="4" w:space="0"/>
                    <w:bottom w:val="single" w:color="auto" w:sz="4" w:space="0"/>
                    <w:right w:val="single" w:color="auto" w:sz="4" w:space="0"/>
                  </w:tcBorders>
                  <w:shd w:val="clear" w:color="auto" w:fill="auto"/>
                  <w:vAlign w:val="center"/>
                </w:tcPr>
                <w:p w14:paraId="5FC52C38">
                  <w:pPr>
                    <w:widowControl/>
                    <w:spacing w:line="240" w:lineRule="auto"/>
                    <w:jc w:val="center"/>
                    <w:rPr>
                      <w:rFonts w:hint="eastAsia" w:cs="宋体"/>
                      <w:color w:val="auto"/>
                      <w:sz w:val="18"/>
                      <w:szCs w:val="18"/>
                      <w:lang w:val="en-US" w:eastAsia="zh-CN"/>
                    </w:rPr>
                  </w:pPr>
                </w:p>
              </w:tc>
              <w:tc>
                <w:tcPr>
                  <w:tcW w:w="507" w:type="pct"/>
                  <w:tcBorders>
                    <w:top w:val="single" w:color="auto" w:sz="4" w:space="0"/>
                    <w:left w:val="single" w:color="auto" w:sz="4" w:space="0"/>
                    <w:bottom w:val="single" w:color="auto" w:sz="4" w:space="0"/>
                    <w:right w:val="single" w:color="auto" w:sz="4" w:space="0"/>
                  </w:tcBorders>
                  <w:shd w:val="clear" w:color="auto" w:fill="auto"/>
                  <w:vAlign w:val="center"/>
                </w:tcPr>
                <w:p w14:paraId="031010E0">
                  <w:pPr>
                    <w:widowControl/>
                    <w:spacing w:line="240" w:lineRule="auto"/>
                    <w:jc w:val="center"/>
                    <w:textAlignment w:val="center"/>
                    <w:rPr>
                      <w:rFonts w:hint="default" w:cs="宋体"/>
                      <w:color w:val="auto"/>
                      <w:sz w:val="18"/>
                      <w:szCs w:val="18"/>
                      <w:lang w:val="en-US" w:eastAsia="zh-CN"/>
                    </w:rPr>
                  </w:pPr>
                  <w:r>
                    <w:rPr>
                      <w:rFonts w:hint="eastAsia" w:cs="宋体"/>
                      <w:color w:val="auto"/>
                      <w:sz w:val="18"/>
                      <w:szCs w:val="18"/>
                      <w:lang w:val="en-US" w:eastAsia="zh-CN"/>
                    </w:rPr>
                    <w:t>废包装桶</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9FE952">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HW08</w:t>
                  </w:r>
                </w:p>
              </w:tc>
              <w:tc>
                <w:tcPr>
                  <w:tcW w:w="64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33C748">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900-2</w:t>
                  </w:r>
                  <w:r>
                    <w:rPr>
                      <w:rFonts w:hint="eastAsia"/>
                      <w:color w:val="auto"/>
                      <w:kern w:val="0"/>
                      <w:sz w:val="18"/>
                      <w:szCs w:val="18"/>
                      <w:lang w:val="en-US" w:eastAsia="zh-CN" w:bidi="ar"/>
                    </w:rPr>
                    <w:t>49</w:t>
                  </w:r>
                  <w:r>
                    <w:rPr>
                      <w:color w:val="auto"/>
                      <w:kern w:val="0"/>
                      <w:sz w:val="18"/>
                      <w:szCs w:val="18"/>
                      <w:lang w:bidi="ar"/>
                    </w:rPr>
                    <w:t>-08</w:t>
                  </w:r>
                </w:p>
              </w:tc>
              <w:tc>
                <w:tcPr>
                  <w:tcW w:w="4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E512834">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0.</w:t>
                  </w:r>
                  <w:r>
                    <w:rPr>
                      <w:rFonts w:hint="eastAsia"/>
                      <w:color w:val="auto"/>
                      <w:kern w:val="0"/>
                      <w:sz w:val="18"/>
                      <w:szCs w:val="18"/>
                      <w:lang w:bidi="ar"/>
                    </w:rPr>
                    <w:t>0</w:t>
                  </w:r>
                  <w:r>
                    <w:rPr>
                      <w:rFonts w:hint="eastAsia"/>
                      <w:color w:val="auto"/>
                      <w:kern w:val="0"/>
                      <w:sz w:val="18"/>
                      <w:szCs w:val="18"/>
                      <w:lang w:val="en-US" w:eastAsia="zh-CN" w:bidi="ar"/>
                    </w:rPr>
                    <w:t>2</w:t>
                  </w:r>
                </w:p>
              </w:tc>
              <w:tc>
                <w:tcPr>
                  <w:tcW w:w="344" w:type="pct"/>
                  <w:tcBorders>
                    <w:top w:val="single" w:color="auto" w:sz="4" w:space="0"/>
                    <w:left w:val="single" w:color="auto" w:sz="4" w:space="0"/>
                    <w:bottom w:val="single" w:color="auto" w:sz="4" w:space="0"/>
                    <w:right w:val="single" w:color="auto" w:sz="4" w:space="0"/>
                  </w:tcBorders>
                  <w:shd w:val="clear" w:color="auto" w:fill="auto"/>
                  <w:vAlign w:val="center"/>
                </w:tcPr>
                <w:p w14:paraId="6D8AF145">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辅料使用</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7FDDD154">
                  <w:pPr>
                    <w:widowControl/>
                    <w:spacing w:line="240" w:lineRule="auto"/>
                    <w:jc w:val="center"/>
                    <w:textAlignment w:val="center"/>
                    <w:rPr>
                      <w:rFonts w:hint="eastAsia" w:cs="宋体"/>
                      <w:color w:val="auto"/>
                      <w:kern w:val="0"/>
                      <w:sz w:val="18"/>
                      <w:szCs w:val="18"/>
                      <w:lang w:val="en-US" w:eastAsia="zh-CN" w:bidi="ar"/>
                    </w:rPr>
                  </w:pPr>
                  <w:r>
                    <w:rPr>
                      <w:rFonts w:hint="eastAsia" w:cs="宋体"/>
                      <w:color w:val="auto"/>
                      <w:kern w:val="0"/>
                      <w:sz w:val="18"/>
                      <w:szCs w:val="18"/>
                      <w:lang w:bidi="ar"/>
                    </w:rPr>
                    <w:t>固态</w:t>
                  </w:r>
                </w:p>
              </w:tc>
              <w:tc>
                <w:tcPr>
                  <w:tcW w:w="551" w:type="pct"/>
                  <w:tcBorders>
                    <w:top w:val="single" w:color="auto" w:sz="4" w:space="0"/>
                    <w:left w:val="single" w:color="auto" w:sz="4" w:space="0"/>
                    <w:bottom w:val="single" w:color="auto" w:sz="4" w:space="0"/>
                    <w:right w:val="single" w:color="auto" w:sz="4" w:space="0"/>
                  </w:tcBorders>
                  <w:shd w:val="clear" w:color="auto" w:fill="auto"/>
                  <w:vAlign w:val="center"/>
                </w:tcPr>
                <w:p w14:paraId="6AF2065B">
                  <w:pPr>
                    <w:widowControl/>
                    <w:spacing w:line="240" w:lineRule="auto"/>
                    <w:jc w:val="center"/>
                    <w:textAlignment w:val="center"/>
                    <w:rPr>
                      <w:rFonts w:hint="eastAsia" w:cs="宋体"/>
                      <w:color w:val="auto"/>
                      <w:sz w:val="18"/>
                      <w:szCs w:val="18"/>
                      <w:lang w:val="en-US" w:eastAsia="zh-CN"/>
                    </w:rPr>
                  </w:pPr>
                  <w:r>
                    <w:rPr>
                      <w:rFonts w:hint="eastAsia" w:cs="宋体"/>
                      <w:color w:val="auto"/>
                      <w:kern w:val="0"/>
                      <w:sz w:val="18"/>
                      <w:szCs w:val="18"/>
                      <w:lang w:bidi="ar"/>
                    </w:rPr>
                    <w:t>塑料</w:t>
                  </w:r>
                </w:p>
              </w:tc>
              <w:tc>
                <w:tcPr>
                  <w:tcW w:w="360" w:type="pct"/>
                  <w:tcBorders>
                    <w:top w:val="single" w:color="auto" w:sz="4" w:space="0"/>
                    <w:left w:val="single" w:color="auto" w:sz="4" w:space="0"/>
                    <w:bottom w:val="single" w:color="auto" w:sz="4" w:space="0"/>
                    <w:right w:val="single" w:color="auto" w:sz="4" w:space="0"/>
                  </w:tcBorders>
                  <w:shd w:val="clear" w:color="auto" w:fill="auto"/>
                  <w:vAlign w:val="center"/>
                </w:tcPr>
                <w:p w14:paraId="10FC2C8C">
                  <w:pPr>
                    <w:widowControl/>
                    <w:spacing w:line="240" w:lineRule="auto"/>
                    <w:jc w:val="center"/>
                    <w:textAlignment w:val="center"/>
                    <w:rPr>
                      <w:rFonts w:hint="eastAsia" w:eastAsia="宋体" w:cs="宋体"/>
                      <w:color w:val="auto"/>
                      <w:kern w:val="0"/>
                      <w:sz w:val="18"/>
                      <w:szCs w:val="18"/>
                      <w:lang w:val="en-US" w:eastAsia="zh-CN" w:bidi="ar"/>
                    </w:rPr>
                  </w:pPr>
                  <w:r>
                    <w:rPr>
                      <w:rFonts w:hint="eastAsia" w:cs="宋体"/>
                      <w:color w:val="auto"/>
                      <w:kern w:val="0"/>
                      <w:sz w:val="18"/>
                      <w:szCs w:val="18"/>
                      <w:lang w:val="en-US" w:eastAsia="zh-CN" w:bidi="ar"/>
                    </w:rPr>
                    <w:t>/</w:t>
                  </w:r>
                </w:p>
              </w:tc>
              <w:tc>
                <w:tcPr>
                  <w:tcW w:w="4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77448B">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T</w:t>
                  </w:r>
                </w:p>
              </w:tc>
              <w:tc>
                <w:tcPr>
                  <w:tcW w:w="360" w:type="pct"/>
                  <w:vMerge w:val="continue"/>
                  <w:tcBorders>
                    <w:left w:val="single" w:color="auto" w:sz="4" w:space="0"/>
                    <w:bottom w:val="single" w:color="auto" w:sz="4" w:space="0"/>
                    <w:right w:val="single" w:color="auto" w:sz="4" w:space="0"/>
                  </w:tcBorders>
                  <w:shd w:val="clear" w:color="auto" w:fill="auto"/>
                  <w:vAlign w:val="center"/>
                </w:tcPr>
                <w:p w14:paraId="639ABA24">
                  <w:pPr>
                    <w:widowControl/>
                    <w:spacing w:line="240" w:lineRule="auto"/>
                    <w:jc w:val="center"/>
                    <w:rPr>
                      <w:rFonts w:hint="eastAsia" w:cs="宋体"/>
                      <w:color w:val="auto"/>
                      <w:sz w:val="18"/>
                      <w:szCs w:val="18"/>
                      <w:lang w:val="en-US" w:eastAsia="zh-CN"/>
                    </w:rPr>
                  </w:pPr>
                </w:p>
              </w:tc>
            </w:tr>
          </w:tbl>
          <w:p w14:paraId="25EBBF9B">
            <w:pPr>
              <w:ind w:firstLine="480" w:firstLineChars="200"/>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t>一般固废库建设内容及管理要求：员工办公与生活中产生的生活垃圾，在厂内定点收集储存，按照当地环境保护和卫生管理部门的要求统一处置。</w:t>
            </w:r>
            <w:r>
              <w:rPr>
                <w:rFonts w:hint="eastAsia" w:ascii="Times New Roman" w:hAnsi="Times New Roman" w:eastAsia="宋体" w:cs="Times New Roman"/>
                <w:color w:val="auto"/>
                <w:szCs w:val="24"/>
                <w:lang w:val="en-US" w:eastAsia="zh-CN"/>
              </w:rPr>
              <w:t>本项目依托现有</w:t>
            </w:r>
            <w:r>
              <w:rPr>
                <w:rFonts w:hint="eastAsia" w:ascii="Times New Roman" w:hAnsi="Times New Roman" w:eastAsia="宋体" w:cs="Times New Roman"/>
                <w:color w:val="auto"/>
                <w:szCs w:val="24"/>
              </w:rPr>
              <w:t>1座一般固废临时暂存场所，在</w:t>
            </w:r>
            <w:r>
              <w:rPr>
                <w:rFonts w:hint="eastAsia" w:ascii="Times New Roman" w:hAnsi="Times New Roman" w:eastAsia="宋体" w:cs="Times New Roman"/>
                <w:color w:val="auto"/>
                <w:szCs w:val="24"/>
                <w:lang w:val="en-US" w:eastAsia="zh-CN"/>
              </w:rPr>
              <w:t>4</w:t>
            </w:r>
            <w:r>
              <w:rPr>
                <w:rFonts w:hint="eastAsia" w:ascii="Times New Roman" w:hAnsi="Times New Roman" w:eastAsia="宋体" w:cs="Times New Roman"/>
                <w:color w:val="auto"/>
                <w:szCs w:val="24"/>
              </w:rPr>
              <w:t>#厂房车间内的南侧，面积为</w:t>
            </w:r>
            <w:r>
              <w:rPr>
                <w:rFonts w:hint="eastAsia" w:ascii="Times New Roman" w:hAnsi="Times New Roman" w:eastAsia="宋体" w:cs="Times New Roman"/>
                <w:color w:val="auto"/>
                <w:szCs w:val="24"/>
                <w:lang w:val="en-US" w:eastAsia="zh-CN"/>
              </w:rPr>
              <w:t>100</w:t>
            </w:r>
            <w:r>
              <w:rPr>
                <w:rFonts w:hint="eastAsia" w:ascii="Times New Roman" w:hAnsi="Times New Roman" w:eastAsia="宋体" w:cs="Times New Roman"/>
                <w:color w:val="auto"/>
                <w:szCs w:val="24"/>
              </w:rPr>
              <w:t>0m</w:t>
            </w:r>
            <w:r>
              <w:rPr>
                <w:rFonts w:hint="eastAsia" w:ascii="Times New Roman" w:hAnsi="Times New Roman" w:eastAsia="宋体" w:cs="Times New Roman"/>
                <w:color w:val="auto"/>
                <w:szCs w:val="24"/>
                <w:vertAlign w:val="superscript"/>
              </w:rPr>
              <w:t>2</w:t>
            </w:r>
            <w:r>
              <w:rPr>
                <w:rFonts w:hint="eastAsia" w:ascii="Times New Roman" w:hAnsi="Times New Roman" w:eastAsia="宋体" w:cs="Times New Roman"/>
                <w:color w:val="auto"/>
                <w:szCs w:val="24"/>
              </w:rPr>
              <w:t>，用于存放收集的废边角料</w:t>
            </w:r>
            <w:r>
              <w:rPr>
                <w:rFonts w:hint="eastAsia" w:ascii="Times New Roman" w:hAnsi="Times New Roman" w:eastAsia="宋体" w:cs="Times New Roman"/>
                <w:color w:val="auto"/>
                <w:szCs w:val="24"/>
                <w:lang w:val="en-US" w:eastAsia="zh-CN"/>
              </w:rPr>
              <w:t>及不合格品</w:t>
            </w:r>
            <w:r>
              <w:rPr>
                <w:rFonts w:hint="eastAsia" w:ascii="Times New Roman" w:hAnsi="Times New Roman" w:eastAsia="宋体" w:cs="Times New Roman"/>
                <w:color w:val="auto"/>
                <w:szCs w:val="24"/>
              </w:rPr>
              <w:t>，本项目一般固体废物处理措施和处置方案满足《一般工业固体废物贮存和填埋污染控制标准》（GB18599-2020）中的有关规定和《中华人民共和国固体废物污染环境防治法》中的有关规定，不会对周围环境造成不利影响。</w:t>
            </w:r>
          </w:p>
          <w:p w14:paraId="1918C534">
            <w:pPr>
              <w:adjustRightInd w:val="0"/>
              <w:snapToGrid w:val="0"/>
              <w:rPr>
                <w:b/>
                <w:bCs/>
                <w:color w:val="auto"/>
                <w:szCs w:val="24"/>
              </w:rPr>
            </w:pPr>
            <w:r>
              <w:rPr>
                <w:b/>
                <w:bCs/>
                <w:color w:val="auto"/>
                <w:szCs w:val="24"/>
              </w:rPr>
              <w:t>2</w:t>
            </w:r>
            <w:r>
              <w:rPr>
                <w:rFonts w:hint="eastAsia"/>
                <w:b/>
                <w:bCs/>
                <w:color w:val="auto"/>
                <w:szCs w:val="24"/>
              </w:rPr>
              <w:t>、危险废物</w:t>
            </w:r>
            <w:r>
              <w:rPr>
                <w:rFonts w:hint="eastAsia"/>
                <w:b/>
                <w:bCs/>
                <w:color w:val="auto"/>
                <w:szCs w:val="24"/>
                <w:lang w:val="en-US" w:eastAsia="zh-CN"/>
              </w:rPr>
              <w:t>存放、处置</w:t>
            </w:r>
            <w:r>
              <w:rPr>
                <w:rFonts w:hint="eastAsia"/>
                <w:b/>
                <w:bCs/>
                <w:color w:val="auto"/>
                <w:szCs w:val="24"/>
              </w:rPr>
              <w:t>可行性分析</w:t>
            </w:r>
          </w:p>
          <w:p w14:paraId="1C420F2A">
            <w:pPr>
              <w:ind w:firstLine="480" w:firstLineChars="200"/>
              <w:rPr>
                <w:color w:val="auto"/>
                <w:szCs w:val="22"/>
              </w:rPr>
            </w:pPr>
            <w:r>
              <w:rPr>
                <w:rFonts w:hint="eastAsia"/>
                <w:color w:val="auto"/>
                <w:szCs w:val="24"/>
              </w:rPr>
              <w:t>本项目危险废物</w:t>
            </w:r>
            <w:r>
              <w:rPr>
                <w:rFonts w:hint="eastAsia"/>
                <w:color w:val="auto"/>
                <w:szCs w:val="24"/>
                <w:lang w:val="en-US" w:eastAsia="zh-CN"/>
              </w:rPr>
              <w:t>暂存依托现有</w:t>
            </w:r>
            <w:r>
              <w:rPr>
                <w:rFonts w:hint="eastAsia"/>
                <w:color w:val="auto"/>
                <w:szCs w:val="24"/>
              </w:rPr>
              <w:t>的危废库，面积约</w:t>
            </w:r>
            <w:r>
              <w:rPr>
                <w:rFonts w:hint="eastAsia"/>
                <w:color w:val="auto"/>
                <w:szCs w:val="24"/>
                <w:lang w:val="en-US" w:eastAsia="zh-CN"/>
              </w:rPr>
              <w:t>50</w:t>
            </w:r>
            <w:r>
              <w:rPr>
                <w:rFonts w:hint="eastAsia"/>
                <w:color w:val="auto"/>
                <w:szCs w:val="24"/>
              </w:rPr>
              <w:t>m</w:t>
            </w:r>
            <w:r>
              <w:rPr>
                <w:rFonts w:hint="eastAsia"/>
                <w:color w:val="auto"/>
                <w:szCs w:val="24"/>
                <w:vertAlign w:val="superscript"/>
              </w:rPr>
              <w:t>2</w:t>
            </w:r>
            <w:r>
              <w:rPr>
                <w:rFonts w:hint="eastAsia"/>
                <w:color w:val="auto"/>
                <w:szCs w:val="24"/>
              </w:rPr>
              <w:t>。危废库位于</w:t>
            </w:r>
            <w:r>
              <w:rPr>
                <w:rFonts w:hint="eastAsia"/>
                <w:color w:val="auto"/>
                <w:szCs w:val="24"/>
                <w:lang w:val="en-US" w:eastAsia="zh-CN"/>
              </w:rPr>
              <w:t>安安厂区</w:t>
            </w:r>
            <w:r>
              <w:rPr>
                <w:rFonts w:hint="eastAsia"/>
                <w:color w:val="auto"/>
                <w:szCs w:val="22"/>
                <w:lang w:val="en-US" w:eastAsia="zh-CN"/>
              </w:rPr>
              <w:t>泡模仓库右侧</w:t>
            </w:r>
            <w:r>
              <w:rPr>
                <w:color w:val="auto"/>
                <w:szCs w:val="22"/>
              </w:rPr>
              <w:t>区域，有利于</w:t>
            </w:r>
            <w:r>
              <w:rPr>
                <w:rFonts w:hint="eastAsia"/>
                <w:color w:val="auto"/>
                <w:lang w:val="en-US" w:eastAsia="zh-CN"/>
              </w:rPr>
              <w:t>铝灰渣</w:t>
            </w:r>
            <w:r>
              <w:rPr>
                <w:color w:val="auto"/>
                <w:szCs w:val="22"/>
              </w:rPr>
              <w:t>等危险废物的收集、暂存，因此，本项目危险废物堆场选址可行。</w:t>
            </w:r>
          </w:p>
          <w:p w14:paraId="5F44F1A3">
            <w:pPr>
              <w:ind w:firstLine="480" w:firstLineChars="200"/>
              <w:rPr>
                <w:rFonts w:hint="eastAsia" w:eastAsia="宋体"/>
                <w:color w:val="auto"/>
                <w:lang w:val="en-US" w:eastAsia="zh-CN"/>
              </w:rPr>
            </w:pPr>
            <w:r>
              <w:rPr>
                <w:rFonts w:hint="eastAsia"/>
                <w:color w:val="auto"/>
                <w:szCs w:val="24"/>
              </w:rPr>
              <w:t>本项目危废年产生量为</w:t>
            </w:r>
            <w:r>
              <w:rPr>
                <w:rFonts w:hint="eastAsia"/>
                <w:color w:val="auto"/>
                <w:szCs w:val="24"/>
                <w:lang w:val="en-US" w:eastAsia="zh-CN"/>
              </w:rPr>
              <w:t>126.9</w:t>
            </w:r>
            <w:r>
              <w:rPr>
                <w:rFonts w:hint="eastAsia"/>
                <w:color w:val="auto"/>
                <w:szCs w:val="24"/>
              </w:rPr>
              <w:t>t；主要危险废物为</w:t>
            </w:r>
            <w:r>
              <w:rPr>
                <w:rFonts w:hint="eastAsia"/>
                <w:color w:val="auto"/>
                <w:szCs w:val="24"/>
                <w:lang w:val="en-US" w:eastAsia="zh-CN"/>
              </w:rPr>
              <w:t>铝灰渣及收集粉尘</w:t>
            </w:r>
            <w:r>
              <w:rPr>
                <w:rFonts w:hint="eastAsia"/>
                <w:color w:val="auto"/>
                <w:szCs w:val="24"/>
              </w:rPr>
              <w:t>，每</w:t>
            </w:r>
            <w:r>
              <w:rPr>
                <w:rFonts w:hint="eastAsia"/>
                <w:color w:val="auto"/>
                <w:szCs w:val="24"/>
                <w:lang w:val="en-US" w:eastAsia="zh-CN"/>
              </w:rPr>
              <w:t>1</w:t>
            </w:r>
            <w:r>
              <w:rPr>
                <w:rFonts w:hint="eastAsia"/>
                <w:color w:val="auto"/>
                <w:szCs w:val="24"/>
              </w:rPr>
              <w:t>个月转移一次，</w:t>
            </w:r>
            <w:r>
              <w:rPr>
                <w:rFonts w:hint="eastAsia"/>
                <w:color w:val="auto"/>
                <w:szCs w:val="24"/>
                <w:lang w:val="en-US" w:eastAsia="zh-CN"/>
              </w:rPr>
              <w:t>最大暂存</w:t>
            </w:r>
            <w:r>
              <w:rPr>
                <w:rFonts w:hint="eastAsia"/>
                <w:color w:val="auto"/>
                <w:szCs w:val="24"/>
              </w:rPr>
              <w:t>量为</w:t>
            </w:r>
            <w:r>
              <w:rPr>
                <w:rFonts w:hint="eastAsia"/>
                <w:color w:val="auto"/>
                <w:szCs w:val="24"/>
                <w:lang w:val="en-US" w:eastAsia="zh-CN"/>
              </w:rPr>
              <w:t>10.68</w:t>
            </w:r>
            <w:r>
              <w:rPr>
                <w:rFonts w:hint="eastAsia"/>
                <w:color w:val="auto"/>
                <w:szCs w:val="24"/>
              </w:rPr>
              <w:t>t</w:t>
            </w:r>
            <w:r>
              <w:rPr>
                <w:rFonts w:hint="eastAsia"/>
                <w:color w:val="auto"/>
                <w:szCs w:val="24"/>
                <w:lang w:eastAsia="zh-CN"/>
              </w:rPr>
              <w:t>，</w:t>
            </w:r>
            <w:r>
              <w:rPr>
                <w:rFonts w:hint="eastAsia"/>
                <w:color w:val="auto"/>
                <w:szCs w:val="24"/>
                <w:lang w:val="en-US" w:eastAsia="zh-CN"/>
              </w:rPr>
              <w:t>需要面积约11</w:t>
            </w:r>
            <w:r>
              <w:rPr>
                <w:color w:val="auto"/>
                <w:szCs w:val="22"/>
              </w:rPr>
              <w:t>m</w:t>
            </w:r>
            <w:r>
              <w:rPr>
                <w:color w:val="auto"/>
                <w:szCs w:val="22"/>
                <w:vertAlign w:val="superscript"/>
              </w:rPr>
              <w:t>2</w:t>
            </w:r>
            <w:r>
              <w:rPr>
                <w:rFonts w:hint="eastAsia"/>
                <w:color w:val="auto"/>
                <w:szCs w:val="24"/>
              </w:rPr>
              <w:t>；现有项目危废</w:t>
            </w:r>
            <w:r>
              <w:rPr>
                <w:rFonts w:hint="eastAsia"/>
                <w:color w:val="auto"/>
                <w:szCs w:val="24"/>
                <w:lang w:val="en-US" w:eastAsia="zh-CN"/>
              </w:rPr>
              <w:t>最大储存量</w:t>
            </w:r>
            <w:r>
              <w:rPr>
                <w:rFonts w:hint="eastAsia"/>
                <w:color w:val="auto"/>
                <w:szCs w:val="24"/>
              </w:rPr>
              <w:t>为</w:t>
            </w:r>
            <w:r>
              <w:rPr>
                <w:rFonts w:hint="eastAsia"/>
                <w:color w:val="auto"/>
                <w:szCs w:val="24"/>
                <w:lang w:val="en-US" w:eastAsia="zh-CN"/>
              </w:rPr>
              <w:t>20</w:t>
            </w:r>
            <w:r>
              <w:rPr>
                <w:rFonts w:hint="eastAsia"/>
                <w:color w:val="auto"/>
                <w:szCs w:val="24"/>
              </w:rPr>
              <w:t>t，则理论上全厂危废最大转移量为</w:t>
            </w:r>
            <w:r>
              <w:rPr>
                <w:rFonts w:hint="eastAsia"/>
                <w:color w:val="auto"/>
                <w:szCs w:val="24"/>
                <w:lang w:val="en-US" w:eastAsia="zh-CN"/>
              </w:rPr>
              <w:t>30.68</w:t>
            </w:r>
            <w:r>
              <w:rPr>
                <w:rFonts w:hint="eastAsia"/>
                <w:color w:val="auto"/>
                <w:szCs w:val="24"/>
              </w:rPr>
              <w:t>t，</w:t>
            </w:r>
            <w:r>
              <w:rPr>
                <w:color w:val="auto"/>
                <w:szCs w:val="22"/>
              </w:rPr>
              <w:t>以1 t/m</w:t>
            </w:r>
            <w:r>
              <w:rPr>
                <w:color w:val="auto"/>
                <w:szCs w:val="22"/>
                <w:vertAlign w:val="superscript"/>
              </w:rPr>
              <w:t>2</w:t>
            </w:r>
            <w:r>
              <w:rPr>
                <w:color w:val="auto"/>
                <w:szCs w:val="22"/>
              </w:rPr>
              <w:t>储存能力计，则需要面积约</w:t>
            </w:r>
            <w:r>
              <w:rPr>
                <w:rFonts w:hint="eastAsia"/>
                <w:color w:val="auto"/>
                <w:szCs w:val="22"/>
                <w:lang w:val="en-US" w:eastAsia="zh-CN"/>
              </w:rPr>
              <w:t>31</w:t>
            </w:r>
            <w:r>
              <w:rPr>
                <w:rFonts w:hint="eastAsia"/>
                <w:color w:val="auto"/>
                <w:szCs w:val="24"/>
              </w:rPr>
              <w:t>m²，企业</w:t>
            </w:r>
            <w:r>
              <w:rPr>
                <w:rFonts w:hint="eastAsia"/>
                <w:color w:val="auto"/>
                <w:szCs w:val="24"/>
                <w:lang w:val="en-US" w:eastAsia="zh-CN"/>
              </w:rPr>
              <w:t>现有5</w:t>
            </w:r>
            <w:r>
              <w:rPr>
                <w:rFonts w:hint="eastAsia"/>
                <w:color w:val="auto"/>
                <w:szCs w:val="24"/>
              </w:rPr>
              <w:t>0m²的危废库1座，</w:t>
            </w:r>
            <w:r>
              <w:rPr>
                <w:rFonts w:hint="eastAsia"/>
                <w:color w:val="auto"/>
                <w:szCs w:val="24"/>
                <w:lang w:val="en-US" w:eastAsia="zh-CN"/>
              </w:rPr>
              <w:t>贮存能力为50t，</w:t>
            </w:r>
            <w:r>
              <w:rPr>
                <w:color w:val="auto"/>
                <w:szCs w:val="22"/>
              </w:rPr>
              <w:t>因此</w:t>
            </w:r>
            <w:r>
              <w:rPr>
                <w:rFonts w:hint="eastAsia"/>
                <w:color w:val="auto"/>
                <w:szCs w:val="22"/>
              </w:rPr>
              <w:t>企业</w:t>
            </w:r>
            <w:r>
              <w:rPr>
                <w:rFonts w:hint="eastAsia"/>
                <w:color w:val="auto"/>
                <w:szCs w:val="24"/>
                <w:lang w:val="en-US" w:eastAsia="zh-CN"/>
              </w:rPr>
              <w:t>现有5</w:t>
            </w:r>
            <w:r>
              <w:rPr>
                <w:rFonts w:hint="eastAsia"/>
                <w:color w:val="auto"/>
                <w:szCs w:val="24"/>
              </w:rPr>
              <w:t>0m²的危废库</w:t>
            </w:r>
            <w:r>
              <w:rPr>
                <w:rFonts w:hint="eastAsia"/>
                <w:color w:val="auto"/>
                <w:szCs w:val="22"/>
              </w:rPr>
              <w:t>可满足要求，</w:t>
            </w:r>
            <w:r>
              <w:rPr>
                <w:rFonts w:hint="eastAsia"/>
                <w:color w:val="auto"/>
                <w:szCs w:val="24"/>
              </w:rPr>
              <w:t>危废库</w:t>
            </w:r>
            <w:r>
              <w:rPr>
                <w:color w:val="auto"/>
                <w:szCs w:val="22"/>
              </w:rPr>
              <w:t>贮存能力能够满足</w:t>
            </w:r>
            <w:r>
              <w:rPr>
                <w:rFonts w:hint="eastAsia"/>
                <w:color w:val="auto"/>
                <w:szCs w:val="22"/>
                <w:lang w:val="en-US" w:eastAsia="zh-CN"/>
              </w:rPr>
              <w:t>本项目</w:t>
            </w:r>
            <w:r>
              <w:rPr>
                <w:color w:val="auto"/>
                <w:szCs w:val="22"/>
              </w:rPr>
              <w:t>需要</w:t>
            </w:r>
            <w:r>
              <w:rPr>
                <w:rFonts w:hint="eastAsia"/>
                <w:color w:val="auto"/>
                <w:szCs w:val="24"/>
              </w:rPr>
              <w:t>。</w:t>
            </w:r>
          </w:p>
          <w:p w14:paraId="493F8A73">
            <w:pPr>
              <w:ind w:firstLine="482"/>
              <w:jc w:val="center"/>
              <w:rPr>
                <w:color w:val="auto"/>
              </w:rPr>
            </w:pPr>
            <w:r>
              <w:rPr>
                <w:rFonts w:eastAsia="黑体"/>
                <w:color w:val="auto"/>
              </w:rPr>
              <w:t>表4-</w:t>
            </w:r>
            <w:r>
              <w:rPr>
                <w:rFonts w:hint="eastAsia" w:eastAsia="黑体"/>
                <w:color w:val="auto"/>
              </w:rPr>
              <w:t>1</w:t>
            </w:r>
            <w:r>
              <w:rPr>
                <w:rFonts w:hint="eastAsia" w:eastAsia="黑体"/>
                <w:color w:val="auto"/>
                <w:lang w:val="en-US" w:eastAsia="zh-CN"/>
              </w:rPr>
              <w:t>9</w:t>
            </w:r>
            <w:r>
              <w:rPr>
                <w:rFonts w:hint="eastAsia" w:eastAsia="黑体"/>
                <w:color w:val="auto"/>
              </w:rPr>
              <w:t xml:space="preserve"> </w:t>
            </w:r>
            <w:r>
              <w:rPr>
                <w:rFonts w:eastAsia="黑体"/>
                <w:color w:val="auto"/>
              </w:rPr>
              <w:t xml:space="preserve"> </w:t>
            </w:r>
            <w:r>
              <w:rPr>
                <w:rFonts w:hint="eastAsia" w:eastAsia="黑体"/>
                <w:color w:val="auto"/>
              </w:rPr>
              <w:t>本项目危险废物贮存场所（设施）基本情况表</w:t>
            </w:r>
          </w:p>
          <w:tbl>
            <w:tblPr>
              <w:tblStyle w:val="69"/>
              <w:tblW w:w="9065" w:type="dxa"/>
              <w:tblInd w:w="0" w:type="dxa"/>
              <w:tblLayout w:type="fixed"/>
              <w:tblCellMar>
                <w:top w:w="0" w:type="dxa"/>
                <w:left w:w="108" w:type="dxa"/>
                <w:bottom w:w="0" w:type="dxa"/>
                <w:right w:w="108" w:type="dxa"/>
              </w:tblCellMar>
            </w:tblPr>
            <w:tblGrid>
              <w:gridCol w:w="449"/>
              <w:gridCol w:w="575"/>
              <w:gridCol w:w="923"/>
              <w:gridCol w:w="700"/>
              <w:gridCol w:w="1177"/>
              <w:gridCol w:w="760"/>
              <w:gridCol w:w="631"/>
              <w:gridCol w:w="657"/>
              <w:gridCol w:w="1003"/>
              <w:gridCol w:w="657"/>
              <w:gridCol w:w="648"/>
              <w:gridCol w:w="885"/>
            </w:tblGrid>
            <w:tr w14:paraId="43A38AE6">
              <w:tblPrEx>
                <w:tblCellMar>
                  <w:top w:w="0" w:type="dxa"/>
                  <w:left w:w="108" w:type="dxa"/>
                  <w:bottom w:w="0" w:type="dxa"/>
                  <w:right w:w="108" w:type="dxa"/>
                </w:tblCellMar>
              </w:tblPrEx>
              <w:trPr>
                <w:trHeight w:val="340" w:hRule="atLeast"/>
              </w:trPr>
              <w:tc>
                <w:tcPr>
                  <w:tcW w:w="247" w:type="pct"/>
                  <w:tcBorders>
                    <w:top w:val="single" w:color="000000" w:sz="4" w:space="0"/>
                    <w:left w:val="single" w:color="000000" w:sz="4" w:space="0"/>
                    <w:bottom w:val="single" w:color="auto" w:sz="4" w:space="0"/>
                    <w:right w:val="single" w:color="000000" w:sz="4" w:space="0"/>
                  </w:tcBorders>
                  <w:shd w:val="clear" w:color="auto" w:fill="auto"/>
                  <w:vAlign w:val="center"/>
                </w:tcPr>
                <w:p w14:paraId="7CDF1E8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序号</w:t>
                  </w:r>
                </w:p>
              </w:tc>
              <w:tc>
                <w:tcPr>
                  <w:tcW w:w="317" w:type="pct"/>
                  <w:tcBorders>
                    <w:top w:val="single" w:color="000000" w:sz="4" w:space="0"/>
                    <w:left w:val="single" w:color="000000" w:sz="4" w:space="0"/>
                    <w:bottom w:val="single" w:color="auto" w:sz="4" w:space="0"/>
                    <w:right w:val="single" w:color="000000" w:sz="4" w:space="0"/>
                  </w:tcBorders>
                  <w:shd w:val="clear" w:color="auto" w:fill="auto"/>
                  <w:vAlign w:val="center"/>
                </w:tcPr>
                <w:p w14:paraId="7DB9A1DB">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贮存场所</w:t>
                  </w:r>
                </w:p>
              </w:tc>
              <w:tc>
                <w:tcPr>
                  <w:tcW w:w="509" w:type="pct"/>
                  <w:tcBorders>
                    <w:top w:val="single" w:color="000000" w:sz="4" w:space="0"/>
                    <w:left w:val="single" w:color="000000" w:sz="4" w:space="0"/>
                    <w:bottom w:val="single" w:color="auto" w:sz="4" w:space="0"/>
                    <w:right w:val="single" w:color="000000" w:sz="4" w:space="0"/>
                  </w:tcBorders>
                  <w:shd w:val="clear" w:color="auto" w:fill="auto"/>
                  <w:vAlign w:val="center"/>
                </w:tcPr>
                <w:p w14:paraId="3F9E44F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危废名称</w:t>
                  </w:r>
                </w:p>
              </w:tc>
              <w:tc>
                <w:tcPr>
                  <w:tcW w:w="386" w:type="pct"/>
                  <w:tcBorders>
                    <w:top w:val="single" w:color="000000" w:sz="4" w:space="0"/>
                    <w:left w:val="single" w:color="000000" w:sz="4" w:space="0"/>
                    <w:bottom w:val="single" w:color="auto" w:sz="4" w:space="0"/>
                    <w:right w:val="single" w:color="000000" w:sz="4" w:space="0"/>
                  </w:tcBorders>
                  <w:shd w:val="clear" w:color="auto" w:fill="auto"/>
                  <w:vAlign w:val="center"/>
                </w:tcPr>
                <w:p w14:paraId="44AEEE8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废物类别</w:t>
                  </w:r>
                </w:p>
              </w:tc>
              <w:tc>
                <w:tcPr>
                  <w:tcW w:w="649" w:type="pct"/>
                  <w:tcBorders>
                    <w:top w:val="single" w:color="000000" w:sz="4" w:space="0"/>
                    <w:left w:val="single" w:color="000000" w:sz="4" w:space="0"/>
                    <w:bottom w:val="single" w:color="auto" w:sz="4" w:space="0"/>
                    <w:right w:val="single" w:color="000000" w:sz="4" w:space="0"/>
                  </w:tcBorders>
                  <w:shd w:val="clear" w:color="auto" w:fill="auto"/>
                  <w:vAlign w:val="center"/>
                </w:tcPr>
                <w:p w14:paraId="25834E0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废物代码</w:t>
                  </w:r>
                </w:p>
              </w:tc>
              <w:tc>
                <w:tcPr>
                  <w:tcW w:w="419" w:type="pct"/>
                  <w:tcBorders>
                    <w:top w:val="single" w:color="000000" w:sz="4" w:space="0"/>
                    <w:left w:val="single" w:color="000000" w:sz="4" w:space="0"/>
                    <w:bottom w:val="single" w:color="auto" w:sz="4" w:space="0"/>
                    <w:right w:val="single" w:color="000000" w:sz="4" w:space="0"/>
                  </w:tcBorders>
                  <w:shd w:val="clear" w:color="auto" w:fill="auto"/>
                  <w:vAlign w:val="center"/>
                </w:tcPr>
                <w:p w14:paraId="623BEB7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产生量（</w:t>
                  </w:r>
                  <w:r>
                    <w:rPr>
                      <w:color w:val="auto"/>
                      <w:kern w:val="0"/>
                      <w:sz w:val="18"/>
                      <w:szCs w:val="18"/>
                      <w:lang w:bidi="ar"/>
                    </w:rPr>
                    <w:t>t/a</w:t>
                  </w:r>
                  <w:r>
                    <w:rPr>
                      <w:rFonts w:hint="eastAsia" w:cs="宋体"/>
                      <w:color w:val="auto"/>
                      <w:kern w:val="0"/>
                      <w:sz w:val="18"/>
                      <w:szCs w:val="18"/>
                      <w:lang w:bidi="ar"/>
                    </w:rPr>
                    <w:t>）</w:t>
                  </w:r>
                </w:p>
              </w:tc>
              <w:tc>
                <w:tcPr>
                  <w:tcW w:w="348" w:type="pct"/>
                  <w:tcBorders>
                    <w:top w:val="single" w:color="000000" w:sz="4" w:space="0"/>
                    <w:left w:val="single" w:color="000000" w:sz="4" w:space="0"/>
                    <w:bottom w:val="single" w:color="auto" w:sz="4" w:space="0"/>
                    <w:right w:val="single" w:color="000000" w:sz="4" w:space="0"/>
                  </w:tcBorders>
                  <w:shd w:val="clear" w:color="auto" w:fill="auto"/>
                  <w:vAlign w:val="center"/>
                </w:tcPr>
                <w:p w14:paraId="012B9D4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产生工序及装置</w:t>
                  </w:r>
                </w:p>
              </w:tc>
              <w:tc>
                <w:tcPr>
                  <w:tcW w:w="362" w:type="pct"/>
                  <w:tcBorders>
                    <w:top w:val="single" w:color="000000" w:sz="4" w:space="0"/>
                    <w:left w:val="single" w:color="000000" w:sz="4" w:space="0"/>
                    <w:bottom w:val="single" w:color="auto" w:sz="4" w:space="0"/>
                    <w:right w:val="single" w:color="000000" w:sz="4" w:space="0"/>
                  </w:tcBorders>
                  <w:shd w:val="clear" w:color="auto" w:fill="auto"/>
                  <w:vAlign w:val="center"/>
                </w:tcPr>
                <w:p w14:paraId="392B1C0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形态</w:t>
                  </w:r>
                </w:p>
              </w:tc>
              <w:tc>
                <w:tcPr>
                  <w:tcW w:w="553" w:type="pct"/>
                  <w:tcBorders>
                    <w:top w:val="single" w:color="000000" w:sz="4" w:space="0"/>
                    <w:left w:val="single" w:color="000000" w:sz="4" w:space="0"/>
                    <w:bottom w:val="single" w:color="auto" w:sz="4" w:space="0"/>
                    <w:right w:val="single" w:color="000000" w:sz="4" w:space="0"/>
                  </w:tcBorders>
                  <w:shd w:val="clear" w:color="auto" w:fill="auto"/>
                  <w:vAlign w:val="center"/>
                </w:tcPr>
                <w:p w14:paraId="40F7F9FA">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主要成分</w:t>
                  </w:r>
                </w:p>
              </w:tc>
              <w:tc>
                <w:tcPr>
                  <w:tcW w:w="362" w:type="pct"/>
                  <w:tcBorders>
                    <w:top w:val="single" w:color="000000" w:sz="4" w:space="0"/>
                    <w:left w:val="single" w:color="000000" w:sz="4" w:space="0"/>
                    <w:bottom w:val="single" w:color="auto" w:sz="4" w:space="0"/>
                    <w:right w:val="single" w:color="000000" w:sz="4" w:space="0"/>
                  </w:tcBorders>
                  <w:shd w:val="clear" w:color="auto" w:fill="auto"/>
                  <w:vAlign w:val="center"/>
                </w:tcPr>
                <w:p w14:paraId="312EB57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贮存方式</w:t>
                  </w:r>
                </w:p>
              </w:tc>
              <w:tc>
                <w:tcPr>
                  <w:tcW w:w="357" w:type="pct"/>
                  <w:tcBorders>
                    <w:top w:val="single" w:color="000000" w:sz="4" w:space="0"/>
                    <w:left w:val="single" w:color="000000" w:sz="4" w:space="0"/>
                    <w:bottom w:val="single" w:color="auto" w:sz="4" w:space="0"/>
                    <w:right w:val="single" w:color="000000" w:sz="4" w:space="0"/>
                  </w:tcBorders>
                  <w:shd w:val="clear" w:color="auto" w:fill="auto"/>
                  <w:vAlign w:val="center"/>
                </w:tcPr>
                <w:p w14:paraId="7CD25C9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贮存能力</w:t>
                  </w:r>
                </w:p>
              </w:tc>
              <w:tc>
                <w:tcPr>
                  <w:tcW w:w="488" w:type="pct"/>
                  <w:tcBorders>
                    <w:top w:val="single" w:color="000000" w:sz="4" w:space="0"/>
                    <w:left w:val="single" w:color="000000" w:sz="4" w:space="0"/>
                    <w:bottom w:val="single" w:color="auto" w:sz="4" w:space="0"/>
                    <w:right w:val="single" w:color="000000" w:sz="4" w:space="0"/>
                  </w:tcBorders>
                  <w:shd w:val="clear" w:color="auto" w:fill="auto"/>
                  <w:vAlign w:val="center"/>
                </w:tcPr>
                <w:p w14:paraId="4C39129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贮存周期</w:t>
                  </w:r>
                </w:p>
              </w:tc>
            </w:tr>
            <w:tr w14:paraId="52FE6BA6">
              <w:tblPrEx>
                <w:tblCellMar>
                  <w:top w:w="0" w:type="dxa"/>
                  <w:left w:w="108" w:type="dxa"/>
                  <w:bottom w:w="0" w:type="dxa"/>
                  <w:right w:w="108" w:type="dxa"/>
                </w:tblCellMar>
              </w:tblPrEx>
              <w:trPr>
                <w:trHeight w:val="340" w:hRule="atLeast"/>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1319BCA0">
                  <w:pPr>
                    <w:widowControl/>
                    <w:spacing w:line="240" w:lineRule="auto"/>
                    <w:jc w:val="center"/>
                    <w:textAlignment w:val="center"/>
                    <w:rPr>
                      <w:rFonts w:hint="eastAsia" w:eastAsia="宋体"/>
                      <w:color w:val="auto"/>
                      <w:sz w:val="18"/>
                      <w:szCs w:val="18"/>
                      <w:lang w:eastAsia="zh-CN"/>
                    </w:rPr>
                  </w:pPr>
                  <w:r>
                    <w:rPr>
                      <w:rFonts w:hint="eastAsia"/>
                      <w:color w:val="auto"/>
                      <w:sz w:val="18"/>
                      <w:szCs w:val="18"/>
                      <w:lang w:val="en-US" w:eastAsia="zh-CN"/>
                    </w:rPr>
                    <w:t>1</w:t>
                  </w:r>
                </w:p>
              </w:tc>
              <w:tc>
                <w:tcPr>
                  <w:tcW w:w="317" w:type="pct"/>
                  <w:vMerge w:val="restart"/>
                  <w:tcBorders>
                    <w:top w:val="single" w:color="auto" w:sz="4" w:space="0"/>
                    <w:left w:val="single" w:color="auto" w:sz="4" w:space="0"/>
                    <w:right w:val="single" w:color="auto" w:sz="4" w:space="0"/>
                  </w:tcBorders>
                  <w:shd w:val="clear" w:color="auto" w:fill="auto"/>
                  <w:vAlign w:val="center"/>
                </w:tcPr>
                <w:p w14:paraId="3F713133">
                  <w:pPr>
                    <w:widowControl/>
                    <w:spacing w:line="240" w:lineRule="auto"/>
                    <w:jc w:val="center"/>
                    <w:rPr>
                      <w:rFonts w:hint="eastAsia" w:eastAsia="宋体" w:cs="宋体"/>
                      <w:color w:val="auto"/>
                      <w:sz w:val="18"/>
                      <w:szCs w:val="18"/>
                      <w:lang w:val="en-US" w:eastAsia="zh-CN"/>
                    </w:rPr>
                  </w:pPr>
                  <w:r>
                    <w:rPr>
                      <w:rFonts w:hint="eastAsia" w:cs="宋体"/>
                      <w:color w:val="auto"/>
                      <w:sz w:val="18"/>
                      <w:szCs w:val="18"/>
                      <w:lang w:val="en-US" w:eastAsia="zh-CN"/>
                    </w:rPr>
                    <w:t>危废库</w:t>
                  </w: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14:paraId="0CBD0C33">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铝灰渣</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B461F7">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sz w:val="18"/>
                      <w:szCs w:val="18"/>
                    </w:rPr>
                    <w:t>HW4</w:t>
                  </w:r>
                  <w:r>
                    <w:rPr>
                      <w:rFonts w:hint="eastAsia"/>
                      <w:color w:val="auto"/>
                      <w:sz w:val="18"/>
                      <w:szCs w:val="18"/>
                      <w:lang w:val="en-US" w:eastAsia="zh-CN"/>
                    </w:rPr>
                    <w:t>8</w:t>
                  </w:r>
                </w:p>
              </w:tc>
              <w:tc>
                <w:tcPr>
                  <w:tcW w:w="6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4BE268">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b w:val="0"/>
                      <w:color w:val="auto"/>
                      <w:kern w:val="0"/>
                      <w:sz w:val="18"/>
                      <w:szCs w:val="18"/>
                      <w:lang w:bidi="ar"/>
                    </w:rPr>
                    <w:t>321-026-48</w:t>
                  </w:r>
                </w:p>
              </w:tc>
              <w:tc>
                <w:tcPr>
                  <w:tcW w:w="4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47635C">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120</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749BAAA7">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熔炼</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57F3337">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固态</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0ACD2E3D">
                  <w:pPr>
                    <w:widowControl/>
                    <w:spacing w:line="240" w:lineRule="auto"/>
                    <w:jc w:val="center"/>
                    <w:textAlignment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铝灰</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6E0D61E">
                  <w:pPr>
                    <w:widowControl/>
                    <w:spacing w:line="240" w:lineRule="auto"/>
                    <w:jc w:val="center"/>
                    <w:textAlignment w:val="center"/>
                    <w:rPr>
                      <w:rFonts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袋装</w:t>
                  </w:r>
                </w:p>
              </w:tc>
              <w:tc>
                <w:tcPr>
                  <w:tcW w:w="357" w:type="pct"/>
                  <w:vMerge w:val="restart"/>
                  <w:tcBorders>
                    <w:top w:val="single" w:color="auto" w:sz="4" w:space="0"/>
                    <w:left w:val="single" w:color="auto" w:sz="4" w:space="0"/>
                    <w:right w:val="single" w:color="auto" w:sz="4" w:space="0"/>
                  </w:tcBorders>
                  <w:shd w:val="clear" w:color="auto" w:fill="auto"/>
                  <w:noWrap/>
                  <w:vAlign w:val="center"/>
                </w:tcPr>
                <w:p w14:paraId="3EE4CFC4">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50</w:t>
                  </w:r>
                  <w:r>
                    <w:rPr>
                      <w:rFonts w:hint="default" w:ascii="Times New Roman" w:hAnsi="Times New Roman" w:cs="Times New Roman"/>
                      <w:color w:val="auto"/>
                      <w:sz w:val="18"/>
                      <w:szCs w:val="18"/>
                      <w:lang w:val="en-US" w:eastAsia="zh-CN"/>
                    </w:rPr>
                    <w:t>m²</w:t>
                  </w:r>
                </w:p>
              </w:tc>
              <w:tc>
                <w:tcPr>
                  <w:tcW w:w="488" w:type="pct"/>
                  <w:tcBorders>
                    <w:top w:val="single" w:color="auto" w:sz="4" w:space="0"/>
                    <w:left w:val="single" w:color="auto" w:sz="4" w:space="0"/>
                    <w:bottom w:val="single" w:color="auto" w:sz="4" w:space="0"/>
                    <w:right w:val="single" w:color="auto" w:sz="4" w:space="0"/>
                  </w:tcBorders>
                  <w:shd w:val="clear" w:color="auto" w:fill="auto"/>
                  <w:vAlign w:val="center"/>
                </w:tcPr>
                <w:p w14:paraId="65355493">
                  <w:pPr>
                    <w:widowControl/>
                    <w:spacing w:line="240" w:lineRule="auto"/>
                    <w:jc w:val="center"/>
                    <w:rPr>
                      <w:rFonts w:cs="宋体"/>
                      <w:color w:val="auto"/>
                      <w:sz w:val="18"/>
                      <w:szCs w:val="18"/>
                    </w:rPr>
                  </w:pPr>
                  <w:r>
                    <w:rPr>
                      <w:rFonts w:hint="eastAsia" w:cs="宋体"/>
                      <w:color w:val="auto"/>
                      <w:sz w:val="18"/>
                      <w:szCs w:val="18"/>
                      <w:lang w:val="en-US" w:eastAsia="zh-CN"/>
                    </w:rPr>
                    <w:t>1</w:t>
                  </w:r>
                  <w:r>
                    <w:rPr>
                      <w:rFonts w:hint="eastAsia" w:cs="宋体"/>
                      <w:color w:val="auto"/>
                      <w:sz w:val="18"/>
                      <w:szCs w:val="18"/>
                    </w:rPr>
                    <w:t>个月</w:t>
                  </w:r>
                </w:p>
              </w:tc>
            </w:tr>
            <w:tr w14:paraId="143DFA43">
              <w:tblPrEx>
                <w:tblCellMar>
                  <w:top w:w="0" w:type="dxa"/>
                  <w:left w:w="108" w:type="dxa"/>
                  <w:bottom w:w="0" w:type="dxa"/>
                  <w:right w:w="108" w:type="dxa"/>
                </w:tblCellMar>
              </w:tblPrEx>
              <w:trPr>
                <w:trHeight w:val="340" w:hRule="atLeast"/>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DA888F4">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2</w:t>
                  </w:r>
                </w:p>
              </w:tc>
              <w:tc>
                <w:tcPr>
                  <w:tcW w:w="317" w:type="pct"/>
                  <w:vMerge w:val="continue"/>
                  <w:tcBorders>
                    <w:left w:val="single" w:color="auto" w:sz="4" w:space="0"/>
                    <w:right w:val="single" w:color="auto" w:sz="4" w:space="0"/>
                  </w:tcBorders>
                  <w:shd w:val="clear" w:color="auto" w:fill="auto"/>
                  <w:vAlign w:val="center"/>
                </w:tcPr>
                <w:p w14:paraId="2ACB49A0">
                  <w:pPr>
                    <w:widowControl/>
                    <w:spacing w:line="240" w:lineRule="auto"/>
                    <w:jc w:val="center"/>
                    <w:rPr>
                      <w:rFonts w:hint="eastAsia" w:cs="宋体"/>
                      <w:color w:val="auto"/>
                      <w:sz w:val="18"/>
                      <w:szCs w:val="18"/>
                      <w:lang w:val="en-US" w:eastAsia="zh-CN"/>
                    </w:rPr>
                  </w:pP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14:paraId="1E3F8B4C">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铝熔炼烟尘</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44AC47">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sz w:val="18"/>
                      <w:szCs w:val="18"/>
                    </w:rPr>
                    <w:t>HW4</w:t>
                  </w:r>
                  <w:r>
                    <w:rPr>
                      <w:rFonts w:hint="eastAsia"/>
                      <w:color w:val="auto"/>
                      <w:sz w:val="18"/>
                      <w:szCs w:val="18"/>
                      <w:lang w:val="en-US" w:eastAsia="zh-CN"/>
                    </w:rPr>
                    <w:t>8</w:t>
                  </w:r>
                </w:p>
              </w:tc>
              <w:tc>
                <w:tcPr>
                  <w:tcW w:w="6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178F53">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b w:val="0"/>
                      <w:color w:val="auto"/>
                      <w:kern w:val="0"/>
                      <w:sz w:val="18"/>
                      <w:szCs w:val="18"/>
                      <w:lang w:bidi="ar"/>
                    </w:rPr>
                    <w:t>321-034-48</w:t>
                  </w:r>
                </w:p>
              </w:tc>
              <w:tc>
                <w:tcPr>
                  <w:tcW w:w="4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03C6F6">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6.357</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4AB312F7">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废气处理</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6D2548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固态</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089DF02D">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含铝粉尘</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3E68AEB2">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袋装</w:t>
                  </w:r>
                </w:p>
              </w:tc>
              <w:tc>
                <w:tcPr>
                  <w:tcW w:w="357" w:type="pct"/>
                  <w:vMerge w:val="continue"/>
                  <w:tcBorders>
                    <w:left w:val="single" w:color="auto" w:sz="4" w:space="0"/>
                    <w:right w:val="single" w:color="auto" w:sz="4" w:space="0"/>
                  </w:tcBorders>
                  <w:shd w:val="clear" w:color="auto" w:fill="auto"/>
                  <w:noWrap/>
                  <w:vAlign w:val="center"/>
                </w:tcPr>
                <w:p w14:paraId="4CF97AEF">
                  <w:pPr>
                    <w:widowControl/>
                    <w:spacing w:line="240" w:lineRule="auto"/>
                    <w:jc w:val="center"/>
                    <w:textAlignment w:val="center"/>
                    <w:rPr>
                      <w:rFonts w:hint="eastAsia"/>
                      <w:color w:val="auto"/>
                      <w:sz w:val="18"/>
                      <w:szCs w:val="18"/>
                      <w:lang w:val="en-US" w:eastAsia="zh-CN"/>
                    </w:rPr>
                  </w:pPr>
                </w:p>
              </w:tc>
              <w:tc>
                <w:tcPr>
                  <w:tcW w:w="488" w:type="pct"/>
                  <w:tcBorders>
                    <w:top w:val="single" w:color="auto" w:sz="4" w:space="0"/>
                    <w:left w:val="single" w:color="auto" w:sz="4" w:space="0"/>
                    <w:bottom w:val="single" w:color="auto" w:sz="4" w:space="0"/>
                    <w:right w:val="single" w:color="auto" w:sz="4" w:space="0"/>
                  </w:tcBorders>
                  <w:shd w:val="clear" w:color="auto" w:fill="auto"/>
                  <w:vAlign w:val="center"/>
                </w:tcPr>
                <w:p w14:paraId="307B4CB3">
                  <w:pPr>
                    <w:widowControl/>
                    <w:spacing w:line="240" w:lineRule="auto"/>
                    <w:jc w:val="center"/>
                    <w:rPr>
                      <w:rFonts w:hint="default" w:cs="宋体"/>
                      <w:color w:val="auto"/>
                      <w:sz w:val="18"/>
                      <w:szCs w:val="18"/>
                      <w:lang w:val="en-US" w:eastAsia="zh-CN"/>
                    </w:rPr>
                  </w:pPr>
                  <w:r>
                    <w:rPr>
                      <w:rFonts w:hint="eastAsia" w:cs="宋体"/>
                      <w:color w:val="auto"/>
                      <w:sz w:val="18"/>
                      <w:szCs w:val="18"/>
                      <w:lang w:val="en-US" w:eastAsia="zh-CN"/>
                    </w:rPr>
                    <w:t>1个月</w:t>
                  </w:r>
                </w:p>
              </w:tc>
            </w:tr>
            <w:tr w14:paraId="463E92FE">
              <w:tblPrEx>
                <w:tblCellMar>
                  <w:top w:w="0" w:type="dxa"/>
                  <w:left w:w="108" w:type="dxa"/>
                  <w:bottom w:w="0" w:type="dxa"/>
                  <w:right w:w="108" w:type="dxa"/>
                </w:tblCellMar>
              </w:tblPrEx>
              <w:trPr>
                <w:trHeight w:val="340" w:hRule="atLeast"/>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3E1B750D">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3</w:t>
                  </w:r>
                </w:p>
              </w:tc>
              <w:tc>
                <w:tcPr>
                  <w:tcW w:w="317" w:type="pct"/>
                  <w:vMerge w:val="continue"/>
                  <w:tcBorders>
                    <w:left w:val="single" w:color="auto" w:sz="4" w:space="0"/>
                    <w:right w:val="single" w:color="auto" w:sz="4" w:space="0"/>
                  </w:tcBorders>
                  <w:shd w:val="clear" w:color="auto" w:fill="auto"/>
                  <w:vAlign w:val="center"/>
                </w:tcPr>
                <w:p w14:paraId="44995128">
                  <w:pPr>
                    <w:widowControl/>
                    <w:spacing w:line="240" w:lineRule="auto"/>
                    <w:jc w:val="center"/>
                    <w:rPr>
                      <w:rFonts w:hint="eastAsia" w:cs="宋体"/>
                      <w:color w:val="auto"/>
                      <w:sz w:val="18"/>
                      <w:szCs w:val="18"/>
                      <w:lang w:val="en-US" w:eastAsia="zh-CN"/>
                    </w:rPr>
                  </w:pP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14:paraId="3E62CD94">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废切削液</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36579A">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HW09</w:t>
                  </w:r>
                </w:p>
              </w:tc>
              <w:tc>
                <w:tcPr>
                  <w:tcW w:w="6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32175C">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rFonts w:hint="eastAsia"/>
                      <w:color w:val="auto"/>
                      <w:sz w:val="18"/>
                      <w:szCs w:val="18"/>
                    </w:rPr>
                    <w:t>900-006-09</w:t>
                  </w:r>
                </w:p>
              </w:tc>
              <w:tc>
                <w:tcPr>
                  <w:tcW w:w="4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B5B3A1C">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0.5</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0E16D5EF">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精加工</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C87D1BE">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液态</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7696430F">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矿物油类</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3B840B3B">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桶装</w:t>
                  </w:r>
                </w:p>
              </w:tc>
              <w:tc>
                <w:tcPr>
                  <w:tcW w:w="357" w:type="pct"/>
                  <w:vMerge w:val="continue"/>
                  <w:tcBorders>
                    <w:left w:val="single" w:color="auto" w:sz="4" w:space="0"/>
                    <w:right w:val="single" w:color="auto" w:sz="4" w:space="0"/>
                  </w:tcBorders>
                  <w:shd w:val="clear" w:color="auto" w:fill="auto"/>
                  <w:noWrap/>
                  <w:vAlign w:val="center"/>
                </w:tcPr>
                <w:p w14:paraId="50928B52">
                  <w:pPr>
                    <w:widowControl/>
                    <w:spacing w:line="240" w:lineRule="auto"/>
                    <w:jc w:val="center"/>
                    <w:textAlignment w:val="center"/>
                    <w:rPr>
                      <w:rFonts w:hint="eastAsia"/>
                      <w:color w:val="auto"/>
                      <w:sz w:val="18"/>
                      <w:szCs w:val="18"/>
                      <w:lang w:val="en-US" w:eastAsia="zh-CN"/>
                    </w:rPr>
                  </w:pPr>
                </w:p>
              </w:tc>
              <w:tc>
                <w:tcPr>
                  <w:tcW w:w="488" w:type="pct"/>
                  <w:tcBorders>
                    <w:top w:val="single" w:color="auto" w:sz="4" w:space="0"/>
                    <w:left w:val="single" w:color="auto" w:sz="4" w:space="0"/>
                    <w:bottom w:val="single" w:color="auto" w:sz="4" w:space="0"/>
                    <w:right w:val="single" w:color="auto" w:sz="4" w:space="0"/>
                  </w:tcBorders>
                  <w:shd w:val="clear" w:color="auto" w:fill="auto"/>
                  <w:vAlign w:val="center"/>
                </w:tcPr>
                <w:p w14:paraId="15F4A2A1">
                  <w:pPr>
                    <w:widowControl/>
                    <w:spacing w:line="240" w:lineRule="auto"/>
                    <w:jc w:val="center"/>
                    <w:rPr>
                      <w:rFonts w:hint="eastAsia" w:cs="宋体"/>
                      <w:color w:val="auto"/>
                      <w:sz w:val="18"/>
                      <w:szCs w:val="18"/>
                      <w:lang w:val="en-US" w:eastAsia="zh-CN"/>
                    </w:rPr>
                  </w:pPr>
                  <w:r>
                    <w:rPr>
                      <w:rFonts w:hint="eastAsia" w:cs="宋体"/>
                      <w:color w:val="auto"/>
                      <w:sz w:val="18"/>
                      <w:szCs w:val="18"/>
                      <w:lang w:val="en-US" w:eastAsia="zh-CN"/>
                    </w:rPr>
                    <w:t>12个月</w:t>
                  </w:r>
                </w:p>
              </w:tc>
            </w:tr>
            <w:tr w14:paraId="3410330C">
              <w:tblPrEx>
                <w:tblCellMar>
                  <w:top w:w="0" w:type="dxa"/>
                  <w:left w:w="108" w:type="dxa"/>
                  <w:bottom w:w="0" w:type="dxa"/>
                  <w:right w:w="108" w:type="dxa"/>
                </w:tblCellMar>
              </w:tblPrEx>
              <w:trPr>
                <w:trHeight w:val="340" w:hRule="atLeast"/>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23788EA">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4</w:t>
                  </w:r>
                </w:p>
              </w:tc>
              <w:tc>
                <w:tcPr>
                  <w:tcW w:w="317" w:type="pct"/>
                  <w:vMerge w:val="continue"/>
                  <w:tcBorders>
                    <w:left w:val="single" w:color="auto" w:sz="4" w:space="0"/>
                    <w:right w:val="single" w:color="auto" w:sz="4" w:space="0"/>
                  </w:tcBorders>
                  <w:shd w:val="clear" w:color="auto" w:fill="auto"/>
                  <w:vAlign w:val="center"/>
                </w:tcPr>
                <w:p w14:paraId="5B9257A5">
                  <w:pPr>
                    <w:widowControl/>
                    <w:spacing w:line="240" w:lineRule="auto"/>
                    <w:jc w:val="center"/>
                    <w:rPr>
                      <w:rFonts w:hint="eastAsia" w:cs="宋体"/>
                      <w:color w:val="auto"/>
                      <w:sz w:val="18"/>
                      <w:szCs w:val="18"/>
                      <w:lang w:val="en-US" w:eastAsia="zh-CN"/>
                    </w:rPr>
                  </w:pP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14:paraId="0F596FE8">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废润滑油</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039079">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HW08</w:t>
                  </w:r>
                </w:p>
              </w:tc>
              <w:tc>
                <w:tcPr>
                  <w:tcW w:w="6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EC6B4F2">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900-21</w:t>
                  </w:r>
                  <w:r>
                    <w:rPr>
                      <w:rFonts w:hint="eastAsia"/>
                      <w:color w:val="auto"/>
                      <w:kern w:val="0"/>
                      <w:sz w:val="18"/>
                      <w:szCs w:val="18"/>
                      <w:lang w:val="en-US" w:eastAsia="zh-CN" w:bidi="ar"/>
                    </w:rPr>
                    <w:t>7</w:t>
                  </w:r>
                  <w:r>
                    <w:rPr>
                      <w:color w:val="auto"/>
                      <w:kern w:val="0"/>
                      <w:sz w:val="18"/>
                      <w:szCs w:val="18"/>
                      <w:lang w:bidi="ar"/>
                    </w:rPr>
                    <w:t>-08</w:t>
                  </w:r>
                </w:p>
              </w:tc>
              <w:tc>
                <w:tcPr>
                  <w:tcW w:w="4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C992BC">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0.</w:t>
                  </w:r>
                  <w:r>
                    <w:rPr>
                      <w:rFonts w:hint="eastAsia"/>
                      <w:color w:val="auto"/>
                      <w:kern w:val="0"/>
                      <w:sz w:val="18"/>
                      <w:szCs w:val="18"/>
                      <w:lang w:bidi="ar"/>
                    </w:rPr>
                    <w:t>0</w:t>
                  </w:r>
                  <w:r>
                    <w:rPr>
                      <w:rFonts w:hint="eastAsia"/>
                      <w:color w:val="auto"/>
                      <w:kern w:val="0"/>
                      <w:sz w:val="18"/>
                      <w:szCs w:val="18"/>
                      <w:lang w:val="en-US" w:eastAsia="zh-CN" w:bidi="ar"/>
                    </w:rPr>
                    <w:t>2</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5C7A8D4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设备润滑</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A7C60CA">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液态</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196C2809">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矿物油类</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4EA0BFE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桶装</w:t>
                  </w:r>
                </w:p>
              </w:tc>
              <w:tc>
                <w:tcPr>
                  <w:tcW w:w="357" w:type="pct"/>
                  <w:vMerge w:val="continue"/>
                  <w:tcBorders>
                    <w:left w:val="single" w:color="auto" w:sz="4" w:space="0"/>
                    <w:right w:val="single" w:color="auto" w:sz="4" w:space="0"/>
                  </w:tcBorders>
                  <w:shd w:val="clear" w:color="auto" w:fill="auto"/>
                  <w:noWrap/>
                  <w:vAlign w:val="center"/>
                </w:tcPr>
                <w:p w14:paraId="6FEE29DB">
                  <w:pPr>
                    <w:widowControl/>
                    <w:spacing w:line="240" w:lineRule="auto"/>
                    <w:jc w:val="center"/>
                    <w:textAlignment w:val="center"/>
                    <w:rPr>
                      <w:rFonts w:hint="eastAsia"/>
                      <w:color w:val="auto"/>
                      <w:sz w:val="18"/>
                      <w:szCs w:val="18"/>
                      <w:lang w:val="en-US" w:eastAsia="zh-CN"/>
                    </w:rPr>
                  </w:pPr>
                </w:p>
              </w:tc>
              <w:tc>
                <w:tcPr>
                  <w:tcW w:w="488" w:type="pct"/>
                  <w:tcBorders>
                    <w:top w:val="single" w:color="auto" w:sz="4" w:space="0"/>
                    <w:left w:val="single" w:color="auto" w:sz="4" w:space="0"/>
                    <w:bottom w:val="single" w:color="auto" w:sz="4" w:space="0"/>
                    <w:right w:val="single" w:color="auto" w:sz="4" w:space="0"/>
                  </w:tcBorders>
                  <w:shd w:val="clear" w:color="auto" w:fill="auto"/>
                  <w:vAlign w:val="center"/>
                </w:tcPr>
                <w:p w14:paraId="6AA132B5">
                  <w:pPr>
                    <w:widowControl/>
                    <w:spacing w:line="240" w:lineRule="auto"/>
                    <w:jc w:val="center"/>
                    <w:rPr>
                      <w:rFonts w:hint="eastAsia" w:cs="宋体"/>
                      <w:color w:val="auto"/>
                      <w:sz w:val="18"/>
                      <w:szCs w:val="18"/>
                      <w:lang w:val="en-US" w:eastAsia="zh-CN"/>
                    </w:rPr>
                  </w:pPr>
                  <w:r>
                    <w:rPr>
                      <w:rFonts w:hint="eastAsia" w:cs="宋体"/>
                      <w:color w:val="auto"/>
                      <w:sz w:val="18"/>
                      <w:szCs w:val="18"/>
                      <w:lang w:val="en-US" w:eastAsia="zh-CN"/>
                    </w:rPr>
                    <w:t>12个月</w:t>
                  </w:r>
                </w:p>
              </w:tc>
            </w:tr>
            <w:tr w14:paraId="10AA0C48">
              <w:tblPrEx>
                <w:tblCellMar>
                  <w:top w:w="0" w:type="dxa"/>
                  <w:left w:w="108" w:type="dxa"/>
                  <w:bottom w:w="0" w:type="dxa"/>
                  <w:right w:w="108" w:type="dxa"/>
                </w:tblCellMar>
              </w:tblPrEx>
              <w:trPr>
                <w:trHeight w:val="340" w:hRule="atLeast"/>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0DFE921E">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5</w:t>
                  </w:r>
                </w:p>
              </w:tc>
              <w:tc>
                <w:tcPr>
                  <w:tcW w:w="317" w:type="pct"/>
                  <w:vMerge w:val="continue"/>
                  <w:tcBorders>
                    <w:left w:val="single" w:color="auto" w:sz="4" w:space="0"/>
                    <w:bottom w:val="single" w:color="auto" w:sz="4" w:space="0"/>
                    <w:right w:val="single" w:color="auto" w:sz="4" w:space="0"/>
                  </w:tcBorders>
                  <w:shd w:val="clear" w:color="auto" w:fill="auto"/>
                  <w:vAlign w:val="center"/>
                </w:tcPr>
                <w:p w14:paraId="6EF02BD2">
                  <w:pPr>
                    <w:widowControl/>
                    <w:spacing w:line="240" w:lineRule="auto"/>
                    <w:jc w:val="center"/>
                    <w:rPr>
                      <w:rFonts w:hint="eastAsia" w:cs="宋体"/>
                      <w:color w:val="auto"/>
                      <w:sz w:val="18"/>
                      <w:szCs w:val="18"/>
                      <w:lang w:val="en-US" w:eastAsia="zh-CN"/>
                    </w:rPr>
                  </w:pP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14:paraId="6876DD70">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废包装桶</w:t>
                  </w:r>
                </w:p>
              </w:tc>
              <w:tc>
                <w:tcPr>
                  <w:tcW w:w="38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B60116">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HW08</w:t>
                  </w:r>
                </w:p>
              </w:tc>
              <w:tc>
                <w:tcPr>
                  <w:tcW w:w="6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70EA46">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900-2</w:t>
                  </w:r>
                  <w:r>
                    <w:rPr>
                      <w:rFonts w:hint="eastAsia"/>
                      <w:color w:val="auto"/>
                      <w:kern w:val="0"/>
                      <w:sz w:val="18"/>
                      <w:szCs w:val="18"/>
                      <w:lang w:val="en-US" w:eastAsia="zh-CN" w:bidi="ar"/>
                    </w:rPr>
                    <w:t>49</w:t>
                  </w:r>
                  <w:r>
                    <w:rPr>
                      <w:color w:val="auto"/>
                      <w:kern w:val="0"/>
                      <w:sz w:val="18"/>
                      <w:szCs w:val="18"/>
                      <w:lang w:bidi="ar"/>
                    </w:rPr>
                    <w:t>-08</w:t>
                  </w:r>
                </w:p>
              </w:tc>
              <w:tc>
                <w:tcPr>
                  <w:tcW w:w="4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057E9C">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color w:val="auto"/>
                      <w:kern w:val="0"/>
                      <w:sz w:val="18"/>
                      <w:szCs w:val="18"/>
                      <w:lang w:bidi="ar"/>
                    </w:rPr>
                    <w:t>0.</w:t>
                  </w:r>
                  <w:r>
                    <w:rPr>
                      <w:rFonts w:hint="eastAsia"/>
                      <w:color w:val="auto"/>
                      <w:kern w:val="0"/>
                      <w:sz w:val="18"/>
                      <w:szCs w:val="18"/>
                      <w:lang w:bidi="ar"/>
                    </w:rPr>
                    <w:t>0</w:t>
                  </w:r>
                  <w:r>
                    <w:rPr>
                      <w:rFonts w:hint="eastAsia"/>
                      <w:color w:val="auto"/>
                      <w:kern w:val="0"/>
                      <w:sz w:val="18"/>
                      <w:szCs w:val="18"/>
                      <w:lang w:val="en-US" w:eastAsia="zh-CN" w:bidi="ar"/>
                    </w:rPr>
                    <w:t>2</w:t>
                  </w:r>
                </w:p>
              </w:tc>
              <w:tc>
                <w:tcPr>
                  <w:tcW w:w="348" w:type="pct"/>
                  <w:tcBorders>
                    <w:top w:val="single" w:color="auto" w:sz="4" w:space="0"/>
                    <w:left w:val="single" w:color="auto" w:sz="4" w:space="0"/>
                    <w:bottom w:val="single" w:color="auto" w:sz="4" w:space="0"/>
                    <w:right w:val="single" w:color="auto" w:sz="4" w:space="0"/>
                  </w:tcBorders>
                  <w:shd w:val="clear" w:color="auto" w:fill="auto"/>
                  <w:vAlign w:val="center"/>
                </w:tcPr>
                <w:p w14:paraId="34E5C1C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辅料使用</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722ABE8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bidi="ar"/>
                    </w:rPr>
                    <w:t>固态</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06293573">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kern w:val="0"/>
                      <w:sz w:val="18"/>
                      <w:szCs w:val="18"/>
                      <w:lang w:bidi="ar"/>
                    </w:rPr>
                    <w:t>塑料</w:t>
                  </w:r>
                </w:p>
              </w:tc>
              <w:tc>
                <w:tcPr>
                  <w:tcW w:w="362" w:type="pct"/>
                  <w:tcBorders>
                    <w:top w:val="single" w:color="auto" w:sz="4" w:space="0"/>
                    <w:left w:val="single" w:color="auto" w:sz="4" w:space="0"/>
                    <w:bottom w:val="single" w:color="auto" w:sz="4" w:space="0"/>
                    <w:right w:val="single" w:color="auto" w:sz="4" w:space="0"/>
                  </w:tcBorders>
                  <w:shd w:val="clear" w:color="auto" w:fill="auto"/>
                  <w:vAlign w:val="center"/>
                </w:tcPr>
                <w:p w14:paraId="50262304">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w:t>
                  </w:r>
                </w:p>
              </w:tc>
              <w:tc>
                <w:tcPr>
                  <w:tcW w:w="357" w:type="pct"/>
                  <w:vMerge w:val="continue"/>
                  <w:tcBorders>
                    <w:left w:val="single" w:color="auto" w:sz="4" w:space="0"/>
                    <w:bottom w:val="single" w:color="auto" w:sz="4" w:space="0"/>
                    <w:right w:val="single" w:color="auto" w:sz="4" w:space="0"/>
                  </w:tcBorders>
                  <w:shd w:val="clear" w:color="auto" w:fill="auto"/>
                  <w:noWrap/>
                  <w:vAlign w:val="center"/>
                </w:tcPr>
                <w:p w14:paraId="63475832">
                  <w:pPr>
                    <w:widowControl/>
                    <w:spacing w:line="240" w:lineRule="auto"/>
                    <w:jc w:val="center"/>
                    <w:textAlignment w:val="center"/>
                    <w:rPr>
                      <w:rFonts w:hint="eastAsia"/>
                      <w:color w:val="auto"/>
                      <w:sz w:val="18"/>
                      <w:szCs w:val="18"/>
                      <w:lang w:val="en-US" w:eastAsia="zh-CN"/>
                    </w:rPr>
                  </w:pPr>
                </w:p>
              </w:tc>
              <w:tc>
                <w:tcPr>
                  <w:tcW w:w="488" w:type="pct"/>
                  <w:tcBorders>
                    <w:top w:val="single" w:color="auto" w:sz="4" w:space="0"/>
                    <w:left w:val="single" w:color="auto" w:sz="4" w:space="0"/>
                    <w:bottom w:val="single" w:color="auto" w:sz="4" w:space="0"/>
                    <w:right w:val="single" w:color="auto" w:sz="4" w:space="0"/>
                  </w:tcBorders>
                  <w:shd w:val="clear" w:color="auto" w:fill="auto"/>
                  <w:vAlign w:val="center"/>
                </w:tcPr>
                <w:p w14:paraId="72F7E380">
                  <w:pPr>
                    <w:widowControl/>
                    <w:spacing w:line="240" w:lineRule="auto"/>
                    <w:jc w:val="center"/>
                    <w:rPr>
                      <w:rFonts w:hint="eastAsia" w:cs="宋体"/>
                      <w:color w:val="auto"/>
                      <w:sz w:val="18"/>
                      <w:szCs w:val="18"/>
                      <w:lang w:val="en-US" w:eastAsia="zh-CN"/>
                    </w:rPr>
                  </w:pPr>
                  <w:r>
                    <w:rPr>
                      <w:rFonts w:hint="eastAsia" w:cs="宋体"/>
                      <w:color w:val="auto"/>
                      <w:sz w:val="18"/>
                      <w:szCs w:val="18"/>
                      <w:lang w:val="en-US" w:eastAsia="zh-CN"/>
                    </w:rPr>
                    <w:t>12个月</w:t>
                  </w:r>
                </w:p>
              </w:tc>
            </w:tr>
          </w:tbl>
          <w:p w14:paraId="7526B2F0">
            <w:pPr>
              <w:adjustRightInd w:val="0"/>
              <w:snapToGrid w:val="0"/>
              <w:rPr>
                <w:color w:val="auto"/>
              </w:rPr>
            </w:pPr>
            <w:r>
              <w:rPr>
                <w:rFonts w:hint="eastAsia"/>
                <w:b/>
                <w:bCs/>
                <w:color w:val="auto"/>
                <w:szCs w:val="24"/>
              </w:rPr>
              <w:t>3、环境管理要求</w:t>
            </w:r>
          </w:p>
          <w:p w14:paraId="1AE9A27E">
            <w:pPr>
              <w:ind w:firstLine="480" w:firstLineChars="200"/>
              <w:rPr>
                <w:color w:val="auto"/>
              </w:rPr>
            </w:pPr>
            <w:r>
              <w:rPr>
                <w:rFonts w:hint="eastAsia"/>
                <w:color w:val="auto"/>
                <w:szCs w:val="24"/>
              </w:rPr>
              <w:t>（1）</w:t>
            </w:r>
            <w:r>
              <w:rPr>
                <w:color w:val="auto"/>
                <w:szCs w:val="24"/>
              </w:rPr>
              <w:t>暂存</w:t>
            </w:r>
            <w:r>
              <w:rPr>
                <w:rFonts w:hint="eastAsia"/>
                <w:color w:val="auto"/>
                <w:szCs w:val="24"/>
              </w:rPr>
              <w:t>管理要求</w:t>
            </w:r>
          </w:p>
          <w:p w14:paraId="543D15CA">
            <w:pPr>
              <w:ind w:firstLine="480"/>
              <w:rPr>
                <w:rFonts w:hint="eastAsia"/>
                <w:color w:val="auto"/>
              </w:rPr>
            </w:pPr>
            <w:r>
              <w:rPr>
                <w:color w:val="auto"/>
              </w:rPr>
              <w:t>根据《危险废物贮存污染控制标准》(GB18597-20</w:t>
            </w:r>
            <w:r>
              <w:rPr>
                <w:rFonts w:hint="eastAsia"/>
                <w:color w:val="auto"/>
              </w:rPr>
              <w:t>23</w:t>
            </w:r>
            <w:r>
              <w:rPr>
                <w:color w:val="auto"/>
              </w:rPr>
              <w:t>)</w:t>
            </w:r>
            <w:r>
              <w:rPr>
                <w:rFonts w:hint="eastAsia"/>
                <w:color w:val="auto"/>
              </w:rPr>
              <w:t>和</w:t>
            </w:r>
            <w:r>
              <w:rPr>
                <w:color w:val="auto"/>
              </w:rPr>
              <w:t>《建设项目危险废物环境影响评价指南》要求，</w:t>
            </w:r>
            <w:r>
              <w:rPr>
                <w:rFonts w:hint="eastAsia"/>
                <w:color w:val="auto"/>
              </w:rPr>
              <w:t>贮存设施应根据危险废物的形态、物理化学性质、包装形式和污染物迁移途径，采取必要的防风、防晒、防雨、防漏、防渗、防腐以及其他环境污染防治措施，不应露天堆放危险废物，本项目</w:t>
            </w:r>
            <w:r>
              <w:rPr>
                <w:rFonts w:hint="eastAsia"/>
                <w:color w:val="auto"/>
                <w:lang w:val="en-US" w:eastAsia="zh-CN"/>
              </w:rPr>
              <w:t>依托现有</w:t>
            </w:r>
            <w:r>
              <w:rPr>
                <w:rFonts w:hint="eastAsia"/>
                <w:color w:val="auto"/>
              </w:rPr>
              <w:t>危废库，占地面积约</w:t>
            </w:r>
            <w:r>
              <w:rPr>
                <w:rFonts w:hint="eastAsia"/>
                <w:color w:val="auto"/>
                <w:lang w:val="en-US" w:eastAsia="zh-CN"/>
              </w:rPr>
              <w:t>5</w:t>
            </w:r>
            <w:r>
              <w:rPr>
                <w:rFonts w:hint="eastAsia"/>
                <w:color w:val="auto"/>
              </w:rPr>
              <w:t>0m</w:t>
            </w:r>
            <w:r>
              <w:rPr>
                <w:rFonts w:hint="eastAsia"/>
                <w:color w:val="auto"/>
                <w:vertAlign w:val="superscript"/>
              </w:rPr>
              <w:t>2</w:t>
            </w:r>
            <w:r>
              <w:rPr>
                <w:rFonts w:hint="eastAsia"/>
                <w:color w:val="auto"/>
              </w:rPr>
              <w:t>，地面采取防腐、防渗处理，配套设置了导流沟等二次污染防治设施，各类危废分别采用了袋装、桶装等包装方式，并在地面设置了托盘等设施，避免废物流失。</w:t>
            </w:r>
          </w:p>
          <w:p w14:paraId="785C4FFD">
            <w:pPr>
              <w:ind w:firstLine="480"/>
              <w:rPr>
                <w:rFonts w:hint="eastAsia"/>
                <w:color w:val="auto"/>
              </w:rPr>
            </w:pPr>
            <w:r>
              <w:rPr>
                <w:rFonts w:hint="eastAsia"/>
                <w:color w:val="auto"/>
                <w:lang w:val="en-US" w:eastAsia="zh-CN"/>
              </w:rPr>
              <w:t>①</w:t>
            </w:r>
            <w:r>
              <w:rPr>
                <w:rFonts w:hint="eastAsia"/>
                <w:color w:val="auto"/>
              </w:rPr>
              <w:t>包装材质基本与各类危险废物相容，一般根据废物特性选择钢、铝、塑料等材质；</w:t>
            </w:r>
          </w:p>
          <w:p w14:paraId="5CB0A226">
            <w:pPr>
              <w:ind w:firstLine="480"/>
              <w:rPr>
                <w:rFonts w:hint="eastAsia"/>
                <w:color w:val="auto"/>
              </w:rPr>
            </w:pPr>
            <w:r>
              <w:rPr>
                <w:rFonts w:hint="eastAsia"/>
                <w:color w:val="auto"/>
                <w:lang w:val="en-US" w:eastAsia="zh-CN"/>
              </w:rPr>
              <w:t>②</w:t>
            </w:r>
            <w:r>
              <w:rPr>
                <w:rFonts w:hint="eastAsia"/>
                <w:color w:val="auto"/>
              </w:rPr>
              <w:t>性质类似的废物基本收集到同一容器中，性质不相容的危险废物不混合包装；</w:t>
            </w:r>
          </w:p>
          <w:p w14:paraId="246004DD">
            <w:pPr>
              <w:ind w:firstLine="480"/>
              <w:rPr>
                <w:rFonts w:hint="eastAsia"/>
                <w:color w:val="auto"/>
              </w:rPr>
            </w:pPr>
            <w:r>
              <w:rPr>
                <w:rFonts w:hint="eastAsia"/>
                <w:color w:val="auto"/>
                <w:lang w:val="en-US" w:eastAsia="zh-CN"/>
              </w:rPr>
              <w:t>③</w:t>
            </w:r>
            <w:r>
              <w:rPr>
                <w:rFonts w:hint="eastAsia"/>
                <w:color w:val="auto"/>
              </w:rPr>
              <w:t>危险废物包装入库废物基本为袋装（固体）、桶装（液体）包装，从源头杜绝物料泄漏；有效隔断危险废物迁移扩散途径，并达到防渗、防漏要求；</w:t>
            </w:r>
          </w:p>
          <w:p w14:paraId="4A403E4E">
            <w:pPr>
              <w:ind w:firstLine="480"/>
              <w:rPr>
                <w:rFonts w:hint="eastAsia"/>
                <w:color w:val="auto"/>
              </w:rPr>
            </w:pPr>
            <w:r>
              <w:rPr>
                <w:rFonts w:hint="eastAsia"/>
                <w:color w:val="auto"/>
                <w:lang w:val="en-US" w:eastAsia="zh-CN"/>
              </w:rPr>
              <w:t>④</w:t>
            </w:r>
            <w:r>
              <w:rPr>
                <w:rFonts w:hint="eastAsia"/>
                <w:color w:val="auto"/>
              </w:rPr>
              <w:t>包装好的危险废物都设置了相应的标签，标签信息填写基本完整详实；</w:t>
            </w:r>
          </w:p>
          <w:p w14:paraId="20645D0C">
            <w:pPr>
              <w:ind w:firstLine="480"/>
              <w:rPr>
                <w:color w:val="auto"/>
              </w:rPr>
            </w:pPr>
            <w:r>
              <w:rPr>
                <w:rFonts w:hint="eastAsia"/>
                <w:color w:val="auto"/>
                <w:lang w:val="en-US" w:eastAsia="zh-CN"/>
              </w:rPr>
              <w:t>⑤</w:t>
            </w:r>
            <w:r>
              <w:rPr>
                <w:rFonts w:hint="eastAsia"/>
                <w:color w:val="auto"/>
              </w:rPr>
              <w:t>盛装过危险废物的包装袋或包装容器破损后按危险废物进行管理和处置。</w:t>
            </w:r>
          </w:p>
          <w:p w14:paraId="65D85723">
            <w:pPr>
              <w:ind w:firstLine="480" w:firstLineChars="200"/>
              <w:rPr>
                <w:rFonts w:hint="eastAsia" w:eastAsia="宋体"/>
                <w:color w:val="auto"/>
                <w:szCs w:val="24"/>
                <w:lang w:val="en-US" w:eastAsia="zh-CN"/>
              </w:rPr>
            </w:pPr>
            <w:r>
              <w:rPr>
                <w:rFonts w:hint="eastAsia"/>
                <w:color w:val="auto"/>
                <w:szCs w:val="24"/>
                <w:lang w:val="en-US" w:eastAsia="zh-CN"/>
              </w:rPr>
              <w:t>（2）铝灰渣</w:t>
            </w:r>
            <w:r>
              <w:rPr>
                <w:color w:val="auto"/>
                <w:szCs w:val="24"/>
              </w:rPr>
              <w:t>暂存</w:t>
            </w:r>
            <w:r>
              <w:rPr>
                <w:rFonts w:hint="eastAsia"/>
                <w:color w:val="auto"/>
                <w:szCs w:val="24"/>
              </w:rPr>
              <w:t>管理要求</w:t>
            </w:r>
          </w:p>
          <w:p w14:paraId="3740B4B4">
            <w:pPr>
              <w:ind w:firstLine="480" w:firstLineChars="200"/>
              <w:rPr>
                <w:rFonts w:hint="eastAsia"/>
                <w:color w:val="auto"/>
                <w:szCs w:val="24"/>
                <w:lang w:val="en-US" w:eastAsia="zh-CN"/>
              </w:rPr>
            </w:pPr>
            <w:r>
              <w:rPr>
                <w:rFonts w:hint="eastAsia"/>
                <w:color w:val="auto"/>
                <w:szCs w:val="24"/>
                <w:lang w:val="en-US" w:eastAsia="zh-CN"/>
              </w:rPr>
              <w:t>本项目铝灰渣除满足上述暂存管理要求外，还应满足以下措施：</w:t>
            </w:r>
          </w:p>
          <w:p w14:paraId="79D5691E">
            <w:pPr>
              <w:ind w:firstLine="480" w:firstLineChars="200"/>
              <w:rPr>
                <w:rFonts w:hint="eastAsia"/>
                <w:color w:val="auto"/>
                <w:szCs w:val="24"/>
                <w:lang w:val="en-US" w:eastAsia="zh-CN"/>
              </w:rPr>
            </w:pPr>
            <w:r>
              <w:rPr>
                <w:rFonts w:hint="eastAsia"/>
                <w:color w:val="auto"/>
                <w:szCs w:val="24"/>
                <w:lang w:val="en-US" w:eastAsia="zh-CN"/>
              </w:rPr>
              <w:t>①灰渣和铝熔炼烟尘应分区分类贮存，贮存设施选址、建设和管理应符合GB18597的相关要求。柔性包装物堆叠码放时应封口严密，包装材料具有防水、防漆功能。铝灰渣堆码放高度最大不应超过3层，铝熔炼烟尘堆码放高度最大不应超过2层，确保外包装无破裂泄露。堆与堆之间、堆与墙壁之间应保留必要的巡查通道，确保对贮存物料包装的完整性、表面干燥性等状况进行巡查的便利性。针对已经受潮结块的铝灰渣，尽量避免贮存。</w:t>
            </w:r>
          </w:p>
          <w:p w14:paraId="07A49753">
            <w:pPr>
              <w:ind w:firstLine="480" w:firstLineChars="200"/>
              <w:rPr>
                <w:rFonts w:hint="eastAsia"/>
                <w:color w:val="auto"/>
                <w:szCs w:val="24"/>
                <w:lang w:val="en-US" w:eastAsia="zh-CN"/>
              </w:rPr>
            </w:pPr>
            <w:r>
              <w:rPr>
                <w:rFonts w:hint="eastAsia"/>
                <w:color w:val="auto"/>
                <w:szCs w:val="24"/>
                <w:lang w:val="en-US" w:eastAsia="zh-CN"/>
              </w:rPr>
              <w:t>②应配备必要的巡查人员，关注入场铝灰渣成分和空气湿度变化等，做好巡查工作，巡查次数不少于每班2次。针对可能混有煤粉的铝灰渣或铝熔炼烟尘，加强温度探测和巡查观测；遇梅雨季节潮湿天气，应适当增加现场巡查次数。贮存过程若出现发热、发烟、鼓胀等异常现象，应立即按应急预案妥善处理处置。巡查记录(含影像视频、实时记录文档等)应保存1年以上，巡查过程可追、可查询。</w:t>
            </w:r>
          </w:p>
          <w:p w14:paraId="71D54CC8">
            <w:pPr>
              <w:ind w:firstLine="480" w:firstLineChars="200"/>
              <w:rPr>
                <w:rFonts w:hint="eastAsia"/>
                <w:color w:val="auto"/>
                <w:szCs w:val="24"/>
              </w:rPr>
            </w:pPr>
            <w:r>
              <w:rPr>
                <w:rFonts w:hint="eastAsia"/>
                <w:color w:val="auto"/>
                <w:szCs w:val="24"/>
                <w:lang w:val="en-US" w:eastAsia="zh-CN"/>
              </w:rPr>
              <w:t>③除尘器卸灰口采取密闭措施，铝熔炼烟尘采取袋装密闭方式收集、存放和运输；</w:t>
            </w:r>
            <w:r>
              <w:rPr>
                <w:rFonts w:hint="eastAsia"/>
                <w:color w:val="auto"/>
                <w:szCs w:val="24"/>
                <w:lang w:eastAsia="zh-CN"/>
              </w:rPr>
              <w:t>在铝灰渣入场贮存和出场处理时，</w:t>
            </w:r>
            <w:r>
              <w:rPr>
                <w:rFonts w:hint="eastAsia"/>
                <w:color w:val="auto"/>
                <w:szCs w:val="24"/>
                <w:lang w:val="en-US" w:eastAsia="zh-CN"/>
              </w:rPr>
              <w:t>进行密闭遮盖，</w:t>
            </w:r>
            <w:r>
              <w:rPr>
                <w:rFonts w:hint="eastAsia"/>
                <w:color w:val="auto"/>
                <w:szCs w:val="24"/>
                <w:lang w:eastAsia="zh-CN"/>
              </w:rPr>
              <w:t>做好粉尘控制措施。贮存区域</w:t>
            </w:r>
            <w:r>
              <w:rPr>
                <w:rFonts w:hint="eastAsia"/>
                <w:color w:val="auto"/>
                <w:szCs w:val="24"/>
                <w:lang w:val="en-US" w:eastAsia="zh-CN"/>
              </w:rPr>
              <w:t>建议</w:t>
            </w:r>
            <w:r>
              <w:rPr>
                <w:rFonts w:hint="eastAsia"/>
                <w:color w:val="auto"/>
                <w:szCs w:val="24"/>
                <w:lang w:eastAsia="zh-CN"/>
              </w:rPr>
              <w:t>配备废气收集及处理系统，并符合GB31573和GB14554的相关要求。‌</w:t>
            </w:r>
          </w:p>
          <w:p w14:paraId="4B11DD31">
            <w:pPr>
              <w:ind w:firstLine="480" w:firstLineChars="200"/>
              <w:rPr>
                <w:color w:val="auto"/>
                <w:szCs w:val="24"/>
              </w:rPr>
            </w:pPr>
            <w:r>
              <w:rPr>
                <w:rFonts w:hint="eastAsia"/>
                <w:color w:val="auto"/>
                <w:szCs w:val="24"/>
              </w:rPr>
              <w:t>（</w:t>
            </w:r>
            <w:r>
              <w:rPr>
                <w:rFonts w:hint="eastAsia"/>
                <w:color w:val="auto"/>
                <w:szCs w:val="24"/>
                <w:lang w:val="en-US" w:eastAsia="zh-CN"/>
              </w:rPr>
              <w:t>3</w:t>
            </w:r>
            <w:r>
              <w:rPr>
                <w:rFonts w:hint="eastAsia"/>
                <w:color w:val="auto"/>
                <w:szCs w:val="24"/>
              </w:rPr>
              <w:t>）危险废物</w:t>
            </w:r>
            <w:r>
              <w:rPr>
                <w:color w:val="auto"/>
                <w:szCs w:val="24"/>
              </w:rPr>
              <w:t>运输</w:t>
            </w:r>
          </w:p>
          <w:p w14:paraId="20D9F59A">
            <w:pPr>
              <w:adjustRightInd w:val="0"/>
              <w:snapToGrid w:val="0"/>
              <w:ind w:firstLine="480" w:firstLineChars="200"/>
              <w:rPr>
                <w:color w:val="auto"/>
                <w:szCs w:val="24"/>
              </w:rPr>
            </w:pPr>
            <w:r>
              <w:rPr>
                <w:color w:val="auto"/>
                <w:szCs w:val="24"/>
              </w:rPr>
              <w:t>拟建项目产生的危废暂存于危废库不同区域。各类危废从产生点到暂存场所运输过程中不遗漏、散落，厂区将制定严格的危险废物转运制度，正常情况下不会对厂区内部及厂区以外的环境产生不利影响。在事故状态下，可能导致危险废物转运过程散落，对厂区土壤产生一定影响。</w:t>
            </w:r>
          </w:p>
          <w:p w14:paraId="662E3B9D">
            <w:pPr>
              <w:ind w:firstLine="480" w:firstLineChars="200"/>
              <w:rPr>
                <w:color w:val="auto"/>
                <w:szCs w:val="24"/>
              </w:rPr>
            </w:pPr>
            <w:r>
              <w:rPr>
                <w:color w:val="auto"/>
                <w:szCs w:val="24"/>
              </w:rPr>
              <w:t>厂外运输由获得危险货物运输资质的单位承担，具体采用公路运输，按照《道路危险货物运输管理规定》(交通部令2013年第2号)、JT617以及JT618相关要求执行制定运输路线。</w:t>
            </w:r>
          </w:p>
          <w:p w14:paraId="4092AA72">
            <w:pPr>
              <w:adjustRightInd w:val="0"/>
              <w:snapToGrid w:val="0"/>
              <w:ind w:firstLine="480" w:firstLineChars="200"/>
              <w:rPr>
                <w:color w:val="auto"/>
                <w:szCs w:val="24"/>
              </w:rPr>
            </w:pPr>
            <w:r>
              <w:rPr>
                <w:color w:val="auto"/>
                <w:szCs w:val="24"/>
              </w:rPr>
              <w:t>此外，本项目运输道路，均依</w:t>
            </w:r>
            <w:r>
              <w:rPr>
                <w:rFonts w:hint="eastAsia"/>
                <w:color w:val="auto"/>
                <w:szCs w:val="24"/>
              </w:rPr>
              <w:t>现有</w:t>
            </w:r>
            <w:r>
              <w:rPr>
                <w:color w:val="auto"/>
                <w:szCs w:val="24"/>
              </w:rPr>
              <w:t>道路、</w:t>
            </w:r>
            <w:r>
              <w:rPr>
                <w:rFonts w:hint="eastAsia"/>
                <w:color w:val="auto"/>
                <w:szCs w:val="24"/>
              </w:rPr>
              <w:t>现</w:t>
            </w:r>
            <w:r>
              <w:rPr>
                <w:color w:val="auto"/>
                <w:szCs w:val="24"/>
              </w:rPr>
              <w:t>有公路网，不新建厂外运输道路，运输车辆运输次数有限，因此，本项目固废运输对区域交通噪声造成的影响有限，可以忽略不计。</w:t>
            </w:r>
          </w:p>
          <w:p w14:paraId="1241B408">
            <w:pPr>
              <w:ind w:firstLine="480" w:firstLineChars="200"/>
              <w:rPr>
                <w:color w:val="auto"/>
                <w:szCs w:val="24"/>
              </w:rPr>
            </w:pPr>
            <w:r>
              <w:rPr>
                <w:rFonts w:hint="eastAsia"/>
                <w:color w:val="auto"/>
                <w:szCs w:val="24"/>
              </w:rPr>
              <w:t>（</w:t>
            </w:r>
            <w:r>
              <w:rPr>
                <w:rFonts w:hint="eastAsia"/>
                <w:color w:val="auto"/>
                <w:szCs w:val="24"/>
                <w:lang w:val="en-US" w:eastAsia="zh-CN"/>
              </w:rPr>
              <w:t>4</w:t>
            </w:r>
            <w:r>
              <w:rPr>
                <w:rFonts w:hint="eastAsia"/>
                <w:color w:val="auto"/>
                <w:szCs w:val="24"/>
              </w:rPr>
              <w:t>）危险废物</w:t>
            </w:r>
            <w:r>
              <w:rPr>
                <w:color w:val="auto"/>
                <w:szCs w:val="24"/>
              </w:rPr>
              <w:t>委托处置</w:t>
            </w:r>
          </w:p>
          <w:p w14:paraId="5B893828">
            <w:pPr>
              <w:ind w:firstLine="480" w:firstLineChars="200"/>
              <w:rPr>
                <w:color w:val="auto"/>
                <w:szCs w:val="24"/>
              </w:rPr>
            </w:pPr>
            <w:r>
              <w:rPr>
                <w:color w:val="auto"/>
                <w:szCs w:val="24"/>
              </w:rPr>
              <w:t>根据上述分析，拟建项目产生的危险废物中，种类主要包括HW08</w:t>
            </w:r>
            <w:r>
              <w:rPr>
                <w:rFonts w:hint="eastAsia"/>
                <w:color w:val="auto"/>
                <w:szCs w:val="24"/>
              </w:rPr>
              <w:t>、</w:t>
            </w:r>
            <w:r>
              <w:rPr>
                <w:color w:val="auto"/>
                <w:szCs w:val="24"/>
              </w:rPr>
              <w:t>HW0</w:t>
            </w:r>
            <w:r>
              <w:rPr>
                <w:rFonts w:hint="eastAsia"/>
                <w:color w:val="auto"/>
                <w:szCs w:val="24"/>
                <w:lang w:val="en-US" w:eastAsia="zh-CN"/>
              </w:rPr>
              <w:t>9</w:t>
            </w:r>
            <w:r>
              <w:rPr>
                <w:rFonts w:hint="eastAsia"/>
                <w:color w:val="auto"/>
                <w:szCs w:val="24"/>
                <w:lang w:eastAsia="zh-CN"/>
              </w:rPr>
              <w:t>、</w:t>
            </w:r>
            <w:r>
              <w:rPr>
                <w:rFonts w:hint="eastAsia"/>
                <w:color w:val="auto"/>
                <w:szCs w:val="24"/>
              </w:rPr>
              <w:t>HW4</w:t>
            </w:r>
            <w:r>
              <w:rPr>
                <w:rFonts w:hint="eastAsia"/>
                <w:color w:val="auto"/>
                <w:szCs w:val="24"/>
                <w:lang w:val="en-US" w:eastAsia="zh-CN"/>
              </w:rPr>
              <w:t>8</w:t>
            </w:r>
            <w:r>
              <w:rPr>
                <w:color w:val="auto"/>
                <w:szCs w:val="24"/>
              </w:rPr>
              <w:t>。</w:t>
            </w:r>
            <w:r>
              <w:rPr>
                <w:rFonts w:hint="eastAsia"/>
                <w:color w:val="auto"/>
                <w:szCs w:val="24"/>
              </w:rPr>
              <w:t>根据</w:t>
            </w:r>
            <w:r>
              <w:rPr>
                <w:color w:val="auto"/>
                <w:szCs w:val="24"/>
              </w:rPr>
              <w:t>安徽省生态环境厅发布的《安徽省危险废物经营许可证汇总统计表》，选择有资质单位进行危险废物的安全处置。</w:t>
            </w:r>
          </w:p>
          <w:p w14:paraId="7D05BB8E">
            <w:pPr>
              <w:ind w:firstLine="480" w:firstLineChars="200"/>
              <w:rPr>
                <w:color w:val="auto"/>
                <w:szCs w:val="24"/>
              </w:rPr>
            </w:pPr>
            <w:r>
              <w:rPr>
                <w:color w:val="auto"/>
                <w:szCs w:val="24"/>
              </w:rPr>
              <w:t>综上所述，本评价认为，在落实上述危险废物管理要求后，</w:t>
            </w:r>
            <w:r>
              <w:rPr>
                <w:rFonts w:hint="eastAsia"/>
                <w:color w:val="auto"/>
                <w:szCs w:val="24"/>
                <w:lang w:val="en-US" w:eastAsia="zh-CN"/>
              </w:rPr>
              <w:t>本项目</w:t>
            </w:r>
            <w:r>
              <w:rPr>
                <w:color w:val="auto"/>
                <w:szCs w:val="24"/>
              </w:rPr>
              <w:t>能够确保</w:t>
            </w:r>
            <w:r>
              <w:rPr>
                <w:rFonts w:hint="eastAsia"/>
                <w:color w:val="auto"/>
                <w:szCs w:val="24"/>
                <w:lang w:val="en-US" w:eastAsia="zh-CN"/>
              </w:rPr>
              <w:t>各类危废</w:t>
            </w:r>
            <w:r>
              <w:rPr>
                <w:color w:val="auto"/>
                <w:szCs w:val="24"/>
              </w:rPr>
              <w:t>妥善处置，不会对区域环境造成不利影响。</w:t>
            </w:r>
          </w:p>
          <w:p w14:paraId="4A23FAD7">
            <w:pPr>
              <w:rPr>
                <w:b/>
                <w:bCs/>
                <w:color w:val="auto"/>
                <w:szCs w:val="24"/>
              </w:rPr>
            </w:pPr>
            <w:r>
              <w:rPr>
                <w:rFonts w:hint="eastAsia"/>
                <w:b/>
                <w:bCs/>
                <w:color w:val="auto"/>
                <w:szCs w:val="24"/>
              </w:rPr>
              <w:t>五 地下水</w:t>
            </w:r>
          </w:p>
          <w:p w14:paraId="641D3E98">
            <w:pPr>
              <w:rPr>
                <w:b/>
                <w:bCs/>
                <w:color w:val="auto"/>
                <w:szCs w:val="24"/>
              </w:rPr>
            </w:pPr>
            <w:r>
              <w:rPr>
                <w:rFonts w:hint="eastAsia"/>
                <w:b/>
                <w:bCs/>
                <w:color w:val="auto"/>
                <w:szCs w:val="24"/>
              </w:rPr>
              <w:t>1、污染源与污染途径</w:t>
            </w:r>
          </w:p>
          <w:p w14:paraId="013230DC">
            <w:pPr>
              <w:keepNext/>
              <w:keepLines/>
              <w:tabs>
                <w:tab w:val="left" w:pos="0"/>
              </w:tabs>
              <w:autoSpaceDE w:val="0"/>
              <w:autoSpaceDN w:val="0"/>
              <w:adjustRightInd w:val="0"/>
              <w:ind w:firstLine="480" w:firstLineChars="200"/>
              <w:outlineLvl w:val="1"/>
              <w:rPr>
                <w:color w:val="auto"/>
              </w:rPr>
            </w:pPr>
            <w:r>
              <w:rPr>
                <w:rFonts w:hint="eastAsia"/>
                <w:color w:val="auto"/>
              </w:rPr>
              <w:t>根据调查现有的厂房可以满足建设项目部分区域防渗要求，本项目建成运行后，可能对地下水环境造成影响的环节主要包括：危废间、生产车间、仓库、生活污水管线的跑、冒、滴、漏等下渗对地下水影响</w:t>
            </w:r>
            <w:r>
              <w:rPr>
                <w:color w:val="auto"/>
              </w:rPr>
              <w:t>。</w:t>
            </w:r>
          </w:p>
          <w:p w14:paraId="55A8DDC0">
            <w:pPr>
              <w:ind w:firstLine="480" w:firstLineChars="200"/>
              <w:rPr>
                <w:color w:val="auto"/>
                <w:szCs w:val="24"/>
              </w:rPr>
            </w:pPr>
            <w:r>
              <w:rPr>
                <w:rFonts w:hint="eastAsia"/>
                <w:color w:val="auto"/>
              </w:rPr>
              <w:t>本项目选择先进、成熟、可靠的工艺技术和较清洁的原辅材料，并对产生的废物进行合理的回用和治理，以尽可能从源头上减少污染物排放；严格按照国家相关规范要求，对工艺、管道、设备、原辅材料储存及处理构筑物采取相应的措施，以防止和降低污染物的跑、冒、滴、漏，将污染物泄漏的环境风险事故降低到最低程度；管线敷设尽量采用“可视化”原则，即管道尽可能地上敷设，做到污染物“早发现、早处理”，以减少由于埋地管道泄漏而可能造成的地下水污染</w:t>
            </w:r>
            <w:r>
              <w:rPr>
                <w:color w:val="auto"/>
                <w:szCs w:val="24"/>
              </w:rPr>
              <w:t>。</w:t>
            </w:r>
          </w:p>
          <w:p w14:paraId="31581E0A">
            <w:pPr>
              <w:rPr>
                <w:b/>
                <w:bCs/>
                <w:color w:val="auto"/>
                <w:szCs w:val="24"/>
              </w:rPr>
            </w:pPr>
            <w:r>
              <w:rPr>
                <w:rFonts w:hint="eastAsia"/>
                <w:b/>
                <w:bCs/>
                <w:color w:val="auto"/>
                <w:szCs w:val="24"/>
              </w:rPr>
              <w:t>2、地下水污染防治措施</w:t>
            </w:r>
          </w:p>
          <w:p w14:paraId="4B1C4AEB">
            <w:pPr>
              <w:ind w:firstLine="480" w:firstLineChars="200"/>
              <w:rPr>
                <w:color w:val="auto"/>
                <w:szCs w:val="24"/>
              </w:rPr>
            </w:pPr>
            <w:r>
              <w:rPr>
                <w:rFonts w:hint="eastAsia"/>
                <w:color w:val="auto"/>
                <w:szCs w:val="24"/>
                <w:lang w:val="en-US" w:eastAsia="zh-CN"/>
              </w:rPr>
              <w:t>现有项目已采取分区防渗措施，并</w:t>
            </w:r>
            <w:r>
              <w:rPr>
                <w:rFonts w:hint="eastAsia"/>
                <w:color w:val="auto"/>
                <w:szCs w:val="24"/>
              </w:rPr>
              <w:t>按要求进行分区防渗。本项目物料泄漏等情况下产生的污染物主要在</w:t>
            </w:r>
            <w:r>
              <w:rPr>
                <w:rFonts w:hint="eastAsia"/>
                <w:color w:val="auto"/>
                <w:szCs w:val="24"/>
                <w:lang w:val="en-US" w:eastAsia="zh-CN"/>
              </w:rPr>
              <w:t>精加工区、浇铸区、熔炼区及危废库</w:t>
            </w:r>
            <w:r>
              <w:rPr>
                <w:rFonts w:hint="eastAsia"/>
                <w:color w:val="auto"/>
                <w:szCs w:val="24"/>
              </w:rPr>
              <w:t>。本项目分为重点防渗区和一般防渗区，参照《危险废物贮存污染控制标准》（GB18597-2023）</w:t>
            </w:r>
            <w:r>
              <w:rPr>
                <w:rFonts w:hint="eastAsia"/>
                <w:color w:val="auto"/>
                <w:szCs w:val="24"/>
                <w:lang w:eastAsia="zh-CN"/>
              </w:rPr>
              <w:t>，</w:t>
            </w:r>
            <w:r>
              <w:rPr>
                <w:rFonts w:hint="eastAsia"/>
                <w:color w:val="auto"/>
                <w:szCs w:val="24"/>
                <w:lang w:val="en-US" w:eastAsia="zh-CN"/>
              </w:rPr>
              <w:t>现有</w:t>
            </w:r>
            <w:r>
              <w:rPr>
                <w:rFonts w:hint="eastAsia"/>
                <w:color w:val="auto"/>
                <w:szCs w:val="24"/>
              </w:rPr>
              <w:t>防渗区域划分及</w:t>
            </w:r>
            <w:r>
              <w:rPr>
                <w:rFonts w:hint="eastAsia"/>
                <w:color w:val="auto"/>
                <w:szCs w:val="24"/>
                <w:lang w:val="en-US" w:eastAsia="zh-CN"/>
              </w:rPr>
              <w:t>本项目依托</w:t>
            </w:r>
            <w:r>
              <w:rPr>
                <w:rFonts w:hint="eastAsia"/>
                <w:color w:val="auto"/>
                <w:szCs w:val="24"/>
              </w:rPr>
              <w:t>防渗要求见下表，具体分区防渗图见附图</w:t>
            </w:r>
            <w:r>
              <w:rPr>
                <w:rFonts w:hint="eastAsia"/>
                <w:color w:val="auto"/>
                <w:szCs w:val="24"/>
                <w:lang w:val="en-US" w:eastAsia="zh-CN"/>
              </w:rPr>
              <w:t>6</w:t>
            </w:r>
            <w:r>
              <w:rPr>
                <w:rFonts w:hint="eastAsia"/>
                <w:color w:val="auto"/>
                <w:szCs w:val="24"/>
              </w:rPr>
              <w:t>。</w:t>
            </w:r>
          </w:p>
          <w:p w14:paraId="7DE9304B">
            <w:pPr>
              <w:tabs>
                <w:tab w:val="center" w:pos="4679"/>
              </w:tabs>
              <w:ind w:firstLine="480" w:firstLineChars="200"/>
              <w:jc w:val="center"/>
              <w:rPr>
                <w:rFonts w:hint="eastAsia" w:ascii="黑体" w:hAnsi="黑体" w:eastAsia="黑体"/>
                <w:color w:val="auto"/>
                <w:szCs w:val="24"/>
              </w:rPr>
            </w:pPr>
            <w:r>
              <w:rPr>
                <w:rFonts w:hint="eastAsia" w:ascii="黑体" w:hAnsi="黑体" w:eastAsia="黑体"/>
                <w:color w:val="auto"/>
                <w:szCs w:val="24"/>
              </w:rPr>
              <w:t>表</w:t>
            </w:r>
            <w:r>
              <w:rPr>
                <w:rFonts w:eastAsia="黑体"/>
                <w:color w:val="auto"/>
                <w:szCs w:val="24"/>
              </w:rPr>
              <w:t>4-</w:t>
            </w:r>
            <w:r>
              <w:rPr>
                <w:rFonts w:hint="eastAsia" w:eastAsia="黑体"/>
                <w:color w:val="auto"/>
                <w:szCs w:val="24"/>
                <w:lang w:val="en-US" w:eastAsia="zh-CN"/>
              </w:rPr>
              <w:t>20</w:t>
            </w:r>
            <w:r>
              <w:rPr>
                <w:rFonts w:ascii="黑体" w:hAnsi="黑体" w:eastAsia="黑体"/>
                <w:color w:val="auto"/>
                <w:szCs w:val="24"/>
              </w:rPr>
              <w:t xml:space="preserve">  </w:t>
            </w:r>
            <w:r>
              <w:rPr>
                <w:rFonts w:hint="eastAsia" w:ascii="黑体" w:hAnsi="黑体" w:eastAsia="黑体"/>
                <w:color w:val="auto"/>
                <w:szCs w:val="24"/>
                <w:lang w:val="en-US" w:eastAsia="zh-CN"/>
              </w:rPr>
              <w:t>本</w:t>
            </w:r>
            <w:r>
              <w:rPr>
                <w:rFonts w:hint="eastAsia" w:ascii="黑体" w:hAnsi="黑体" w:eastAsia="黑体"/>
                <w:color w:val="auto"/>
                <w:szCs w:val="24"/>
              </w:rPr>
              <w:t>项目污染防渗区划分汇总表</w:t>
            </w:r>
          </w:p>
          <w:tbl>
            <w:tblPr>
              <w:tblStyle w:val="69"/>
              <w:tblW w:w="9061" w:type="dxa"/>
              <w:tblInd w:w="0" w:type="dxa"/>
              <w:tblLayout w:type="fixed"/>
              <w:tblCellMar>
                <w:top w:w="0" w:type="dxa"/>
                <w:left w:w="108" w:type="dxa"/>
                <w:bottom w:w="0" w:type="dxa"/>
                <w:right w:w="108" w:type="dxa"/>
              </w:tblCellMar>
            </w:tblPr>
            <w:tblGrid>
              <w:gridCol w:w="1181"/>
              <w:gridCol w:w="1526"/>
              <w:gridCol w:w="2089"/>
              <w:gridCol w:w="2354"/>
              <w:gridCol w:w="1911"/>
            </w:tblGrid>
            <w:tr w14:paraId="4BA0ECFC">
              <w:tblPrEx>
                <w:tblCellMar>
                  <w:top w:w="0" w:type="dxa"/>
                  <w:left w:w="108" w:type="dxa"/>
                  <w:bottom w:w="0" w:type="dxa"/>
                  <w:right w:w="108" w:type="dxa"/>
                </w:tblCellMar>
              </w:tblPrEx>
              <w:trPr>
                <w:trHeight w:val="340" w:hRule="atLeast"/>
              </w:trPr>
              <w:tc>
                <w:tcPr>
                  <w:tcW w:w="65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D59313">
                  <w:pPr>
                    <w:spacing w:line="240" w:lineRule="auto"/>
                    <w:jc w:val="center"/>
                    <w:rPr>
                      <w:color w:val="auto"/>
                      <w:sz w:val="18"/>
                      <w:szCs w:val="24"/>
                    </w:rPr>
                  </w:pPr>
                  <w:r>
                    <w:rPr>
                      <w:rFonts w:hint="eastAsia"/>
                      <w:color w:val="auto"/>
                      <w:sz w:val="18"/>
                      <w:szCs w:val="24"/>
                    </w:rPr>
                    <w:t>分区类别</w:t>
                  </w:r>
                </w:p>
              </w:tc>
              <w:tc>
                <w:tcPr>
                  <w:tcW w:w="842" w:type="pct"/>
                  <w:tcBorders>
                    <w:top w:val="single" w:color="auto" w:sz="4" w:space="0"/>
                    <w:left w:val="nil"/>
                    <w:bottom w:val="single" w:color="auto" w:sz="4" w:space="0"/>
                    <w:right w:val="single" w:color="auto" w:sz="4" w:space="0"/>
                  </w:tcBorders>
                  <w:shd w:val="clear" w:color="auto" w:fill="auto"/>
                  <w:noWrap/>
                  <w:vAlign w:val="center"/>
                </w:tcPr>
                <w:p w14:paraId="23A1BA3C">
                  <w:pPr>
                    <w:spacing w:line="240" w:lineRule="auto"/>
                    <w:jc w:val="center"/>
                    <w:rPr>
                      <w:color w:val="auto"/>
                      <w:sz w:val="18"/>
                      <w:szCs w:val="24"/>
                    </w:rPr>
                  </w:pPr>
                  <w:r>
                    <w:rPr>
                      <w:rFonts w:hint="eastAsia"/>
                      <w:color w:val="auto"/>
                      <w:sz w:val="18"/>
                      <w:szCs w:val="24"/>
                    </w:rPr>
                    <w:t>区域</w:t>
                  </w:r>
                </w:p>
              </w:tc>
              <w:tc>
                <w:tcPr>
                  <w:tcW w:w="1152" w:type="pct"/>
                  <w:tcBorders>
                    <w:top w:val="single" w:color="auto" w:sz="4" w:space="0"/>
                    <w:left w:val="nil"/>
                    <w:bottom w:val="single" w:color="auto" w:sz="4" w:space="0"/>
                    <w:right w:val="single" w:color="auto" w:sz="4" w:space="0"/>
                  </w:tcBorders>
                  <w:shd w:val="clear" w:color="auto" w:fill="auto"/>
                  <w:noWrap/>
                  <w:vAlign w:val="center"/>
                </w:tcPr>
                <w:p w14:paraId="7F09A2C9">
                  <w:pPr>
                    <w:spacing w:line="240" w:lineRule="auto"/>
                    <w:jc w:val="center"/>
                    <w:rPr>
                      <w:color w:val="auto"/>
                      <w:sz w:val="18"/>
                      <w:szCs w:val="24"/>
                    </w:rPr>
                  </w:pPr>
                  <w:r>
                    <w:rPr>
                      <w:rFonts w:hint="eastAsia"/>
                      <w:color w:val="auto"/>
                      <w:sz w:val="18"/>
                      <w:szCs w:val="24"/>
                    </w:rPr>
                    <w:t>位置</w:t>
                  </w:r>
                </w:p>
              </w:tc>
              <w:tc>
                <w:tcPr>
                  <w:tcW w:w="1298" w:type="pct"/>
                  <w:tcBorders>
                    <w:top w:val="single" w:color="auto" w:sz="4" w:space="0"/>
                    <w:left w:val="nil"/>
                    <w:bottom w:val="single" w:color="auto" w:sz="4" w:space="0"/>
                    <w:right w:val="single" w:color="auto" w:sz="4" w:space="0"/>
                  </w:tcBorders>
                  <w:shd w:val="clear" w:color="auto" w:fill="auto"/>
                  <w:noWrap/>
                  <w:vAlign w:val="center"/>
                </w:tcPr>
                <w:p w14:paraId="0D45F1FA">
                  <w:pPr>
                    <w:spacing w:line="240" w:lineRule="auto"/>
                    <w:jc w:val="center"/>
                    <w:rPr>
                      <w:color w:val="auto"/>
                      <w:sz w:val="18"/>
                      <w:szCs w:val="24"/>
                    </w:rPr>
                  </w:pPr>
                  <w:r>
                    <w:rPr>
                      <w:rFonts w:hint="eastAsia"/>
                      <w:color w:val="auto"/>
                      <w:sz w:val="18"/>
                      <w:szCs w:val="24"/>
                    </w:rPr>
                    <w:t>现状防渗措施</w:t>
                  </w:r>
                </w:p>
              </w:tc>
              <w:tc>
                <w:tcPr>
                  <w:tcW w:w="1054" w:type="pct"/>
                  <w:tcBorders>
                    <w:top w:val="single" w:color="auto" w:sz="4" w:space="0"/>
                    <w:left w:val="nil"/>
                    <w:bottom w:val="single" w:color="auto" w:sz="4" w:space="0"/>
                    <w:right w:val="single" w:color="auto" w:sz="4" w:space="0"/>
                  </w:tcBorders>
                  <w:shd w:val="clear" w:color="auto" w:fill="auto"/>
                  <w:noWrap/>
                  <w:vAlign w:val="center"/>
                </w:tcPr>
                <w:p w14:paraId="744B102C">
                  <w:pPr>
                    <w:spacing w:line="240" w:lineRule="auto"/>
                    <w:jc w:val="center"/>
                    <w:rPr>
                      <w:color w:val="auto"/>
                      <w:sz w:val="18"/>
                      <w:szCs w:val="24"/>
                    </w:rPr>
                  </w:pPr>
                  <w:r>
                    <w:rPr>
                      <w:rFonts w:hint="eastAsia"/>
                      <w:color w:val="auto"/>
                      <w:sz w:val="18"/>
                      <w:szCs w:val="24"/>
                    </w:rPr>
                    <w:t>本次评价要求</w:t>
                  </w:r>
                </w:p>
              </w:tc>
            </w:tr>
            <w:tr w14:paraId="0AB31CF0">
              <w:tblPrEx>
                <w:tblCellMar>
                  <w:top w:w="0" w:type="dxa"/>
                  <w:left w:w="108" w:type="dxa"/>
                  <w:bottom w:w="0" w:type="dxa"/>
                  <w:right w:w="108" w:type="dxa"/>
                </w:tblCellMar>
              </w:tblPrEx>
              <w:trPr>
                <w:trHeight w:val="330" w:hRule="atLeast"/>
              </w:trPr>
              <w:tc>
                <w:tcPr>
                  <w:tcW w:w="65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D7B528F">
                  <w:pPr>
                    <w:spacing w:line="240" w:lineRule="auto"/>
                    <w:jc w:val="center"/>
                    <w:rPr>
                      <w:color w:val="auto"/>
                      <w:sz w:val="18"/>
                      <w:szCs w:val="24"/>
                    </w:rPr>
                  </w:pPr>
                  <w:r>
                    <w:rPr>
                      <w:rFonts w:hint="eastAsia"/>
                      <w:color w:val="auto"/>
                      <w:sz w:val="18"/>
                      <w:szCs w:val="24"/>
                    </w:rPr>
                    <w:t>一般防渗区</w:t>
                  </w: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0763B711">
                  <w:pPr>
                    <w:spacing w:line="240" w:lineRule="auto"/>
                    <w:jc w:val="center"/>
                    <w:rPr>
                      <w:color w:val="auto"/>
                      <w:sz w:val="18"/>
                      <w:szCs w:val="24"/>
                    </w:rPr>
                  </w:pPr>
                  <w:r>
                    <w:rPr>
                      <w:rFonts w:hint="eastAsia"/>
                      <w:color w:val="auto"/>
                      <w:sz w:val="18"/>
                      <w:szCs w:val="24"/>
                    </w:rPr>
                    <w:t>一般固废间</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71FCBC12">
                  <w:pPr>
                    <w:spacing w:line="240" w:lineRule="auto"/>
                    <w:jc w:val="center"/>
                    <w:rPr>
                      <w:color w:val="auto"/>
                      <w:sz w:val="18"/>
                      <w:szCs w:val="24"/>
                    </w:rPr>
                  </w:pPr>
                  <w:r>
                    <w:rPr>
                      <w:rFonts w:hint="eastAsia"/>
                      <w:color w:val="auto"/>
                      <w:sz w:val="18"/>
                      <w:szCs w:val="24"/>
                      <w:lang w:val="en-US" w:eastAsia="zh-CN"/>
                    </w:rPr>
                    <w:t>4#厂房</w:t>
                  </w:r>
                  <w:r>
                    <w:rPr>
                      <w:rFonts w:hint="eastAsia"/>
                      <w:color w:val="auto"/>
                      <w:sz w:val="18"/>
                      <w:szCs w:val="24"/>
                    </w:rPr>
                    <w:t>内划出</w:t>
                  </w:r>
                </w:p>
              </w:tc>
              <w:tc>
                <w:tcPr>
                  <w:tcW w:w="1298" w:type="pct"/>
                  <w:tcBorders>
                    <w:top w:val="single" w:color="auto" w:sz="4" w:space="0"/>
                    <w:left w:val="single" w:color="auto" w:sz="4" w:space="0"/>
                    <w:bottom w:val="single" w:color="auto" w:sz="4" w:space="0"/>
                    <w:right w:val="single" w:color="auto" w:sz="4" w:space="0"/>
                  </w:tcBorders>
                  <w:shd w:val="clear" w:color="auto" w:fill="auto"/>
                  <w:vAlign w:val="center"/>
                </w:tcPr>
                <w:p w14:paraId="45CE97FF">
                  <w:pPr>
                    <w:spacing w:line="240" w:lineRule="auto"/>
                    <w:jc w:val="center"/>
                    <w:rPr>
                      <w:color w:val="auto"/>
                      <w:sz w:val="18"/>
                      <w:szCs w:val="24"/>
                    </w:rPr>
                  </w:pPr>
                  <w:r>
                    <w:rPr>
                      <w:rFonts w:hint="eastAsia"/>
                      <w:color w:val="auto"/>
                      <w:sz w:val="18"/>
                      <w:szCs w:val="24"/>
                    </w:rPr>
                    <w:t>混凝土浇筑</w:t>
                  </w:r>
                </w:p>
              </w:tc>
              <w:tc>
                <w:tcPr>
                  <w:tcW w:w="1054" w:type="pct"/>
                  <w:vMerge w:val="restart"/>
                  <w:tcBorders>
                    <w:top w:val="single" w:color="auto" w:sz="4" w:space="0"/>
                    <w:left w:val="single" w:color="auto" w:sz="4" w:space="0"/>
                    <w:right w:val="single" w:color="auto" w:sz="4" w:space="0"/>
                  </w:tcBorders>
                  <w:shd w:val="clear" w:color="auto" w:fill="auto"/>
                  <w:vAlign w:val="center"/>
                </w:tcPr>
                <w:p w14:paraId="6467439B">
                  <w:pPr>
                    <w:spacing w:line="240" w:lineRule="auto"/>
                    <w:jc w:val="center"/>
                    <w:rPr>
                      <w:color w:val="auto"/>
                      <w:sz w:val="18"/>
                      <w:szCs w:val="24"/>
                    </w:rPr>
                  </w:pPr>
                  <w:r>
                    <w:rPr>
                      <w:rFonts w:hint="eastAsia"/>
                      <w:color w:val="auto"/>
                      <w:sz w:val="18"/>
                      <w:szCs w:val="24"/>
                    </w:rPr>
                    <w:t>依托现有</w:t>
                  </w:r>
                </w:p>
              </w:tc>
            </w:tr>
            <w:tr w14:paraId="1B017CFB">
              <w:trPr>
                <w:trHeight w:val="314" w:hRule="atLeast"/>
              </w:trPr>
              <w:tc>
                <w:tcPr>
                  <w:tcW w:w="65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7E579BC">
                  <w:pPr>
                    <w:spacing w:line="240" w:lineRule="auto"/>
                    <w:jc w:val="center"/>
                    <w:rPr>
                      <w:rFonts w:hint="eastAsia"/>
                      <w:color w:val="auto"/>
                      <w:sz w:val="18"/>
                      <w:szCs w:val="24"/>
                    </w:rPr>
                  </w:pP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68198F8D">
                  <w:pPr>
                    <w:spacing w:line="240" w:lineRule="auto"/>
                    <w:jc w:val="center"/>
                    <w:rPr>
                      <w:rFonts w:hint="default" w:eastAsia="宋体"/>
                      <w:color w:val="auto"/>
                      <w:sz w:val="18"/>
                      <w:szCs w:val="24"/>
                      <w:lang w:val="en-US" w:eastAsia="zh-CN"/>
                    </w:rPr>
                  </w:pPr>
                  <w:r>
                    <w:rPr>
                      <w:rFonts w:hint="eastAsia"/>
                      <w:color w:val="auto"/>
                      <w:sz w:val="18"/>
                      <w:szCs w:val="24"/>
                      <w:lang w:val="en-US" w:eastAsia="zh-CN"/>
                    </w:rPr>
                    <w:t>质检区</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1900A74A">
                  <w:pPr>
                    <w:spacing w:line="240" w:lineRule="auto"/>
                    <w:jc w:val="center"/>
                    <w:rPr>
                      <w:rFonts w:hint="default" w:eastAsia="宋体"/>
                      <w:color w:val="auto"/>
                      <w:sz w:val="18"/>
                      <w:szCs w:val="24"/>
                      <w:lang w:val="en-US" w:eastAsia="zh-CN"/>
                    </w:rPr>
                  </w:pPr>
                  <w:r>
                    <w:rPr>
                      <w:rFonts w:hint="eastAsia"/>
                      <w:color w:val="auto"/>
                      <w:sz w:val="18"/>
                      <w:szCs w:val="24"/>
                      <w:lang w:val="en-US" w:eastAsia="zh-CN"/>
                    </w:rPr>
                    <w:t>7#厂房</w:t>
                  </w:r>
                  <w:r>
                    <w:rPr>
                      <w:rFonts w:hint="eastAsia"/>
                      <w:color w:val="auto"/>
                      <w:sz w:val="18"/>
                      <w:szCs w:val="24"/>
                    </w:rPr>
                    <w:t>内划出</w:t>
                  </w:r>
                </w:p>
              </w:tc>
              <w:tc>
                <w:tcPr>
                  <w:tcW w:w="1298" w:type="pct"/>
                  <w:tcBorders>
                    <w:top w:val="single" w:color="auto" w:sz="4" w:space="0"/>
                    <w:left w:val="single" w:color="auto" w:sz="4" w:space="0"/>
                    <w:bottom w:val="single" w:color="auto" w:sz="4" w:space="0"/>
                    <w:right w:val="single" w:color="auto" w:sz="4" w:space="0"/>
                  </w:tcBorders>
                  <w:shd w:val="clear" w:color="auto" w:fill="auto"/>
                  <w:vAlign w:val="center"/>
                </w:tcPr>
                <w:p w14:paraId="062BB3B2">
                  <w:pPr>
                    <w:spacing w:line="240" w:lineRule="auto"/>
                    <w:jc w:val="center"/>
                    <w:rPr>
                      <w:rFonts w:hint="default" w:eastAsia="宋体"/>
                      <w:color w:val="auto"/>
                      <w:sz w:val="18"/>
                      <w:szCs w:val="24"/>
                      <w:lang w:val="en-US" w:eastAsia="zh-CN"/>
                    </w:rPr>
                  </w:pPr>
                  <w:r>
                    <w:rPr>
                      <w:rFonts w:hint="eastAsia"/>
                      <w:color w:val="auto"/>
                      <w:sz w:val="18"/>
                      <w:szCs w:val="24"/>
                    </w:rPr>
                    <w:t>混凝土浇筑</w:t>
                  </w:r>
                </w:p>
              </w:tc>
              <w:tc>
                <w:tcPr>
                  <w:tcW w:w="1054" w:type="pct"/>
                  <w:vMerge w:val="continue"/>
                  <w:tcBorders>
                    <w:left w:val="single" w:color="auto" w:sz="4" w:space="0"/>
                    <w:right w:val="single" w:color="auto" w:sz="4" w:space="0"/>
                  </w:tcBorders>
                  <w:shd w:val="clear" w:color="auto" w:fill="auto"/>
                  <w:vAlign w:val="center"/>
                </w:tcPr>
                <w:p w14:paraId="2587980C">
                  <w:pPr>
                    <w:spacing w:line="240" w:lineRule="auto"/>
                    <w:jc w:val="center"/>
                    <w:rPr>
                      <w:color w:val="auto"/>
                      <w:sz w:val="18"/>
                      <w:szCs w:val="24"/>
                    </w:rPr>
                  </w:pPr>
                </w:p>
              </w:tc>
            </w:tr>
            <w:tr w14:paraId="30EAC903">
              <w:tblPrEx>
                <w:tblCellMar>
                  <w:top w:w="0" w:type="dxa"/>
                  <w:left w:w="108" w:type="dxa"/>
                  <w:bottom w:w="0" w:type="dxa"/>
                  <w:right w:w="108" w:type="dxa"/>
                </w:tblCellMar>
              </w:tblPrEx>
              <w:trPr>
                <w:trHeight w:val="385" w:hRule="atLeast"/>
              </w:trPr>
              <w:tc>
                <w:tcPr>
                  <w:tcW w:w="65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729BC54">
                  <w:pPr>
                    <w:spacing w:line="240" w:lineRule="auto"/>
                    <w:jc w:val="center"/>
                    <w:rPr>
                      <w:rFonts w:hint="eastAsia"/>
                      <w:color w:val="auto"/>
                      <w:sz w:val="18"/>
                      <w:szCs w:val="24"/>
                    </w:rPr>
                  </w:pP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0AE8ABB5">
                  <w:pPr>
                    <w:spacing w:line="240" w:lineRule="auto"/>
                    <w:jc w:val="center"/>
                    <w:rPr>
                      <w:rFonts w:hint="default"/>
                      <w:color w:val="auto"/>
                      <w:sz w:val="18"/>
                      <w:szCs w:val="24"/>
                      <w:lang w:val="en-US" w:eastAsia="zh-CN"/>
                    </w:rPr>
                  </w:pPr>
                  <w:r>
                    <w:rPr>
                      <w:rFonts w:hint="eastAsia"/>
                      <w:color w:val="auto"/>
                      <w:sz w:val="18"/>
                      <w:szCs w:val="24"/>
                      <w:lang w:val="en-US" w:eastAsia="zh-CN"/>
                    </w:rPr>
                    <w:t>打包区</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7CA7F336">
                  <w:pPr>
                    <w:spacing w:line="240" w:lineRule="auto"/>
                    <w:jc w:val="center"/>
                    <w:rPr>
                      <w:rFonts w:hint="eastAsia"/>
                      <w:color w:val="auto"/>
                      <w:sz w:val="18"/>
                      <w:szCs w:val="24"/>
                    </w:rPr>
                  </w:pPr>
                  <w:r>
                    <w:rPr>
                      <w:rFonts w:hint="eastAsia"/>
                      <w:color w:val="auto"/>
                      <w:sz w:val="18"/>
                      <w:szCs w:val="24"/>
                      <w:lang w:val="en-US" w:eastAsia="zh-CN"/>
                    </w:rPr>
                    <w:t>7#厂房</w:t>
                  </w:r>
                  <w:r>
                    <w:rPr>
                      <w:rFonts w:hint="eastAsia"/>
                      <w:color w:val="auto"/>
                      <w:sz w:val="18"/>
                      <w:szCs w:val="24"/>
                    </w:rPr>
                    <w:t>内划出</w:t>
                  </w:r>
                </w:p>
              </w:tc>
              <w:tc>
                <w:tcPr>
                  <w:tcW w:w="1298" w:type="pct"/>
                  <w:tcBorders>
                    <w:top w:val="single" w:color="auto" w:sz="4" w:space="0"/>
                    <w:left w:val="single" w:color="auto" w:sz="4" w:space="0"/>
                    <w:bottom w:val="single" w:color="auto" w:sz="4" w:space="0"/>
                    <w:right w:val="single" w:color="auto" w:sz="4" w:space="0"/>
                  </w:tcBorders>
                  <w:shd w:val="clear" w:color="auto" w:fill="auto"/>
                  <w:vAlign w:val="center"/>
                </w:tcPr>
                <w:p w14:paraId="01A6AE2F">
                  <w:pPr>
                    <w:spacing w:line="240" w:lineRule="auto"/>
                    <w:jc w:val="center"/>
                    <w:rPr>
                      <w:rFonts w:hint="default" w:eastAsia="宋体"/>
                      <w:color w:val="auto"/>
                      <w:sz w:val="18"/>
                      <w:szCs w:val="24"/>
                      <w:lang w:val="en-US" w:eastAsia="zh-CN"/>
                    </w:rPr>
                  </w:pPr>
                  <w:r>
                    <w:rPr>
                      <w:rFonts w:hint="eastAsia"/>
                      <w:color w:val="auto"/>
                      <w:sz w:val="18"/>
                      <w:szCs w:val="24"/>
                    </w:rPr>
                    <w:t>混凝土浇筑</w:t>
                  </w:r>
                </w:p>
              </w:tc>
              <w:tc>
                <w:tcPr>
                  <w:tcW w:w="1054" w:type="pct"/>
                  <w:vMerge w:val="continue"/>
                  <w:tcBorders>
                    <w:left w:val="single" w:color="auto" w:sz="4" w:space="0"/>
                    <w:right w:val="single" w:color="auto" w:sz="4" w:space="0"/>
                  </w:tcBorders>
                  <w:shd w:val="clear" w:color="auto" w:fill="auto"/>
                  <w:vAlign w:val="center"/>
                </w:tcPr>
                <w:p w14:paraId="49EF23F7">
                  <w:pPr>
                    <w:spacing w:line="240" w:lineRule="auto"/>
                    <w:jc w:val="center"/>
                    <w:rPr>
                      <w:rFonts w:hint="eastAsia"/>
                      <w:color w:val="auto"/>
                      <w:sz w:val="18"/>
                      <w:szCs w:val="24"/>
                    </w:rPr>
                  </w:pPr>
                </w:p>
              </w:tc>
            </w:tr>
            <w:tr w14:paraId="0B8AE1F8">
              <w:tblPrEx>
                <w:tblCellMar>
                  <w:top w:w="0" w:type="dxa"/>
                  <w:left w:w="108" w:type="dxa"/>
                  <w:bottom w:w="0" w:type="dxa"/>
                  <w:right w:w="108" w:type="dxa"/>
                </w:tblCellMar>
              </w:tblPrEx>
              <w:trPr>
                <w:trHeight w:val="313" w:hRule="atLeast"/>
              </w:trPr>
              <w:tc>
                <w:tcPr>
                  <w:tcW w:w="65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35DDE79">
                  <w:pPr>
                    <w:spacing w:line="240" w:lineRule="auto"/>
                    <w:jc w:val="center"/>
                    <w:rPr>
                      <w:color w:val="auto"/>
                      <w:sz w:val="18"/>
                      <w:szCs w:val="24"/>
                    </w:rPr>
                  </w:pP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3F73D007">
                  <w:pPr>
                    <w:spacing w:line="240" w:lineRule="auto"/>
                    <w:jc w:val="center"/>
                    <w:rPr>
                      <w:rFonts w:hint="eastAsia" w:ascii="Times New Roman" w:hAnsi="Times New Roman" w:eastAsia="宋体" w:cs="Times New Roman"/>
                      <w:color w:val="auto"/>
                      <w:kern w:val="2"/>
                      <w:sz w:val="18"/>
                      <w:szCs w:val="24"/>
                      <w:lang w:val="en-US" w:eastAsia="zh-CN" w:bidi="ar-SA"/>
                    </w:rPr>
                  </w:pPr>
                  <w:r>
                    <w:rPr>
                      <w:rFonts w:hint="eastAsia"/>
                      <w:color w:val="auto"/>
                      <w:sz w:val="18"/>
                      <w:szCs w:val="24"/>
                      <w:lang w:val="en-US" w:eastAsia="zh-CN"/>
                    </w:rPr>
                    <w:t>浇铸区</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385024D6">
                  <w:pPr>
                    <w:spacing w:line="240" w:lineRule="auto"/>
                    <w:jc w:val="center"/>
                    <w:rPr>
                      <w:rFonts w:hint="eastAsia" w:ascii="Times New Roman" w:hAnsi="Times New Roman" w:eastAsia="宋体" w:cs="Times New Roman"/>
                      <w:color w:val="auto"/>
                      <w:kern w:val="2"/>
                      <w:sz w:val="18"/>
                      <w:szCs w:val="24"/>
                      <w:lang w:val="en-US" w:eastAsia="zh-CN" w:bidi="ar-SA"/>
                    </w:rPr>
                  </w:pPr>
                  <w:r>
                    <w:rPr>
                      <w:rFonts w:hint="eastAsia"/>
                      <w:color w:val="auto"/>
                      <w:sz w:val="18"/>
                      <w:szCs w:val="24"/>
                      <w:lang w:val="en-US" w:eastAsia="zh-CN"/>
                    </w:rPr>
                    <w:t>7#厂房东侧</w:t>
                  </w:r>
                </w:p>
              </w:tc>
              <w:tc>
                <w:tcPr>
                  <w:tcW w:w="1298" w:type="pct"/>
                  <w:tcBorders>
                    <w:top w:val="single" w:color="auto" w:sz="4" w:space="0"/>
                    <w:left w:val="single" w:color="auto" w:sz="4" w:space="0"/>
                    <w:bottom w:val="single" w:color="auto" w:sz="4" w:space="0"/>
                    <w:right w:val="single" w:color="auto" w:sz="4" w:space="0"/>
                  </w:tcBorders>
                  <w:shd w:val="clear" w:color="auto" w:fill="auto"/>
                  <w:vAlign w:val="center"/>
                </w:tcPr>
                <w:p w14:paraId="4E0016D8">
                  <w:pPr>
                    <w:spacing w:line="240" w:lineRule="auto"/>
                    <w:jc w:val="center"/>
                    <w:rPr>
                      <w:rFonts w:hint="eastAsia" w:ascii="Times New Roman" w:hAnsi="Times New Roman" w:eastAsia="宋体" w:cs="Times New Roman"/>
                      <w:color w:val="auto"/>
                      <w:kern w:val="2"/>
                      <w:sz w:val="18"/>
                      <w:szCs w:val="24"/>
                      <w:lang w:val="en-US" w:eastAsia="zh-CN" w:bidi="ar-SA"/>
                    </w:rPr>
                  </w:pPr>
                  <w:r>
                    <w:rPr>
                      <w:rFonts w:hint="eastAsia"/>
                      <w:color w:val="auto"/>
                      <w:sz w:val="18"/>
                      <w:szCs w:val="24"/>
                    </w:rPr>
                    <w:t>混凝土浇筑</w:t>
                  </w:r>
                </w:p>
              </w:tc>
              <w:tc>
                <w:tcPr>
                  <w:tcW w:w="1054" w:type="pct"/>
                  <w:vMerge w:val="continue"/>
                  <w:tcBorders>
                    <w:left w:val="single" w:color="auto" w:sz="4" w:space="0"/>
                    <w:right w:val="single" w:color="auto" w:sz="4" w:space="0"/>
                  </w:tcBorders>
                  <w:shd w:val="clear" w:color="auto" w:fill="auto"/>
                  <w:vAlign w:val="center"/>
                </w:tcPr>
                <w:p w14:paraId="3F45E27C">
                  <w:pPr>
                    <w:spacing w:line="240" w:lineRule="auto"/>
                    <w:jc w:val="center"/>
                    <w:rPr>
                      <w:color w:val="auto"/>
                      <w:sz w:val="18"/>
                      <w:szCs w:val="24"/>
                    </w:rPr>
                  </w:pPr>
                </w:p>
              </w:tc>
            </w:tr>
            <w:tr w14:paraId="58400A2B">
              <w:tblPrEx>
                <w:tblCellMar>
                  <w:top w:w="0" w:type="dxa"/>
                  <w:left w:w="108" w:type="dxa"/>
                  <w:bottom w:w="0" w:type="dxa"/>
                  <w:right w:w="108" w:type="dxa"/>
                </w:tblCellMar>
              </w:tblPrEx>
              <w:trPr>
                <w:trHeight w:val="324" w:hRule="atLeast"/>
              </w:trPr>
              <w:tc>
                <w:tcPr>
                  <w:tcW w:w="65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9C160EA">
                  <w:pPr>
                    <w:spacing w:line="240" w:lineRule="auto"/>
                    <w:jc w:val="center"/>
                    <w:rPr>
                      <w:rFonts w:hint="eastAsia"/>
                      <w:color w:val="auto"/>
                      <w:sz w:val="18"/>
                      <w:szCs w:val="24"/>
                    </w:rPr>
                  </w:pP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73C11C43">
                  <w:pPr>
                    <w:spacing w:line="240" w:lineRule="auto"/>
                    <w:jc w:val="center"/>
                    <w:rPr>
                      <w:rFonts w:hint="eastAsia" w:ascii="Times New Roman" w:hAnsi="Times New Roman" w:eastAsia="宋体" w:cs="Times New Roman"/>
                      <w:color w:val="auto"/>
                      <w:kern w:val="2"/>
                      <w:sz w:val="18"/>
                      <w:szCs w:val="24"/>
                      <w:lang w:val="en-US" w:eastAsia="zh-CN" w:bidi="ar-SA"/>
                    </w:rPr>
                  </w:pPr>
                  <w:r>
                    <w:rPr>
                      <w:rFonts w:hint="eastAsia"/>
                      <w:color w:val="auto"/>
                      <w:sz w:val="18"/>
                      <w:szCs w:val="24"/>
                      <w:lang w:val="en-US" w:eastAsia="zh-CN"/>
                    </w:rPr>
                    <w:t>熔炼区</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556B71CD">
                  <w:pPr>
                    <w:spacing w:line="240" w:lineRule="auto"/>
                    <w:jc w:val="center"/>
                    <w:rPr>
                      <w:rFonts w:hint="eastAsia" w:ascii="Times New Roman" w:hAnsi="Times New Roman" w:eastAsia="宋体" w:cs="Times New Roman"/>
                      <w:color w:val="auto"/>
                      <w:kern w:val="2"/>
                      <w:sz w:val="18"/>
                      <w:szCs w:val="24"/>
                      <w:lang w:val="en-US" w:eastAsia="zh-CN" w:bidi="ar-SA"/>
                    </w:rPr>
                  </w:pPr>
                  <w:r>
                    <w:rPr>
                      <w:rFonts w:hint="eastAsia"/>
                      <w:color w:val="auto"/>
                      <w:sz w:val="18"/>
                      <w:szCs w:val="24"/>
                      <w:lang w:val="en-US" w:eastAsia="zh-CN"/>
                    </w:rPr>
                    <w:t>7#厂房东侧</w:t>
                  </w:r>
                </w:p>
              </w:tc>
              <w:tc>
                <w:tcPr>
                  <w:tcW w:w="1298" w:type="pct"/>
                  <w:tcBorders>
                    <w:top w:val="single" w:color="auto" w:sz="4" w:space="0"/>
                    <w:left w:val="single" w:color="auto" w:sz="4" w:space="0"/>
                    <w:bottom w:val="single" w:color="auto" w:sz="4" w:space="0"/>
                    <w:right w:val="single" w:color="auto" w:sz="4" w:space="0"/>
                  </w:tcBorders>
                  <w:shd w:val="clear" w:color="auto" w:fill="auto"/>
                  <w:vAlign w:val="center"/>
                </w:tcPr>
                <w:p w14:paraId="44543FC5">
                  <w:pPr>
                    <w:spacing w:line="240" w:lineRule="auto"/>
                    <w:jc w:val="center"/>
                    <w:rPr>
                      <w:rFonts w:hint="eastAsia" w:ascii="Times New Roman" w:hAnsi="Times New Roman" w:eastAsia="宋体" w:cs="Times New Roman"/>
                      <w:color w:val="auto"/>
                      <w:kern w:val="2"/>
                      <w:sz w:val="18"/>
                      <w:szCs w:val="24"/>
                      <w:lang w:val="en-US" w:eastAsia="zh-CN" w:bidi="ar-SA"/>
                    </w:rPr>
                  </w:pPr>
                  <w:r>
                    <w:rPr>
                      <w:rFonts w:hint="eastAsia"/>
                      <w:color w:val="auto"/>
                      <w:sz w:val="18"/>
                      <w:szCs w:val="24"/>
                    </w:rPr>
                    <w:t>混凝土浇筑</w:t>
                  </w:r>
                </w:p>
              </w:tc>
              <w:tc>
                <w:tcPr>
                  <w:tcW w:w="1054" w:type="pct"/>
                  <w:vMerge w:val="continue"/>
                  <w:tcBorders>
                    <w:left w:val="single" w:color="auto" w:sz="4" w:space="0"/>
                    <w:right w:val="single" w:color="auto" w:sz="4" w:space="0"/>
                  </w:tcBorders>
                  <w:shd w:val="clear" w:color="auto" w:fill="auto"/>
                  <w:vAlign w:val="center"/>
                </w:tcPr>
                <w:p w14:paraId="645F4DB8">
                  <w:pPr>
                    <w:spacing w:line="240" w:lineRule="auto"/>
                    <w:jc w:val="center"/>
                    <w:rPr>
                      <w:rFonts w:hint="eastAsia" w:ascii="Times New Roman" w:hAnsi="Times New Roman" w:eastAsia="宋体" w:cs="Times New Roman"/>
                      <w:color w:val="auto"/>
                      <w:kern w:val="2"/>
                      <w:sz w:val="18"/>
                      <w:szCs w:val="24"/>
                      <w:lang w:val="en-US" w:eastAsia="zh-CN" w:bidi="ar-SA"/>
                    </w:rPr>
                  </w:pPr>
                </w:p>
              </w:tc>
            </w:tr>
            <w:tr w14:paraId="1CFC909A">
              <w:tblPrEx>
                <w:tblCellMar>
                  <w:top w:w="0" w:type="dxa"/>
                  <w:left w:w="108" w:type="dxa"/>
                  <w:bottom w:w="0" w:type="dxa"/>
                  <w:right w:w="108" w:type="dxa"/>
                </w:tblCellMar>
              </w:tblPrEx>
              <w:trPr>
                <w:trHeight w:val="340" w:hRule="atLeast"/>
              </w:trPr>
              <w:tc>
                <w:tcPr>
                  <w:tcW w:w="65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71355FD">
                  <w:pPr>
                    <w:spacing w:line="240" w:lineRule="auto"/>
                    <w:jc w:val="center"/>
                    <w:rPr>
                      <w:color w:val="auto"/>
                      <w:sz w:val="18"/>
                      <w:szCs w:val="24"/>
                    </w:rPr>
                  </w:pP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467CCC05">
                  <w:pPr>
                    <w:spacing w:line="240" w:lineRule="auto"/>
                    <w:jc w:val="center"/>
                    <w:rPr>
                      <w:rFonts w:hint="default" w:eastAsia="宋体"/>
                      <w:color w:val="auto"/>
                      <w:sz w:val="18"/>
                      <w:szCs w:val="24"/>
                      <w:lang w:val="en-US" w:eastAsia="zh-CN"/>
                    </w:rPr>
                  </w:pPr>
                  <w:r>
                    <w:rPr>
                      <w:rFonts w:hint="eastAsia"/>
                      <w:color w:val="auto"/>
                      <w:sz w:val="18"/>
                      <w:szCs w:val="24"/>
                      <w:lang w:val="en-US" w:eastAsia="zh-CN"/>
                    </w:rPr>
                    <w:t>精加工区</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74E96ECE">
                  <w:pPr>
                    <w:spacing w:line="240" w:lineRule="auto"/>
                    <w:jc w:val="center"/>
                    <w:rPr>
                      <w:rFonts w:hint="default"/>
                      <w:color w:val="auto"/>
                      <w:sz w:val="18"/>
                      <w:szCs w:val="24"/>
                      <w:lang w:val="en-US"/>
                    </w:rPr>
                  </w:pPr>
                  <w:r>
                    <w:rPr>
                      <w:rFonts w:hint="eastAsia"/>
                      <w:color w:val="auto"/>
                      <w:sz w:val="18"/>
                      <w:szCs w:val="24"/>
                      <w:lang w:val="en-US" w:eastAsia="zh-CN"/>
                    </w:rPr>
                    <w:t>7#厂房</w:t>
                  </w:r>
                  <w:r>
                    <w:rPr>
                      <w:rFonts w:hint="eastAsia"/>
                      <w:color w:val="auto"/>
                      <w:sz w:val="18"/>
                      <w:szCs w:val="24"/>
                    </w:rPr>
                    <w:t>内划出</w:t>
                  </w:r>
                </w:p>
              </w:tc>
              <w:tc>
                <w:tcPr>
                  <w:tcW w:w="1298" w:type="pct"/>
                  <w:tcBorders>
                    <w:top w:val="single" w:color="auto" w:sz="4" w:space="0"/>
                    <w:left w:val="single" w:color="auto" w:sz="4" w:space="0"/>
                    <w:bottom w:val="single" w:color="auto" w:sz="4" w:space="0"/>
                    <w:right w:val="single" w:color="auto" w:sz="4" w:space="0"/>
                  </w:tcBorders>
                  <w:shd w:val="clear" w:color="auto" w:fill="auto"/>
                  <w:vAlign w:val="center"/>
                </w:tcPr>
                <w:p w14:paraId="6E105BAB">
                  <w:pPr>
                    <w:spacing w:line="240" w:lineRule="auto"/>
                    <w:jc w:val="center"/>
                    <w:rPr>
                      <w:rFonts w:hint="eastAsia" w:eastAsia="宋体"/>
                      <w:color w:val="auto"/>
                      <w:sz w:val="18"/>
                      <w:szCs w:val="24"/>
                      <w:lang w:val="en-US" w:eastAsia="zh-CN"/>
                    </w:rPr>
                  </w:pPr>
                  <w:r>
                    <w:rPr>
                      <w:rFonts w:hint="eastAsia"/>
                      <w:color w:val="auto"/>
                      <w:sz w:val="18"/>
                      <w:szCs w:val="24"/>
                    </w:rPr>
                    <w:t>混凝土浇筑</w:t>
                  </w:r>
                </w:p>
              </w:tc>
              <w:tc>
                <w:tcPr>
                  <w:tcW w:w="1054" w:type="pct"/>
                  <w:vMerge w:val="continue"/>
                  <w:tcBorders>
                    <w:left w:val="single" w:color="auto" w:sz="4" w:space="0"/>
                    <w:bottom w:val="single" w:color="auto" w:sz="4" w:space="0"/>
                    <w:right w:val="single" w:color="auto" w:sz="4" w:space="0"/>
                  </w:tcBorders>
                  <w:shd w:val="clear" w:color="auto" w:fill="auto"/>
                  <w:vAlign w:val="center"/>
                </w:tcPr>
                <w:p w14:paraId="5E825726">
                  <w:pPr>
                    <w:spacing w:line="240" w:lineRule="auto"/>
                    <w:jc w:val="center"/>
                    <w:rPr>
                      <w:color w:val="auto"/>
                      <w:sz w:val="18"/>
                      <w:szCs w:val="24"/>
                    </w:rPr>
                  </w:pPr>
                </w:p>
              </w:tc>
            </w:tr>
            <w:tr w14:paraId="44CE56BB">
              <w:trPr>
                <w:trHeight w:val="340" w:hRule="atLeast"/>
              </w:trPr>
              <w:tc>
                <w:tcPr>
                  <w:tcW w:w="65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B6B5E30">
                  <w:pPr>
                    <w:spacing w:line="240" w:lineRule="auto"/>
                    <w:jc w:val="center"/>
                    <w:rPr>
                      <w:color w:val="auto"/>
                      <w:sz w:val="18"/>
                      <w:szCs w:val="24"/>
                    </w:rPr>
                  </w:pPr>
                  <w:r>
                    <w:rPr>
                      <w:rFonts w:hint="eastAsia"/>
                      <w:color w:val="auto"/>
                      <w:sz w:val="18"/>
                      <w:szCs w:val="24"/>
                    </w:rPr>
                    <w:t>重点防渗区</w:t>
                  </w: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688C6821">
                  <w:pPr>
                    <w:spacing w:line="240" w:lineRule="auto"/>
                    <w:jc w:val="center"/>
                    <w:rPr>
                      <w:rFonts w:hint="eastAsia" w:eastAsia="宋体"/>
                      <w:color w:val="auto"/>
                      <w:sz w:val="18"/>
                      <w:szCs w:val="24"/>
                      <w:lang w:eastAsia="zh-CN"/>
                    </w:rPr>
                  </w:pPr>
                  <w:r>
                    <w:rPr>
                      <w:rFonts w:hint="eastAsia"/>
                      <w:color w:val="auto"/>
                      <w:sz w:val="18"/>
                      <w:szCs w:val="24"/>
                    </w:rPr>
                    <w:t>危废</w:t>
                  </w:r>
                  <w:r>
                    <w:rPr>
                      <w:rFonts w:hint="eastAsia"/>
                      <w:color w:val="auto"/>
                      <w:sz w:val="18"/>
                      <w:szCs w:val="24"/>
                      <w:lang w:val="en-US" w:eastAsia="zh-CN"/>
                    </w:rPr>
                    <w:t>库</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345BB456">
                  <w:pPr>
                    <w:spacing w:line="240" w:lineRule="auto"/>
                    <w:jc w:val="center"/>
                    <w:rPr>
                      <w:rFonts w:hint="default" w:eastAsia="宋体"/>
                      <w:color w:val="auto"/>
                      <w:sz w:val="18"/>
                      <w:szCs w:val="24"/>
                      <w:lang w:val="en-US" w:eastAsia="zh-CN"/>
                    </w:rPr>
                  </w:pPr>
                  <w:r>
                    <w:rPr>
                      <w:rFonts w:hint="eastAsia"/>
                      <w:color w:val="auto"/>
                      <w:sz w:val="18"/>
                      <w:szCs w:val="24"/>
                      <w:lang w:val="en-US" w:eastAsia="zh-CN"/>
                    </w:rPr>
                    <w:t>厂区西侧</w:t>
                  </w:r>
                </w:p>
              </w:tc>
              <w:tc>
                <w:tcPr>
                  <w:tcW w:w="1298" w:type="pct"/>
                  <w:vMerge w:val="restart"/>
                  <w:tcBorders>
                    <w:top w:val="single" w:color="auto" w:sz="4" w:space="0"/>
                    <w:left w:val="single" w:color="auto" w:sz="4" w:space="0"/>
                    <w:right w:val="single" w:color="auto" w:sz="4" w:space="0"/>
                  </w:tcBorders>
                  <w:shd w:val="clear" w:color="auto" w:fill="auto"/>
                  <w:vAlign w:val="center"/>
                </w:tcPr>
                <w:p w14:paraId="37B26655">
                  <w:pPr>
                    <w:spacing w:line="240" w:lineRule="auto"/>
                    <w:jc w:val="center"/>
                    <w:rPr>
                      <w:rFonts w:hint="eastAsia" w:eastAsia="宋体"/>
                      <w:color w:val="auto"/>
                      <w:sz w:val="18"/>
                      <w:szCs w:val="24"/>
                      <w:lang w:val="en-US" w:eastAsia="zh-CN"/>
                    </w:rPr>
                  </w:pPr>
                  <w:r>
                    <w:rPr>
                      <w:rFonts w:hint="eastAsia"/>
                      <w:color w:val="auto"/>
                      <w:sz w:val="18"/>
                      <w:szCs w:val="24"/>
                    </w:rPr>
                    <w:t>2mm 厚高密度聚乙烯等人工防渗材料（渗透系数≤</w:t>
                  </w:r>
                  <w:r>
                    <w:rPr>
                      <w:color w:val="auto"/>
                      <w:sz w:val="18"/>
                      <w:szCs w:val="24"/>
                    </w:rPr>
                    <w:t>10</w:t>
                  </w:r>
                  <w:r>
                    <w:rPr>
                      <w:color w:val="auto"/>
                      <w:sz w:val="18"/>
                      <w:szCs w:val="24"/>
                      <w:vertAlign w:val="superscript"/>
                    </w:rPr>
                    <w:t>-10</w:t>
                  </w:r>
                  <w:r>
                    <w:rPr>
                      <w:color w:val="auto"/>
                      <w:sz w:val="18"/>
                      <w:szCs w:val="24"/>
                    </w:rPr>
                    <w:t>cm/s</w:t>
                  </w:r>
                  <w:r>
                    <w:rPr>
                      <w:rFonts w:hint="eastAsia"/>
                      <w:color w:val="auto"/>
                      <w:sz w:val="18"/>
                      <w:szCs w:val="24"/>
                    </w:rPr>
                    <w:t>）。</w:t>
                  </w:r>
                </w:p>
              </w:tc>
              <w:tc>
                <w:tcPr>
                  <w:tcW w:w="1054" w:type="pct"/>
                  <w:vMerge w:val="restart"/>
                  <w:tcBorders>
                    <w:top w:val="single" w:color="auto" w:sz="4" w:space="0"/>
                    <w:left w:val="single" w:color="auto" w:sz="4" w:space="0"/>
                    <w:right w:val="single" w:color="auto" w:sz="4" w:space="0"/>
                  </w:tcBorders>
                  <w:shd w:val="clear" w:color="auto" w:fill="auto"/>
                  <w:vAlign w:val="center"/>
                </w:tcPr>
                <w:p w14:paraId="4564D7E5">
                  <w:pPr>
                    <w:spacing w:line="240" w:lineRule="auto"/>
                    <w:jc w:val="center"/>
                    <w:rPr>
                      <w:color w:val="auto"/>
                      <w:sz w:val="18"/>
                      <w:szCs w:val="24"/>
                    </w:rPr>
                  </w:pPr>
                  <w:r>
                    <w:rPr>
                      <w:rFonts w:hint="eastAsia"/>
                      <w:color w:val="auto"/>
                      <w:sz w:val="18"/>
                      <w:szCs w:val="24"/>
                    </w:rPr>
                    <w:t>依托现有</w:t>
                  </w:r>
                </w:p>
              </w:tc>
            </w:tr>
            <w:tr w14:paraId="6FF0F47C">
              <w:tblPrEx>
                <w:tblCellMar>
                  <w:top w:w="0" w:type="dxa"/>
                  <w:left w:w="108" w:type="dxa"/>
                  <w:bottom w:w="0" w:type="dxa"/>
                  <w:right w:w="108" w:type="dxa"/>
                </w:tblCellMar>
              </w:tblPrEx>
              <w:trPr>
                <w:trHeight w:val="340" w:hRule="atLeast"/>
              </w:trPr>
              <w:tc>
                <w:tcPr>
                  <w:tcW w:w="65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80E3610">
                  <w:pPr>
                    <w:spacing w:line="240" w:lineRule="auto"/>
                    <w:jc w:val="center"/>
                    <w:rPr>
                      <w:color w:val="auto"/>
                      <w:sz w:val="18"/>
                      <w:szCs w:val="24"/>
                    </w:rPr>
                  </w:pPr>
                </w:p>
              </w:tc>
              <w:tc>
                <w:tcPr>
                  <w:tcW w:w="842" w:type="pct"/>
                  <w:tcBorders>
                    <w:top w:val="single" w:color="auto" w:sz="4" w:space="0"/>
                    <w:left w:val="single" w:color="auto" w:sz="4" w:space="0"/>
                    <w:bottom w:val="single" w:color="auto" w:sz="4" w:space="0"/>
                    <w:right w:val="single" w:color="auto" w:sz="4" w:space="0"/>
                  </w:tcBorders>
                  <w:shd w:val="clear" w:color="auto" w:fill="auto"/>
                  <w:vAlign w:val="center"/>
                </w:tcPr>
                <w:p w14:paraId="03B39A81">
                  <w:pPr>
                    <w:spacing w:line="240" w:lineRule="auto"/>
                    <w:jc w:val="center"/>
                    <w:rPr>
                      <w:rFonts w:hint="default" w:eastAsia="宋体"/>
                      <w:color w:val="auto"/>
                      <w:sz w:val="18"/>
                      <w:szCs w:val="24"/>
                      <w:lang w:val="en-US" w:eastAsia="zh-CN"/>
                    </w:rPr>
                  </w:pPr>
                  <w:r>
                    <w:rPr>
                      <w:rFonts w:hint="eastAsia"/>
                      <w:color w:val="auto"/>
                      <w:sz w:val="18"/>
                      <w:szCs w:val="24"/>
                      <w:lang w:val="en-US" w:eastAsia="zh-CN"/>
                    </w:rPr>
                    <w:t>污水处理站</w:t>
                  </w:r>
                </w:p>
              </w:tc>
              <w:tc>
                <w:tcPr>
                  <w:tcW w:w="1152" w:type="pct"/>
                  <w:tcBorders>
                    <w:top w:val="single" w:color="auto" w:sz="4" w:space="0"/>
                    <w:left w:val="single" w:color="auto" w:sz="4" w:space="0"/>
                    <w:bottom w:val="single" w:color="auto" w:sz="4" w:space="0"/>
                    <w:right w:val="single" w:color="auto" w:sz="4" w:space="0"/>
                  </w:tcBorders>
                  <w:shd w:val="clear" w:color="auto" w:fill="auto"/>
                  <w:vAlign w:val="center"/>
                </w:tcPr>
                <w:p w14:paraId="497E9E16">
                  <w:pPr>
                    <w:spacing w:line="240" w:lineRule="auto"/>
                    <w:jc w:val="center"/>
                    <w:rPr>
                      <w:rFonts w:hint="eastAsia"/>
                      <w:color w:val="auto"/>
                      <w:sz w:val="18"/>
                      <w:szCs w:val="24"/>
                      <w:lang w:val="en-US" w:eastAsia="zh-CN"/>
                    </w:rPr>
                  </w:pPr>
                  <w:r>
                    <w:rPr>
                      <w:rFonts w:hint="eastAsia"/>
                      <w:color w:val="auto"/>
                      <w:sz w:val="18"/>
                      <w:szCs w:val="24"/>
                      <w:lang w:val="en-US" w:eastAsia="zh-CN"/>
                    </w:rPr>
                    <w:t>厂区西侧</w:t>
                  </w:r>
                </w:p>
              </w:tc>
              <w:tc>
                <w:tcPr>
                  <w:tcW w:w="1298" w:type="pct"/>
                  <w:vMerge w:val="continue"/>
                  <w:tcBorders>
                    <w:left w:val="single" w:color="auto" w:sz="4" w:space="0"/>
                    <w:bottom w:val="single" w:color="auto" w:sz="4" w:space="0"/>
                    <w:right w:val="single" w:color="auto" w:sz="4" w:space="0"/>
                  </w:tcBorders>
                  <w:shd w:val="clear" w:color="auto" w:fill="auto"/>
                  <w:vAlign w:val="center"/>
                </w:tcPr>
                <w:p w14:paraId="02DB502E">
                  <w:pPr>
                    <w:spacing w:line="240" w:lineRule="auto"/>
                    <w:jc w:val="center"/>
                    <w:rPr>
                      <w:rFonts w:hint="eastAsia"/>
                      <w:color w:val="auto"/>
                      <w:sz w:val="18"/>
                      <w:szCs w:val="24"/>
                    </w:rPr>
                  </w:pPr>
                </w:p>
              </w:tc>
              <w:tc>
                <w:tcPr>
                  <w:tcW w:w="1054" w:type="pct"/>
                  <w:vMerge w:val="continue"/>
                  <w:tcBorders>
                    <w:left w:val="single" w:color="auto" w:sz="4" w:space="0"/>
                    <w:bottom w:val="single" w:color="auto" w:sz="4" w:space="0"/>
                    <w:right w:val="single" w:color="auto" w:sz="4" w:space="0"/>
                  </w:tcBorders>
                  <w:shd w:val="clear" w:color="auto" w:fill="auto"/>
                  <w:vAlign w:val="center"/>
                </w:tcPr>
                <w:p w14:paraId="51DB119B">
                  <w:pPr>
                    <w:spacing w:line="240" w:lineRule="auto"/>
                    <w:jc w:val="center"/>
                    <w:rPr>
                      <w:rFonts w:hint="eastAsia"/>
                      <w:color w:val="auto"/>
                      <w:sz w:val="18"/>
                      <w:szCs w:val="24"/>
                    </w:rPr>
                  </w:pPr>
                </w:p>
              </w:tc>
            </w:tr>
          </w:tbl>
          <w:p w14:paraId="081BFD0D">
            <w:pPr>
              <w:ind w:firstLine="480" w:firstLineChars="200"/>
              <w:rPr>
                <w:color w:val="auto"/>
                <w:szCs w:val="24"/>
              </w:rPr>
            </w:pPr>
            <w:r>
              <w:rPr>
                <w:rFonts w:hint="eastAsia"/>
                <w:color w:val="auto"/>
                <w:szCs w:val="24"/>
              </w:rPr>
              <w:t>本项目一般固废间</w:t>
            </w:r>
            <w:r>
              <w:rPr>
                <w:rFonts w:hint="eastAsia"/>
                <w:color w:val="auto"/>
                <w:szCs w:val="24"/>
                <w:lang w:eastAsia="zh-CN"/>
              </w:rPr>
              <w:t>、</w:t>
            </w:r>
            <w:r>
              <w:rPr>
                <w:rFonts w:hint="eastAsia"/>
                <w:color w:val="auto"/>
                <w:szCs w:val="24"/>
                <w:lang w:val="en-US" w:eastAsia="zh-CN"/>
              </w:rPr>
              <w:t>危废库、污水站</w:t>
            </w:r>
            <w:r>
              <w:rPr>
                <w:rFonts w:hint="eastAsia"/>
                <w:color w:val="auto"/>
                <w:szCs w:val="24"/>
              </w:rPr>
              <w:t>依托现有防渗措施，</w:t>
            </w:r>
            <w:r>
              <w:rPr>
                <w:rFonts w:hint="eastAsia"/>
                <w:color w:val="auto"/>
                <w:szCs w:val="24"/>
                <w:lang w:val="en-US" w:eastAsia="zh-CN"/>
              </w:rPr>
              <w:t>现有厂房已做好防渗措施，本项目浇铸区、熔炼区、精加工区、质检区及打包区等一般</w:t>
            </w:r>
            <w:r>
              <w:rPr>
                <w:rFonts w:hint="eastAsia"/>
                <w:color w:val="auto"/>
                <w:szCs w:val="24"/>
              </w:rPr>
              <w:t>防渗区</w:t>
            </w:r>
            <w:r>
              <w:rPr>
                <w:rFonts w:hint="eastAsia"/>
                <w:color w:val="auto"/>
                <w:szCs w:val="24"/>
                <w:lang w:val="en-US" w:eastAsia="zh-CN"/>
              </w:rPr>
              <w:t>可直接依托</w:t>
            </w:r>
            <w:r>
              <w:rPr>
                <w:rFonts w:hint="eastAsia"/>
                <w:color w:val="auto"/>
                <w:szCs w:val="24"/>
              </w:rPr>
              <w:t>。为防止废水对地下水造成污染，厂区采取防火、防扬散、防流失、防渗漏、防雨淋或者其它防止污染环境的措施，危废库做好防渗漏措施；厂区内的生活用水、消防用水及生产用水均来源于园区自来水管网，由市政给水管网直接供给，不取用地下水。项目产生的污水经处理后排入市政污水管网，均按照要求处理达标后外排。根据以上分析可知，本建设项目对地下水的环境影响是可以接受的</w:t>
            </w:r>
            <w:r>
              <w:rPr>
                <w:color w:val="auto"/>
                <w:szCs w:val="24"/>
              </w:rPr>
              <w:t>。</w:t>
            </w:r>
          </w:p>
          <w:p w14:paraId="227C7BF1">
            <w:pPr>
              <w:rPr>
                <w:b/>
                <w:bCs/>
                <w:color w:val="auto"/>
                <w:szCs w:val="24"/>
              </w:rPr>
            </w:pPr>
            <w:r>
              <w:rPr>
                <w:rFonts w:hint="eastAsia"/>
                <w:b/>
                <w:bCs/>
                <w:color w:val="auto"/>
                <w:szCs w:val="24"/>
              </w:rPr>
              <w:t>六、土壤</w:t>
            </w:r>
          </w:p>
          <w:p w14:paraId="28DF5924">
            <w:pPr>
              <w:pStyle w:val="898"/>
              <w:widowControl w:val="0"/>
              <w:spacing w:after="0"/>
              <w:ind w:firstLine="0" w:firstLineChars="0"/>
              <w:rPr>
                <w:b/>
                <w:bCs w:val="0"/>
                <w:color w:val="auto"/>
                <w:szCs w:val="24"/>
              </w:rPr>
            </w:pPr>
            <w:r>
              <w:rPr>
                <w:rFonts w:hint="eastAsia"/>
                <w:b/>
                <w:bCs w:val="0"/>
                <w:color w:val="auto"/>
                <w:szCs w:val="24"/>
              </w:rPr>
              <w:t>1、污染源及污染途径</w:t>
            </w:r>
          </w:p>
          <w:p w14:paraId="27790125">
            <w:pPr>
              <w:pStyle w:val="898"/>
              <w:widowControl w:val="0"/>
              <w:spacing w:after="0"/>
              <w:rPr>
                <w:color w:val="auto"/>
                <w:szCs w:val="24"/>
              </w:rPr>
            </w:pPr>
            <w:r>
              <w:rPr>
                <w:rFonts w:hint="eastAsia"/>
                <w:color w:val="auto"/>
                <w:szCs w:val="24"/>
              </w:rPr>
              <w:t>拟建项目属于污染影响型项目，根据工程分析，对土壤环境影响途径主要为</w:t>
            </w:r>
            <w:r>
              <w:rPr>
                <w:color w:val="auto"/>
              </w:rPr>
              <w:t>危废</w:t>
            </w:r>
            <w:r>
              <w:rPr>
                <w:rFonts w:hint="eastAsia"/>
                <w:color w:val="auto"/>
              </w:rPr>
              <w:t>库</w:t>
            </w:r>
            <w:r>
              <w:rPr>
                <w:color w:val="auto"/>
              </w:rPr>
              <w:t>危废泄漏</w:t>
            </w:r>
            <w:r>
              <w:rPr>
                <w:color w:val="auto"/>
                <w:szCs w:val="24"/>
              </w:rPr>
              <w:t>，污染土壤</w:t>
            </w:r>
            <w:r>
              <w:rPr>
                <w:rFonts w:hint="eastAsia"/>
                <w:color w:val="auto"/>
                <w:szCs w:val="24"/>
              </w:rPr>
              <w:t>；项目产生的危险废物等在运输、贮存或堆放过程中通过扩散直接或间接地影响土壤。</w:t>
            </w:r>
          </w:p>
          <w:p w14:paraId="0AB6A88A">
            <w:pPr>
              <w:pStyle w:val="898"/>
              <w:widowControl w:val="0"/>
              <w:spacing w:after="0"/>
              <w:rPr>
                <w:color w:val="auto"/>
                <w:szCs w:val="24"/>
              </w:rPr>
            </w:pPr>
            <w:r>
              <w:rPr>
                <w:rFonts w:hint="eastAsia"/>
                <w:color w:val="auto"/>
                <w:szCs w:val="24"/>
              </w:rPr>
              <w:t>本项目生活污水依托现有化粪池</w:t>
            </w:r>
            <w:r>
              <w:rPr>
                <w:rFonts w:hint="eastAsia"/>
                <w:color w:val="auto"/>
                <w:szCs w:val="24"/>
                <w:lang w:eastAsia="zh-CN"/>
              </w:rPr>
              <w:t>、</w:t>
            </w:r>
            <w:r>
              <w:rPr>
                <w:rFonts w:hint="eastAsia"/>
                <w:color w:val="auto"/>
                <w:szCs w:val="24"/>
                <w:lang w:val="en-US" w:eastAsia="zh-CN"/>
              </w:rPr>
              <w:t>隔油池</w:t>
            </w:r>
            <w:r>
              <w:rPr>
                <w:rFonts w:hint="eastAsia"/>
                <w:color w:val="auto"/>
                <w:szCs w:val="24"/>
              </w:rPr>
              <w:t>处理后接管至</w:t>
            </w:r>
            <w:r>
              <w:rPr>
                <w:rFonts w:hint="eastAsia"/>
                <w:color w:val="auto"/>
                <w:szCs w:val="24"/>
                <w:lang w:eastAsia="zh-CN"/>
              </w:rPr>
              <w:t>江南产业集中区第一污水处理厂；</w:t>
            </w:r>
            <w:r>
              <w:rPr>
                <w:rFonts w:hint="eastAsia"/>
                <w:color w:val="auto"/>
                <w:szCs w:val="24"/>
              </w:rPr>
              <w:t>本项目依托现有的一般固废间</w:t>
            </w:r>
            <w:r>
              <w:rPr>
                <w:rFonts w:hint="eastAsia"/>
                <w:color w:val="auto"/>
                <w:szCs w:val="24"/>
                <w:lang w:val="en-US" w:eastAsia="zh-CN"/>
              </w:rPr>
              <w:t>以及</w:t>
            </w:r>
            <w:r>
              <w:rPr>
                <w:rFonts w:hint="eastAsia"/>
                <w:color w:val="auto"/>
                <w:szCs w:val="24"/>
              </w:rPr>
              <w:t>危废间满足相应防渗等级要求，可有效防止</w:t>
            </w:r>
            <w:r>
              <w:rPr>
                <w:color w:val="auto"/>
              </w:rPr>
              <w:t>物料泄漏和危废泄漏</w:t>
            </w:r>
            <w:r>
              <w:rPr>
                <w:rFonts w:hint="eastAsia"/>
                <w:color w:val="auto"/>
                <w:szCs w:val="24"/>
              </w:rPr>
              <w:t>至土壤污染现有土壤环境。</w:t>
            </w:r>
          </w:p>
          <w:p w14:paraId="2331067B">
            <w:pPr>
              <w:pStyle w:val="898"/>
              <w:widowControl w:val="0"/>
              <w:spacing w:after="0"/>
              <w:ind w:firstLine="0" w:firstLineChars="0"/>
              <w:rPr>
                <w:b/>
                <w:bCs w:val="0"/>
                <w:color w:val="auto"/>
                <w:szCs w:val="24"/>
              </w:rPr>
            </w:pPr>
            <w:r>
              <w:rPr>
                <w:b/>
                <w:bCs w:val="0"/>
                <w:color w:val="auto"/>
                <w:szCs w:val="24"/>
              </w:rPr>
              <w:t>2</w:t>
            </w:r>
            <w:r>
              <w:rPr>
                <w:rFonts w:hint="eastAsia"/>
                <w:b/>
                <w:bCs w:val="0"/>
                <w:color w:val="auto"/>
                <w:szCs w:val="24"/>
              </w:rPr>
              <w:t>、</w:t>
            </w:r>
            <w:r>
              <w:rPr>
                <w:b/>
                <w:bCs w:val="0"/>
                <w:color w:val="auto"/>
                <w:szCs w:val="24"/>
              </w:rPr>
              <w:t>土壤防控措施</w:t>
            </w:r>
          </w:p>
          <w:p w14:paraId="17D47795">
            <w:pPr>
              <w:pStyle w:val="898"/>
              <w:widowControl w:val="0"/>
              <w:spacing w:after="0"/>
              <w:ind w:left="-5"/>
              <w:rPr>
                <w:color w:val="auto"/>
                <w:szCs w:val="24"/>
              </w:rPr>
            </w:pPr>
            <w:r>
              <w:rPr>
                <w:color w:val="auto"/>
                <w:szCs w:val="24"/>
              </w:rPr>
              <w:t>（1）危险废物严格按要求进行处理处置，严禁随意倾倒、丢弃；企业应及时联系危废单位回收，在危废处理单位未回收期间，应集中收集，专人管理，集中贮存，厂</w:t>
            </w:r>
            <w:r>
              <w:rPr>
                <w:rFonts w:hint="eastAsia"/>
                <w:color w:val="auto"/>
                <w:szCs w:val="24"/>
              </w:rPr>
              <w:t>房</w:t>
            </w:r>
            <w:r>
              <w:rPr>
                <w:color w:val="auto"/>
                <w:szCs w:val="24"/>
              </w:rPr>
              <w:t>内建设危废</w:t>
            </w:r>
            <w:r>
              <w:rPr>
                <w:rFonts w:hint="eastAsia"/>
                <w:color w:val="auto"/>
                <w:szCs w:val="24"/>
              </w:rPr>
              <w:t>库</w:t>
            </w:r>
            <w:r>
              <w:rPr>
                <w:color w:val="auto"/>
                <w:szCs w:val="24"/>
              </w:rPr>
              <w:t>，各类危险废物按性质不同分类进行贮存。危险废物贮存设施应满足《危险废物贮存污染控制标准》</w:t>
            </w:r>
            <w:r>
              <w:rPr>
                <w:rFonts w:hint="eastAsia"/>
                <w:color w:val="auto"/>
                <w:szCs w:val="24"/>
              </w:rPr>
              <w:t>（</w:t>
            </w:r>
            <w:r>
              <w:rPr>
                <w:color w:val="auto"/>
                <w:szCs w:val="24"/>
              </w:rPr>
              <w:t>GB 18597-2023</w:t>
            </w:r>
            <w:r>
              <w:rPr>
                <w:rFonts w:hint="eastAsia"/>
                <w:color w:val="auto"/>
                <w:szCs w:val="24"/>
              </w:rPr>
              <w:t>）</w:t>
            </w:r>
            <w:r>
              <w:rPr>
                <w:color w:val="auto"/>
                <w:szCs w:val="24"/>
              </w:rPr>
              <w:t>的相关规定。贮存场所要防风、防雨、防晒，并设计建造径流疏导系统、泄漏液体收集装置，项目产生的危险废物在送有危废处置单位处置前，可暂存在相应的危废储存装置中，设施应符合上述要求。</w:t>
            </w:r>
          </w:p>
          <w:p w14:paraId="124E1918">
            <w:pPr>
              <w:pStyle w:val="898"/>
              <w:widowControl w:val="0"/>
              <w:spacing w:after="0"/>
              <w:ind w:left="-5"/>
              <w:rPr>
                <w:color w:val="auto"/>
                <w:szCs w:val="24"/>
              </w:rPr>
            </w:pPr>
            <w:r>
              <w:rPr>
                <w:color w:val="auto"/>
                <w:szCs w:val="24"/>
              </w:rPr>
              <w:t>（2）加强生产管理，减少废气的有组织和无组织排放，以减少废气污染物通过大气沉降落在地面，污染土壤。企业必须确保废气收集系统和净化装置的正常运行，并达到项目所要求的治理效果，定期检查废气收集装置、净化装置和</w:t>
            </w:r>
            <w:r>
              <w:rPr>
                <w:rFonts w:hint="eastAsia"/>
                <w:color w:val="auto"/>
                <w:szCs w:val="24"/>
              </w:rPr>
              <w:t>排气筒：</w:t>
            </w:r>
            <w:r>
              <w:rPr>
                <w:color w:val="auto"/>
                <w:szCs w:val="24"/>
              </w:rPr>
              <w:t>若废气收集系统和净化装置发生故障或效率降低时，企业必须及时修复，在未修复前必须根据故障情况采取限产或停产措施。</w:t>
            </w:r>
          </w:p>
          <w:p w14:paraId="1AB96DEE">
            <w:pPr>
              <w:pStyle w:val="898"/>
              <w:widowControl w:val="0"/>
              <w:spacing w:after="0"/>
              <w:rPr>
                <w:color w:val="auto"/>
              </w:rPr>
            </w:pPr>
            <w:r>
              <w:rPr>
                <w:color w:val="auto"/>
                <w:szCs w:val="24"/>
              </w:rPr>
              <w:t>（3）</w:t>
            </w:r>
            <w:r>
              <w:rPr>
                <w:rFonts w:hint="eastAsia"/>
                <w:color w:val="auto"/>
                <w:szCs w:val="24"/>
              </w:rPr>
              <w:t>根据分区防渗原则，厂</w:t>
            </w:r>
            <w:r>
              <w:rPr>
                <w:rFonts w:hint="eastAsia"/>
                <w:color w:val="auto"/>
                <w:szCs w:val="24"/>
                <w:lang w:val="en-US" w:eastAsia="zh-CN"/>
              </w:rPr>
              <w:t>区</w:t>
            </w:r>
            <w:r>
              <w:rPr>
                <w:rFonts w:hint="eastAsia"/>
                <w:color w:val="auto"/>
                <w:szCs w:val="24"/>
              </w:rPr>
              <w:t>内</w:t>
            </w:r>
            <w:r>
              <w:rPr>
                <w:rFonts w:hint="eastAsia"/>
                <w:color w:val="auto"/>
                <w:szCs w:val="24"/>
                <w:lang w:val="en-US" w:eastAsia="zh-CN"/>
              </w:rPr>
              <w:t>精加工区、浇铸区、熔炼区及危废库</w:t>
            </w:r>
            <w:r>
              <w:rPr>
                <w:rFonts w:hint="eastAsia"/>
                <w:color w:val="auto"/>
                <w:szCs w:val="24"/>
              </w:rPr>
              <w:t>等通过分区防渗和严格管理，地面防渗措施需符合《环境影响评价技术导则 地下水环境》（HJ610-2016）和《危险废物贮存污染控制标准》（GB 18597-20</w:t>
            </w:r>
            <w:r>
              <w:rPr>
                <w:color w:val="auto"/>
                <w:szCs w:val="24"/>
              </w:rPr>
              <w:t>23</w:t>
            </w:r>
            <w:r>
              <w:rPr>
                <w:rFonts w:hint="eastAsia"/>
                <w:color w:val="auto"/>
                <w:szCs w:val="24"/>
              </w:rPr>
              <w:t>）规定的防渗要求；减少废液渗漏对其土壤环境影响。</w:t>
            </w:r>
            <w:r>
              <w:rPr>
                <w:color w:val="auto"/>
                <w:szCs w:val="24"/>
              </w:rPr>
              <w:t>采取以上措施后，本项目对当地的土壤环境产生影响较小。</w:t>
            </w:r>
          </w:p>
          <w:p w14:paraId="18ED4778">
            <w:pPr>
              <w:rPr>
                <w:color w:val="auto"/>
              </w:rPr>
            </w:pPr>
          </w:p>
        </w:tc>
      </w:tr>
    </w:tbl>
    <w:p w14:paraId="02CF888E">
      <w:pPr>
        <w:rPr>
          <w:color w:val="auto"/>
        </w:rPr>
        <w:sectPr>
          <w:pgSz w:w="11906" w:h="16838"/>
          <w:pgMar w:top="1247" w:right="1134" w:bottom="1134" w:left="1247" w:header="680" w:footer="680" w:gutter="0"/>
          <w:cols w:space="720" w:num="1"/>
          <w:docGrid w:linePitch="326" w:charSpace="0"/>
        </w:sectPr>
      </w:pPr>
    </w:p>
    <w:tbl>
      <w:tblPr>
        <w:tblStyle w:val="70"/>
        <w:tblW w:w="9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
        <w:gridCol w:w="9094"/>
      </w:tblGrid>
      <w:tr w14:paraId="0E4E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9" w:hRule="atLeast"/>
        </w:trPr>
        <w:tc>
          <w:tcPr>
            <w:tcW w:w="454" w:type="dxa"/>
          </w:tcPr>
          <w:p w14:paraId="62060A62">
            <w:pPr>
              <w:rPr>
                <w:color w:val="auto"/>
              </w:rPr>
            </w:pPr>
          </w:p>
        </w:tc>
        <w:tc>
          <w:tcPr>
            <w:tcW w:w="9094" w:type="dxa"/>
          </w:tcPr>
          <w:p w14:paraId="170DC0A9">
            <w:pPr>
              <w:rPr>
                <w:b/>
                <w:bCs/>
                <w:color w:val="auto"/>
                <w:szCs w:val="24"/>
              </w:rPr>
            </w:pPr>
            <w:r>
              <w:rPr>
                <w:rFonts w:hint="eastAsia"/>
                <w:b/>
                <w:bCs/>
                <w:color w:val="auto"/>
                <w:szCs w:val="24"/>
              </w:rPr>
              <w:t>七 环境风险评价</w:t>
            </w:r>
          </w:p>
          <w:p w14:paraId="2713B9AC">
            <w:pPr>
              <w:outlineLvl w:val="1"/>
              <w:rPr>
                <w:b/>
                <w:bCs/>
                <w:color w:val="auto"/>
                <w:kern w:val="28"/>
                <w:szCs w:val="24"/>
              </w:rPr>
            </w:pPr>
            <w:r>
              <w:rPr>
                <w:rFonts w:hint="eastAsia"/>
                <w:b/>
                <w:bCs/>
                <w:color w:val="auto"/>
                <w:szCs w:val="24"/>
              </w:rPr>
              <w:t>1、环境风险物质及分布</w:t>
            </w:r>
          </w:p>
          <w:p w14:paraId="0241A239">
            <w:pPr>
              <w:outlineLvl w:val="2"/>
              <w:rPr>
                <w:color w:val="auto"/>
                <w:szCs w:val="24"/>
              </w:rPr>
            </w:pPr>
            <w:r>
              <w:rPr>
                <w:rFonts w:hint="eastAsia"/>
                <w:color w:val="auto"/>
                <w:szCs w:val="24"/>
              </w:rPr>
              <w:t>（1）</w:t>
            </w:r>
            <w:r>
              <w:rPr>
                <w:color w:val="auto"/>
                <w:szCs w:val="24"/>
              </w:rPr>
              <w:t>风险源调查</w:t>
            </w:r>
          </w:p>
          <w:p w14:paraId="2082B906">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1 \* GB3</w:instrText>
            </w:r>
            <w:r>
              <w:rPr>
                <w:color w:val="auto"/>
                <w:szCs w:val="24"/>
              </w:rPr>
              <w:instrText xml:space="preserve"> </w:instrText>
            </w:r>
            <w:r>
              <w:rPr>
                <w:color w:val="auto"/>
                <w:szCs w:val="24"/>
              </w:rPr>
              <w:fldChar w:fldCharType="separate"/>
            </w:r>
            <w:r>
              <w:rPr>
                <w:rFonts w:hint="eastAsia"/>
                <w:color w:val="auto"/>
                <w:szCs w:val="24"/>
              </w:rPr>
              <w:t>①</w:t>
            </w:r>
            <w:r>
              <w:rPr>
                <w:color w:val="auto"/>
                <w:szCs w:val="24"/>
              </w:rPr>
              <w:fldChar w:fldCharType="end"/>
            </w:r>
            <w:r>
              <w:rPr>
                <w:color w:val="auto"/>
                <w:szCs w:val="24"/>
              </w:rPr>
              <w:t>危险物质分布情况</w:t>
            </w:r>
          </w:p>
          <w:p w14:paraId="73FB8E9A">
            <w:pPr>
              <w:ind w:firstLine="480" w:firstLineChars="200"/>
              <w:rPr>
                <w:color w:val="auto"/>
                <w:szCs w:val="24"/>
              </w:rPr>
            </w:pPr>
            <w:r>
              <w:rPr>
                <w:rFonts w:hint="eastAsia"/>
                <w:color w:val="auto"/>
                <w:szCs w:val="24"/>
                <w:lang w:val="en-US" w:eastAsia="zh-CN"/>
              </w:rPr>
              <w:t>本次风险物质以生产车间及危废库为单元，本项目涉及的</w:t>
            </w:r>
            <w:r>
              <w:rPr>
                <w:rFonts w:hint="eastAsia"/>
                <w:color w:val="auto"/>
                <w:szCs w:val="24"/>
              </w:rPr>
              <w:t>的风险物质</w:t>
            </w:r>
            <w:r>
              <w:rPr>
                <w:rFonts w:hint="eastAsia"/>
                <w:color w:val="auto"/>
                <w:szCs w:val="24"/>
                <w:lang w:val="en-US" w:eastAsia="zh-CN"/>
              </w:rPr>
              <w:t>详见表4-21</w:t>
            </w:r>
            <w:r>
              <w:rPr>
                <w:rFonts w:hint="eastAsia"/>
                <w:color w:val="auto"/>
                <w:szCs w:val="24"/>
              </w:rPr>
              <w:t>。</w:t>
            </w:r>
          </w:p>
          <w:p w14:paraId="62EC7A8A">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2 \* GB3</w:instrText>
            </w:r>
            <w:r>
              <w:rPr>
                <w:color w:val="auto"/>
                <w:szCs w:val="24"/>
              </w:rPr>
              <w:instrText xml:space="preserve"> </w:instrText>
            </w:r>
            <w:r>
              <w:rPr>
                <w:color w:val="auto"/>
                <w:szCs w:val="24"/>
              </w:rPr>
              <w:fldChar w:fldCharType="separate"/>
            </w:r>
            <w:r>
              <w:rPr>
                <w:rFonts w:hint="eastAsia"/>
                <w:color w:val="auto"/>
                <w:szCs w:val="24"/>
              </w:rPr>
              <w:t>②</w:t>
            </w:r>
            <w:r>
              <w:rPr>
                <w:color w:val="auto"/>
                <w:szCs w:val="24"/>
              </w:rPr>
              <w:fldChar w:fldCharType="end"/>
            </w:r>
            <w:r>
              <w:rPr>
                <w:color w:val="auto"/>
                <w:szCs w:val="24"/>
              </w:rPr>
              <w:t>工艺特点</w:t>
            </w:r>
          </w:p>
          <w:p w14:paraId="74E85CAA">
            <w:pPr>
              <w:pStyle w:val="29"/>
              <w:ind w:firstLine="480" w:firstLineChars="200"/>
              <w:jc w:val="both"/>
              <w:rPr>
                <w:color w:val="auto"/>
                <w:sz w:val="24"/>
                <w:szCs w:val="24"/>
              </w:rPr>
            </w:pPr>
            <w:r>
              <w:rPr>
                <w:rFonts w:hint="eastAsia"/>
                <w:color w:val="auto"/>
                <w:sz w:val="24"/>
                <w:szCs w:val="24"/>
              </w:rPr>
              <w:t>本项目工艺见前述工程分析章节，根据工程分析可知，</w:t>
            </w:r>
            <w:r>
              <w:rPr>
                <w:color w:val="auto"/>
                <w:sz w:val="24"/>
                <w:szCs w:val="24"/>
              </w:rPr>
              <w:t>未</w:t>
            </w:r>
            <w:r>
              <w:rPr>
                <w:rFonts w:hint="eastAsia"/>
                <w:color w:val="auto"/>
                <w:sz w:val="24"/>
                <w:szCs w:val="24"/>
              </w:rPr>
              <w:t>涉及</w:t>
            </w:r>
            <w:r>
              <w:rPr>
                <w:color w:val="auto"/>
                <w:sz w:val="24"/>
                <w:szCs w:val="24"/>
              </w:rPr>
              <w:t>重点监管危险化工工艺。</w:t>
            </w:r>
          </w:p>
          <w:p w14:paraId="16D00F56">
            <w:pPr>
              <w:outlineLvl w:val="3"/>
              <w:rPr>
                <w:color w:val="auto"/>
                <w:szCs w:val="24"/>
              </w:rPr>
            </w:pPr>
            <w:r>
              <w:rPr>
                <w:rFonts w:hint="eastAsia"/>
                <w:color w:val="auto"/>
                <w:szCs w:val="24"/>
              </w:rPr>
              <w:t>（2）</w:t>
            </w:r>
            <w:r>
              <w:rPr>
                <w:color w:val="auto"/>
                <w:szCs w:val="24"/>
              </w:rPr>
              <w:t>危险物质数量及临界量比值(Q)</w:t>
            </w:r>
          </w:p>
          <w:p w14:paraId="74F1800F">
            <w:pPr>
              <w:ind w:firstLine="480"/>
              <w:rPr>
                <w:color w:val="auto"/>
                <w:szCs w:val="24"/>
                <w:lang w:val="zh-CN"/>
              </w:rPr>
            </w:pPr>
            <w:r>
              <w:rPr>
                <w:color w:val="auto"/>
                <w:szCs w:val="24"/>
              </w:rPr>
              <w:t>计算所涉及的每种危险物质在厂界内的最大存在总量与其在附录B中对应临界量的比值Q。在不同厂区的同一种物质，按其在厂界内的最大存在总量计算。按照根据《建设项目环境风险评价技术导则》(HJ169-2018)附录C，当存在多种危险物质时，Q按下式进行计算</w:t>
            </w:r>
            <w:r>
              <w:rPr>
                <w:rFonts w:hint="eastAsia"/>
                <w:color w:val="auto"/>
                <w:szCs w:val="24"/>
              </w:rPr>
              <w:t>，</w:t>
            </w:r>
            <w:r>
              <w:rPr>
                <w:color w:val="auto"/>
                <w:szCs w:val="24"/>
                <w:lang w:val="zh-CN"/>
              </w:rPr>
              <w:t>其中Q按下式进行计算：</w:t>
            </w:r>
          </w:p>
          <w:p w14:paraId="6E430D01">
            <w:pPr>
              <w:ind w:firstLine="480"/>
              <w:jc w:val="center"/>
              <w:rPr>
                <w:color w:val="auto"/>
                <w:szCs w:val="24"/>
                <w:lang w:val="zh-CN"/>
              </w:rPr>
            </w:pPr>
            <w:r>
              <w:rPr>
                <w:color w:val="auto"/>
                <w:szCs w:val="24"/>
                <w:lang w:val="zh-CN"/>
              </w:rPr>
              <w:t>Q=q</w:t>
            </w:r>
            <w:r>
              <w:rPr>
                <w:color w:val="auto"/>
                <w:szCs w:val="24"/>
                <w:vertAlign w:val="subscript"/>
                <w:lang w:val="zh-CN"/>
              </w:rPr>
              <w:t>1</w:t>
            </w:r>
            <w:r>
              <w:rPr>
                <w:color w:val="auto"/>
                <w:szCs w:val="24"/>
                <w:lang w:val="zh-CN"/>
              </w:rPr>
              <w:t>/Q</w:t>
            </w:r>
            <w:r>
              <w:rPr>
                <w:color w:val="auto"/>
                <w:szCs w:val="24"/>
                <w:vertAlign w:val="subscript"/>
                <w:lang w:val="zh-CN"/>
              </w:rPr>
              <w:t>1</w:t>
            </w:r>
            <w:r>
              <w:rPr>
                <w:color w:val="auto"/>
                <w:szCs w:val="24"/>
                <w:lang w:val="zh-CN"/>
              </w:rPr>
              <w:t>+ q</w:t>
            </w:r>
            <w:r>
              <w:rPr>
                <w:color w:val="auto"/>
                <w:szCs w:val="24"/>
                <w:vertAlign w:val="subscript"/>
                <w:lang w:val="zh-CN"/>
              </w:rPr>
              <w:t>2</w:t>
            </w:r>
            <w:r>
              <w:rPr>
                <w:color w:val="auto"/>
                <w:szCs w:val="24"/>
                <w:lang w:val="zh-CN"/>
              </w:rPr>
              <w:t>/Q</w:t>
            </w:r>
            <w:r>
              <w:rPr>
                <w:color w:val="auto"/>
                <w:szCs w:val="24"/>
                <w:vertAlign w:val="subscript"/>
                <w:lang w:val="zh-CN"/>
              </w:rPr>
              <w:t>2</w:t>
            </w:r>
            <w:r>
              <w:rPr>
                <w:color w:val="auto"/>
                <w:szCs w:val="24"/>
                <w:lang w:val="zh-CN"/>
              </w:rPr>
              <w:t xml:space="preserve"> +…+q</w:t>
            </w:r>
            <w:r>
              <w:rPr>
                <w:color w:val="auto"/>
                <w:szCs w:val="24"/>
                <w:vertAlign w:val="subscript"/>
                <w:lang w:val="zh-CN"/>
              </w:rPr>
              <w:t>n</w:t>
            </w:r>
            <w:r>
              <w:rPr>
                <w:color w:val="auto"/>
                <w:szCs w:val="24"/>
                <w:lang w:val="zh-CN"/>
              </w:rPr>
              <w:t>/Q</w:t>
            </w:r>
            <w:r>
              <w:rPr>
                <w:color w:val="auto"/>
                <w:szCs w:val="24"/>
                <w:vertAlign w:val="subscript"/>
                <w:lang w:val="zh-CN"/>
              </w:rPr>
              <w:t>n</w:t>
            </w:r>
          </w:p>
          <w:p w14:paraId="1719BECB">
            <w:pPr>
              <w:ind w:firstLine="480"/>
              <w:rPr>
                <w:color w:val="auto"/>
                <w:szCs w:val="24"/>
                <w:lang w:val="zh-CN"/>
              </w:rPr>
            </w:pPr>
            <w:r>
              <w:rPr>
                <w:color w:val="auto"/>
                <w:szCs w:val="24"/>
                <w:lang w:val="zh-CN"/>
              </w:rPr>
              <w:t>式中：q</w:t>
            </w:r>
            <w:r>
              <w:rPr>
                <w:color w:val="auto"/>
                <w:szCs w:val="24"/>
                <w:vertAlign w:val="subscript"/>
                <w:lang w:val="zh-CN"/>
              </w:rPr>
              <w:t>1</w:t>
            </w:r>
            <w:r>
              <w:rPr>
                <w:color w:val="auto"/>
                <w:szCs w:val="24"/>
                <w:lang w:val="zh-CN"/>
              </w:rPr>
              <w:t>，q</w:t>
            </w:r>
            <w:r>
              <w:rPr>
                <w:color w:val="auto"/>
                <w:szCs w:val="24"/>
                <w:vertAlign w:val="subscript"/>
                <w:lang w:val="zh-CN"/>
              </w:rPr>
              <w:t>2</w:t>
            </w:r>
            <w:r>
              <w:rPr>
                <w:color w:val="auto"/>
                <w:szCs w:val="24"/>
                <w:lang w:val="zh-CN"/>
              </w:rPr>
              <w:t>……q</w:t>
            </w:r>
            <w:r>
              <w:rPr>
                <w:color w:val="auto"/>
                <w:szCs w:val="24"/>
                <w:vertAlign w:val="subscript"/>
                <w:lang w:val="zh-CN"/>
              </w:rPr>
              <w:t>n</w:t>
            </w:r>
            <w:r>
              <w:rPr>
                <w:color w:val="auto"/>
                <w:szCs w:val="24"/>
                <w:lang w:val="zh-CN"/>
              </w:rPr>
              <w:t>——每种危险物质的最大存在量，t；</w:t>
            </w:r>
          </w:p>
          <w:p w14:paraId="110BA62F">
            <w:pPr>
              <w:ind w:firstLine="1200" w:firstLineChars="500"/>
              <w:rPr>
                <w:color w:val="auto"/>
                <w:szCs w:val="24"/>
                <w:lang w:val="zh-CN"/>
              </w:rPr>
            </w:pPr>
            <w:r>
              <w:rPr>
                <w:color w:val="auto"/>
                <w:szCs w:val="24"/>
                <w:lang w:val="zh-CN"/>
              </w:rPr>
              <w:t>Q</w:t>
            </w:r>
            <w:r>
              <w:rPr>
                <w:color w:val="auto"/>
                <w:szCs w:val="24"/>
                <w:vertAlign w:val="subscript"/>
                <w:lang w:val="zh-CN"/>
              </w:rPr>
              <w:t>1</w:t>
            </w:r>
            <w:r>
              <w:rPr>
                <w:color w:val="auto"/>
                <w:szCs w:val="24"/>
                <w:lang w:val="zh-CN"/>
              </w:rPr>
              <w:t>，Q</w:t>
            </w:r>
            <w:r>
              <w:rPr>
                <w:color w:val="auto"/>
                <w:szCs w:val="24"/>
                <w:vertAlign w:val="subscript"/>
                <w:lang w:val="zh-CN"/>
              </w:rPr>
              <w:t>2</w:t>
            </w:r>
            <w:r>
              <w:rPr>
                <w:color w:val="auto"/>
                <w:szCs w:val="24"/>
                <w:lang w:val="zh-CN"/>
              </w:rPr>
              <w:t>…Q</w:t>
            </w:r>
            <w:r>
              <w:rPr>
                <w:color w:val="auto"/>
                <w:szCs w:val="24"/>
                <w:vertAlign w:val="subscript"/>
                <w:lang w:val="zh-CN"/>
              </w:rPr>
              <w:t>n</w:t>
            </w:r>
            <w:r>
              <w:rPr>
                <w:color w:val="auto"/>
                <w:szCs w:val="24"/>
                <w:lang w:val="zh-CN"/>
              </w:rPr>
              <w:t>—每种危险物质的临界量，t。</w:t>
            </w:r>
          </w:p>
          <w:p w14:paraId="46DE23A2">
            <w:pPr>
              <w:ind w:firstLine="480"/>
              <w:rPr>
                <w:color w:val="auto"/>
                <w:szCs w:val="24"/>
                <w:lang w:val="zh-CN"/>
              </w:rPr>
            </w:pPr>
            <w:r>
              <w:rPr>
                <w:color w:val="auto"/>
                <w:szCs w:val="24"/>
                <w:lang w:val="zh-CN"/>
              </w:rPr>
              <w:t>当Q＜1时，该项目环境风险潜势为I。</w:t>
            </w:r>
          </w:p>
          <w:p w14:paraId="631A89A8">
            <w:pPr>
              <w:ind w:firstLine="480"/>
              <w:rPr>
                <w:color w:val="auto"/>
                <w:szCs w:val="24"/>
                <w:lang w:val="zh-CN"/>
              </w:rPr>
            </w:pPr>
            <w:r>
              <w:rPr>
                <w:color w:val="auto"/>
                <w:szCs w:val="24"/>
                <w:lang w:val="zh-CN"/>
              </w:rPr>
              <w:t>当Q≥1时，将Q值划分为：（1）1≤Q＜10；（2）10≤Q＜100；（3）Q≥100。</w:t>
            </w:r>
          </w:p>
          <w:p w14:paraId="2A616055">
            <w:pPr>
              <w:ind w:firstLine="480"/>
              <w:rPr>
                <w:color w:val="auto"/>
                <w:szCs w:val="24"/>
              </w:rPr>
            </w:pPr>
            <w:r>
              <w:rPr>
                <w:color w:val="auto"/>
                <w:szCs w:val="24"/>
              </w:rPr>
              <w:t>对照</w:t>
            </w:r>
            <w:r>
              <w:rPr>
                <w:color w:val="auto"/>
                <w:szCs w:val="24"/>
                <w:lang w:val="zh-CN"/>
              </w:rPr>
              <w:t>《建设项目环境风险评价技术导则》（HJ169-2018）附录B</w:t>
            </w:r>
            <w:r>
              <w:rPr>
                <w:rFonts w:hint="eastAsia"/>
                <w:color w:val="auto"/>
                <w:szCs w:val="24"/>
                <w:lang w:val="zh-CN"/>
              </w:rPr>
              <w:t>，</w:t>
            </w:r>
            <w:r>
              <w:rPr>
                <w:color w:val="auto"/>
                <w:szCs w:val="24"/>
              </w:rPr>
              <w:t>结合风险物质调查及识别过程结果，拟建项目</w:t>
            </w:r>
            <w:r>
              <w:rPr>
                <w:rFonts w:hint="eastAsia"/>
                <w:color w:val="auto"/>
                <w:szCs w:val="24"/>
                <w:lang w:val="en-US" w:eastAsia="zh-CN"/>
              </w:rPr>
              <w:t>与现有项目</w:t>
            </w:r>
            <w:r>
              <w:rPr>
                <w:rFonts w:hint="eastAsia"/>
                <w:color w:val="auto"/>
                <w:szCs w:val="24"/>
                <w:lang w:val="zh-CN"/>
              </w:rPr>
              <w:t>涉及的</w:t>
            </w:r>
            <w:r>
              <w:rPr>
                <w:color w:val="auto"/>
                <w:szCs w:val="24"/>
              </w:rPr>
              <w:t>危险物质数量与临界量比值Q值为</w:t>
            </w:r>
            <w:r>
              <w:rPr>
                <w:rFonts w:hint="eastAsia"/>
                <w:color w:val="auto"/>
                <w:szCs w:val="24"/>
                <w:lang w:val="en-US" w:eastAsia="zh-CN"/>
              </w:rPr>
              <w:t>0.126</w:t>
            </w:r>
            <w:r>
              <w:rPr>
                <w:color w:val="auto"/>
                <w:szCs w:val="24"/>
              </w:rPr>
              <w:t>，</w:t>
            </w:r>
            <w:r>
              <w:rPr>
                <w:color w:val="auto"/>
                <w:szCs w:val="24"/>
                <w:lang w:val="zh-CN"/>
              </w:rPr>
              <w:t>Q＜1</w:t>
            </w:r>
            <w:r>
              <w:rPr>
                <w:color w:val="auto"/>
                <w:szCs w:val="24"/>
              </w:rPr>
              <w:t>。具体判定结果见下表。</w:t>
            </w:r>
          </w:p>
          <w:p w14:paraId="5F67AD33">
            <w:pPr>
              <w:pStyle w:val="21"/>
              <w:spacing w:before="0" w:after="0"/>
              <w:ind w:left="0" w:leftChars="0" w:right="0" w:rightChars="0"/>
              <w:rPr>
                <w:color w:val="auto"/>
                <w:sz w:val="24"/>
                <w:szCs w:val="24"/>
              </w:rPr>
            </w:pPr>
            <w:r>
              <w:rPr>
                <w:color w:val="auto"/>
                <w:sz w:val="24"/>
                <w:szCs w:val="24"/>
              </w:rPr>
              <w:t>表</w:t>
            </w:r>
            <w:r>
              <w:rPr>
                <w:rFonts w:cs="Times New Roman"/>
                <w:color w:val="auto"/>
                <w:sz w:val="24"/>
                <w:szCs w:val="24"/>
              </w:rPr>
              <w:t>4-</w:t>
            </w:r>
            <w:r>
              <w:rPr>
                <w:rFonts w:hint="eastAsia" w:cs="Times New Roman"/>
                <w:color w:val="auto"/>
                <w:sz w:val="24"/>
                <w:szCs w:val="24"/>
              </w:rPr>
              <w:t>2</w:t>
            </w:r>
            <w:r>
              <w:rPr>
                <w:rFonts w:hint="eastAsia" w:cs="Times New Roman"/>
                <w:color w:val="auto"/>
                <w:sz w:val="24"/>
                <w:szCs w:val="24"/>
                <w:lang w:val="en-US" w:eastAsia="zh-CN"/>
              </w:rPr>
              <w:t>1</w:t>
            </w:r>
            <w:r>
              <w:rPr>
                <w:color w:val="auto"/>
                <w:sz w:val="24"/>
                <w:szCs w:val="24"/>
              </w:rPr>
              <w:t xml:space="preserve">  建设项目</w:t>
            </w:r>
            <w:r>
              <w:rPr>
                <w:rFonts w:cs="Times New Roman"/>
                <w:color w:val="auto"/>
                <w:sz w:val="24"/>
                <w:szCs w:val="24"/>
              </w:rPr>
              <w:t>Q</w:t>
            </w:r>
            <w:r>
              <w:rPr>
                <w:color w:val="auto"/>
                <w:sz w:val="24"/>
                <w:szCs w:val="24"/>
              </w:rPr>
              <w:t>值确定表</w:t>
            </w:r>
          </w:p>
          <w:tbl>
            <w:tblPr>
              <w:tblStyle w:val="69"/>
              <w:tblW w:w="4997" w:type="pct"/>
              <w:tblInd w:w="0" w:type="dxa"/>
              <w:tblLayout w:type="fixed"/>
              <w:tblCellMar>
                <w:top w:w="0" w:type="dxa"/>
                <w:left w:w="108" w:type="dxa"/>
                <w:bottom w:w="0" w:type="dxa"/>
                <w:right w:w="108" w:type="dxa"/>
              </w:tblCellMar>
            </w:tblPr>
            <w:tblGrid>
              <w:gridCol w:w="1331"/>
              <w:gridCol w:w="1331"/>
              <w:gridCol w:w="1871"/>
              <w:gridCol w:w="1615"/>
              <w:gridCol w:w="1393"/>
              <w:gridCol w:w="1332"/>
            </w:tblGrid>
            <w:tr w14:paraId="62DFA47A">
              <w:tblPrEx>
                <w:tblCellMar>
                  <w:top w:w="0" w:type="dxa"/>
                  <w:left w:w="108" w:type="dxa"/>
                  <w:bottom w:w="0" w:type="dxa"/>
                  <w:right w:w="108" w:type="dxa"/>
                </w:tblCellMar>
              </w:tblPrEx>
              <w:trPr>
                <w:trHeight w:val="340" w:hRule="atLeast"/>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6F185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序号</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B9C69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危险物质名称</w:t>
                  </w:r>
                </w:p>
              </w:tc>
              <w:tc>
                <w:tcPr>
                  <w:tcW w:w="10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E8B0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厂界内最大存在总量</w:t>
                  </w:r>
                  <w:r>
                    <w:rPr>
                      <w:color w:val="auto"/>
                      <w:kern w:val="0"/>
                      <w:sz w:val="18"/>
                      <w:szCs w:val="18"/>
                      <w:lang w:bidi="ar"/>
                    </w:rPr>
                    <w:t>qn/t</w:t>
                  </w:r>
                </w:p>
              </w:tc>
              <w:tc>
                <w:tcPr>
                  <w:tcW w:w="91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E8A8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风险物质</w:t>
                  </w:r>
                </w:p>
              </w:tc>
              <w:tc>
                <w:tcPr>
                  <w:tcW w:w="7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4C874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临界量</w:t>
                  </w:r>
                  <w:r>
                    <w:rPr>
                      <w:color w:val="auto"/>
                      <w:kern w:val="0"/>
                      <w:sz w:val="18"/>
                      <w:szCs w:val="18"/>
                      <w:lang w:bidi="ar"/>
                    </w:rPr>
                    <w:t>Qn/t</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F03949">
                  <w:pPr>
                    <w:widowControl/>
                    <w:spacing w:line="240" w:lineRule="auto"/>
                    <w:jc w:val="center"/>
                    <w:textAlignment w:val="center"/>
                    <w:rPr>
                      <w:color w:val="auto"/>
                      <w:sz w:val="18"/>
                      <w:szCs w:val="18"/>
                    </w:rPr>
                  </w:pPr>
                  <w:r>
                    <w:rPr>
                      <w:color w:val="auto"/>
                      <w:kern w:val="0"/>
                      <w:sz w:val="18"/>
                      <w:szCs w:val="18"/>
                      <w:lang w:bidi="ar"/>
                    </w:rPr>
                    <w:t>Q</w:t>
                  </w:r>
                  <w:r>
                    <w:rPr>
                      <w:rFonts w:hint="eastAsia" w:cs="宋体"/>
                      <w:color w:val="auto"/>
                      <w:kern w:val="0"/>
                      <w:sz w:val="18"/>
                      <w:szCs w:val="18"/>
                      <w:lang w:bidi="ar"/>
                    </w:rPr>
                    <w:t>值</w:t>
                  </w:r>
                </w:p>
              </w:tc>
            </w:tr>
            <w:tr w14:paraId="5A1C7CD5">
              <w:tblPrEx>
                <w:tblCellMar>
                  <w:top w:w="0" w:type="dxa"/>
                  <w:left w:w="108" w:type="dxa"/>
                  <w:bottom w:w="0" w:type="dxa"/>
                  <w:right w:w="108" w:type="dxa"/>
                </w:tblCellMar>
              </w:tblPrEx>
              <w:trPr>
                <w:trHeight w:val="340" w:hRule="atLeast"/>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2796A">
                  <w:pPr>
                    <w:widowControl/>
                    <w:spacing w:line="240" w:lineRule="auto"/>
                    <w:jc w:val="center"/>
                    <w:rPr>
                      <w:rFonts w:cs="宋体"/>
                      <w:color w:val="auto"/>
                      <w:sz w:val="18"/>
                      <w:szCs w:val="18"/>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0C976">
                  <w:pPr>
                    <w:widowControl/>
                    <w:spacing w:line="240" w:lineRule="auto"/>
                    <w:jc w:val="center"/>
                    <w:rPr>
                      <w:rFonts w:cs="宋体"/>
                      <w:color w:val="auto"/>
                      <w:sz w:val="18"/>
                      <w:szCs w:val="18"/>
                    </w:rPr>
                  </w:pPr>
                </w:p>
              </w:tc>
              <w:tc>
                <w:tcPr>
                  <w:tcW w:w="10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7A05F">
                  <w:pPr>
                    <w:widowControl/>
                    <w:spacing w:line="240" w:lineRule="auto"/>
                    <w:jc w:val="center"/>
                    <w:rPr>
                      <w:rFonts w:cs="宋体"/>
                      <w:color w:val="auto"/>
                      <w:sz w:val="18"/>
                      <w:szCs w:val="18"/>
                    </w:rPr>
                  </w:pPr>
                </w:p>
              </w:tc>
              <w:tc>
                <w:tcPr>
                  <w:tcW w:w="9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C92F3">
                  <w:pPr>
                    <w:widowControl/>
                    <w:spacing w:line="240" w:lineRule="auto"/>
                    <w:jc w:val="center"/>
                    <w:rPr>
                      <w:rFonts w:cs="宋体"/>
                      <w:color w:val="auto"/>
                      <w:sz w:val="18"/>
                      <w:szCs w:val="18"/>
                    </w:rPr>
                  </w:pPr>
                </w:p>
              </w:tc>
              <w:tc>
                <w:tcPr>
                  <w:tcW w:w="7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C7396">
                  <w:pPr>
                    <w:widowControl/>
                    <w:spacing w:line="240" w:lineRule="auto"/>
                    <w:jc w:val="center"/>
                    <w:rPr>
                      <w:rFonts w:cs="宋体"/>
                      <w:color w:val="auto"/>
                      <w:sz w:val="18"/>
                      <w:szCs w:val="18"/>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058DA">
                  <w:pPr>
                    <w:widowControl/>
                    <w:spacing w:line="240" w:lineRule="auto"/>
                    <w:jc w:val="center"/>
                    <w:rPr>
                      <w:color w:val="auto"/>
                      <w:sz w:val="18"/>
                      <w:szCs w:val="18"/>
                    </w:rPr>
                  </w:pPr>
                </w:p>
              </w:tc>
            </w:tr>
            <w:tr w14:paraId="28958D5E">
              <w:tblPrEx>
                <w:tblCellMar>
                  <w:top w:w="0" w:type="dxa"/>
                  <w:left w:w="108" w:type="dxa"/>
                  <w:bottom w:w="0" w:type="dxa"/>
                  <w:right w:w="108" w:type="dxa"/>
                </w:tblCellMar>
              </w:tblPrEx>
              <w:trPr>
                <w:trHeight w:val="340" w:hRule="atLeast"/>
              </w:trPr>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0DF97">
                  <w:pPr>
                    <w:widowControl/>
                    <w:spacing w:line="240" w:lineRule="auto"/>
                    <w:jc w:val="center"/>
                    <w:textAlignment w:val="center"/>
                    <w:rPr>
                      <w:rFonts w:hint="eastAsia" w:eastAsia="宋体"/>
                      <w:color w:val="auto"/>
                      <w:kern w:val="0"/>
                      <w:sz w:val="18"/>
                      <w:szCs w:val="18"/>
                      <w:lang w:eastAsia="zh-CN" w:bidi="ar"/>
                    </w:rPr>
                  </w:pPr>
                  <w:r>
                    <w:rPr>
                      <w:rFonts w:hint="eastAsia"/>
                      <w:color w:val="auto"/>
                      <w:kern w:val="0"/>
                      <w:sz w:val="18"/>
                      <w:szCs w:val="18"/>
                      <w:lang w:val="en-US" w:eastAsia="zh-CN" w:bidi="ar"/>
                    </w:rPr>
                    <w:t>1</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21F28">
                  <w:pPr>
                    <w:widowControl/>
                    <w:spacing w:line="240" w:lineRule="auto"/>
                    <w:jc w:val="center"/>
                    <w:textAlignment w:val="center"/>
                    <w:rPr>
                      <w:rFonts w:cs="宋体"/>
                      <w:color w:val="auto"/>
                      <w:sz w:val="18"/>
                      <w:szCs w:val="18"/>
                    </w:rPr>
                  </w:pPr>
                  <w:r>
                    <w:rPr>
                      <w:rFonts w:hint="eastAsia" w:cs="宋体"/>
                      <w:color w:val="auto"/>
                      <w:sz w:val="18"/>
                      <w:szCs w:val="18"/>
                    </w:rPr>
                    <w:t>润滑油</w:t>
                  </w:r>
                </w:p>
              </w:tc>
              <w:tc>
                <w:tcPr>
                  <w:tcW w:w="10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B90BB">
                  <w:pPr>
                    <w:widowControl/>
                    <w:spacing w:line="240" w:lineRule="auto"/>
                    <w:jc w:val="center"/>
                    <w:textAlignment w:val="center"/>
                    <w:rPr>
                      <w:rFonts w:hint="eastAsia" w:eastAsia="宋体"/>
                      <w:color w:val="auto"/>
                      <w:sz w:val="18"/>
                      <w:szCs w:val="18"/>
                      <w:lang w:eastAsia="zh-CN"/>
                    </w:rPr>
                  </w:pPr>
                  <w:r>
                    <w:rPr>
                      <w:rFonts w:hint="eastAsia"/>
                      <w:color w:val="auto"/>
                      <w:sz w:val="18"/>
                      <w:szCs w:val="18"/>
                    </w:rPr>
                    <w:t>0.0</w:t>
                  </w:r>
                  <w:r>
                    <w:rPr>
                      <w:rFonts w:hint="eastAsia"/>
                      <w:color w:val="auto"/>
                      <w:sz w:val="18"/>
                      <w:szCs w:val="18"/>
                      <w:lang w:val="en-US" w:eastAsia="zh-CN"/>
                    </w:rPr>
                    <w:t>2</w:t>
                  </w:r>
                </w:p>
              </w:tc>
              <w:tc>
                <w:tcPr>
                  <w:tcW w:w="9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018ED">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油类物质</w:t>
                  </w:r>
                </w:p>
              </w:tc>
              <w:tc>
                <w:tcPr>
                  <w:tcW w:w="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47E1">
                  <w:pPr>
                    <w:widowControl/>
                    <w:spacing w:line="240" w:lineRule="auto"/>
                    <w:jc w:val="center"/>
                    <w:textAlignment w:val="center"/>
                    <w:rPr>
                      <w:color w:val="auto"/>
                      <w:kern w:val="0"/>
                      <w:sz w:val="18"/>
                      <w:szCs w:val="18"/>
                      <w:lang w:bidi="ar"/>
                    </w:rPr>
                  </w:pPr>
                  <w:r>
                    <w:rPr>
                      <w:color w:val="auto"/>
                      <w:kern w:val="0"/>
                      <w:sz w:val="18"/>
                      <w:szCs w:val="18"/>
                      <w:lang w:bidi="ar"/>
                    </w:rPr>
                    <w:t>2500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15D4">
                  <w:pPr>
                    <w:widowControl/>
                    <w:spacing w:line="240" w:lineRule="auto"/>
                    <w:jc w:val="center"/>
                    <w:textAlignment w:val="center"/>
                    <w:rPr>
                      <w:color w:val="auto"/>
                      <w:kern w:val="0"/>
                      <w:sz w:val="18"/>
                      <w:szCs w:val="18"/>
                      <w:lang w:bidi="ar"/>
                    </w:rPr>
                  </w:pPr>
                  <w:r>
                    <w:rPr>
                      <w:rFonts w:hint="eastAsia"/>
                      <w:color w:val="auto"/>
                      <w:kern w:val="0"/>
                      <w:sz w:val="18"/>
                      <w:szCs w:val="18"/>
                      <w:lang w:bidi="ar"/>
                    </w:rPr>
                    <w:t>0.0000</w:t>
                  </w:r>
                  <w:r>
                    <w:rPr>
                      <w:rFonts w:hint="eastAsia"/>
                      <w:color w:val="auto"/>
                      <w:kern w:val="0"/>
                      <w:sz w:val="18"/>
                      <w:szCs w:val="18"/>
                      <w:lang w:val="en-US" w:eastAsia="zh-CN" w:bidi="ar"/>
                    </w:rPr>
                    <w:t>08</w:t>
                  </w:r>
                </w:p>
              </w:tc>
            </w:tr>
            <w:tr w14:paraId="1CFFAF71">
              <w:tblPrEx>
                <w:tblCellMar>
                  <w:top w:w="0" w:type="dxa"/>
                  <w:left w:w="108" w:type="dxa"/>
                  <w:bottom w:w="0" w:type="dxa"/>
                  <w:right w:w="108" w:type="dxa"/>
                </w:tblCellMar>
              </w:tblPrEx>
              <w:trPr>
                <w:trHeight w:val="340" w:hRule="atLeast"/>
              </w:trPr>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DF653">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2</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97BFA">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天然气</w:t>
                  </w:r>
                </w:p>
              </w:tc>
              <w:tc>
                <w:tcPr>
                  <w:tcW w:w="10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2BC3A">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1.2</w:t>
                  </w:r>
                </w:p>
              </w:tc>
              <w:tc>
                <w:tcPr>
                  <w:tcW w:w="9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FC11F">
                  <w:pPr>
                    <w:widowControl/>
                    <w:spacing w:line="240" w:lineRule="auto"/>
                    <w:jc w:val="center"/>
                    <w:textAlignment w:val="center"/>
                    <w:rPr>
                      <w:rFonts w:hint="eastAsia" w:eastAsia="宋体" w:cs="宋体"/>
                      <w:color w:val="auto"/>
                      <w:kern w:val="0"/>
                      <w:sz w:val="18"/>
                      <w:szCs w:val="18"/>
                      <w:lang w:eastAsia="zh-CN" w:bidi="ar"/>
                    </w:rPr>
                  </w:pPr>
                  <w:r>
                    <w:rPr>
                      <w:rFonts w:hint="eastAsia" w:cs="宋体"/>
                      <w:color w:val="auto"/>
                      <w:kern w:val="0"/>
                      <w:sz w:val="18"/>
                      <w:szCs w:val="18"/>
                      <w:lang w:val="en-US" w:eastAsia="zh-CN" w:bidi="ar"/>
                    </w:rPr>
                    <w:t>甲烷</w:t>
                  </w:r>
                </w:p>
              </w:tc>
              <w:tc>
                <w:tcPr>
                  <w:tcW w:w="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D8760">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10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BDD7">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0.12</w:t>
                  </w:r>
                </w:p>
              </w:tc>
            </w:tr>
            <w:tr w14:paraId="57A188A5">
              <w:tblPrEx>
                <w:tblCellMar>
                  <w:top w:w="0" w:type="dxa"/>
                  <w:left w:w="108" w:type="dxa"/>
                  <w:bottom w:w="0" w:type="dxa"/>
                  <w:right w:w="108" w:type="dxa"/>
                </w:tblCellMar>
              </w:tblPrEx>
              <w:trPr>
                <w:trHeight w:val="340" w:hRule="atLeast"/>
              </w:trPr>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31950">
                  <w:pPr>
                    <w:widowControl/>
                    <w:spacing w:line="240" w:lineRule="auto"/>
                    <w:jc w:val="center"/>
                    <w:textAlignment w:val="center"/>
                    <w:rPr>
                      <w:rFonts w:hint="eastAsia" w:eastAsia="宋体"/>
                      <w:color w:val="auto"/>
                      <w:kern w:val="0"/>
                      <w:sz w:val="18"/>
                      <w:szCs w:val="18"/>
                      <w:lang w:eastAsia="zh-CN" w:bidi="ar"/>
                    </w:rPr>
                  </w:pPr>
                  <w:r>
                    <w:rPr>
                      <w:rFonts w:hint="eastAsia"/>
                      <w:color w:val="auto"/>
                      <w:kern w:val="0"/>
                      <w:sz w:val="18"/>
                      <w:szCs w:val="18"/>
                      <w:lang w:val="en-US" w:eastAsia="zh-CN" w:bidi="ar"/>
                    </w:rPr>
                    <w:t>3</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1E744">
                  <w:pPr>
                    <w:widowControl/>
                    <w:spacing w:line="240" w:lineRule="auto"/>
                    <w:jc w:val="center"/>
                    <w:textAlignment w:val="center"/>
                    <w:rPr>
                      <w:rFonts w:cs="宋体"/>
                      <w:color w:val="auto"/>
                      <w:sz w:val="18"/>
                      <w:szCs w:val="18"/>
                    </w:rPr>
                  </w:pPr>
                  <w:r>
                    <w:rPr>
                      <w:rFonts w:hint="eastAsia" w:cs="宋体"/>
                      <w:color w:val="auto"/>
                      <w:sz w:val="18"/>
                      <w:szCs w:val="18"/>
                    </w:rPr>
                    <w:t>废润滑油</w:t>
                  </w:r>
                </w:p>
              </w:tc>
              <w:tc>
                <w:tcPr>
                  <w:tcW w:w="10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545E9">
                  <w:pPr>
                    <w:widowControl/>
                    <w:spacing w:line="240" w:lineRule="auto"/>
                    <w:jc w:val="center"/>
                    <w:textAlignment w:val="center"/>
                    <w:rPr>
                      <w:rFonts w:hint="eastAsia" w:eastAsia="宋体"/>
                      <w:color w:val="auto"/>
                      <w:sz w:val="18"/>
                      <w:szCs w:val="18"/>
                      <w:lang w:val="en-US" w:eastAsia="zh-CN"/>
                    </w:rPr>
                  </w:pPr>
                  <w:r>
                    <w:rPr>
                      <w:rFonts w:hint="eastAsia"/>
                      <w:color w:val="auto"/>
                      <w:sz w:val="18"/>
                      <w:szCs w:val="18"/>
                    </w:rPr>
                    <w:t>0.0</w:t>
                  </w:r>
                  <w:r>
                    <w:rPr>
                      <w:rFonts w:hint="eastAsia"/>
                      <w:color w:val="auto"/>
                      <w:sz w:val="18"/>
                      <w:szCs w:val="18"/>
                      <w:lang w:val="en-US" w:eastAsia="zh-CN"/>
                    </w:rPr>
                    <w:t>2</w:t>
                  </w:r>
                </w:p>
              </w:tc>
              <w:tc>
                <w:tcPr>
                  <w:tcW w:w="9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4F3B1">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油类物质</w:t>
                  </w:r>
                </w:p>
              </w:tc>
              <w:tc>
                <w:tcPr>
                  <w:tcW w:w="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7ADE">
                  <w:pPr>
                    <w:widowControl/>
                    <w:spacing w:line="240" w:lineRule="auto"/>
                    <w:jc w:val="center"/>
                    <w:textAlignment w:val="center"/>
                    <w:rPr>
                      <w:color w:val="auto"/>
                      <w:kern w:val="0"/>
                      <w:sz w:val="18"/>
                      <w:szCs w:val="18"/>
                      <w:lang w:bidi="ar"/>
                    </w:rPr>
                  </w:pPr>
                  <w:r>
                    <w:rPr>
                      <w:color w:val="auto"/>
                      <w:kern w:val="0"/>
                      <w:sz w:val="18"/>
                      <w:szCs w:val="18"/>
                      <w:lang w:bidi="ar"/>
                    </w:rPr>
                    <w:t>2500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D838E">
                  <w:pPr>
                    <w:widowControl/>
                    <w:spacing w:line="240" w:lineRule="auto"/>
                    <w:jc w:val="center"/>
                    <w:textAlignment w:val="center"/>
                    <w:rPr>
                      <w:rFonts w:hint="default"/>
                      <w:color w:val="auto"/>
                      <w:kern w:val="0"/>
                      <w:sz w:val="18"/>
                      <w:szCs w:val="18"/>
                      <w:lang w:val="en-US" w:bidi="ar"/>
                    </w:rPr>
                  </w:pPr>
                  <w:r>
                    <w:rPr>
                      <w:rFonts w:hint="eastAsia"/>
                      <w:color w:val="auto"/>
                      <w:kern w:val="0"/>
                      <w:sz w:val="18"/>
                      <w:szCs w:val="18"/>
                      <w:lang w:bidi="ar"/>
                    </w:rPr>
                    <w:t>0.0000</w:t>
                  </w:r>
                  <w:r>
                    <w:rPr>
                      <w:rFonts w:hint="eastAsia"/>
                      <w:color w:val="auto"/>
                      <w:kern w:val="0"/>
                      <w:sz w:val="18"/>
                      <w:szCs w:val="18"/>
                      <w:lang w:val="en-US" w:eastAsia="zh-CN" w:bidi="ar"/>
                    </w:rPr>
                    <w:t>08</w:t>
                  </w:r>
                </w:p>
              </w:tc>
            </w:tr>
            <w:tr w14:paraId="27B66A3A">
              <w:tblPrEx>
                <w:tblCellMar>
                  <w:top w:w="0" w:type="dxa"/>
                  <w:left w:w="108" w:type="dxa"/>
                  <w:bottom w:w="0" w:type="dxa"/>
                  <w:right w:w="108" w:type="dxa"/>
                </w:tblCellMar>
              </w:tblPrEx>
              <w:trPr>
                <w:trHeight w:val="340" w:hRule="atLeast"/>
              </w:trPr>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AB543">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4</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8D491">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切削液</w:t>
                  </w:r>
                </w:p>
              </w:tc>
              <w:tc>
                <w:tcPr>
                  <w:tcW w:w="10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5BA5F">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5</w:t>
                  </w:r>
                </w:p>
              </w:tc>
              <w:tc>
                <w:tcPr>
                  <w:tcW w:w="9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9124">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油类物质</w:t>
                  </w:r>
                </w:p>
              </w:tc>
              <w:tc>
                <w:tcPr>
                  <w:tcW w:w="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57CB8">
                  <w:pPr>
                    <w:widowControl/>
                    <w:spacing w:line="240" w:lineRule="auto"/>
                    <w:jc w:val="center"/>
                    <w:textAlignment w:val="center"/>
                    <w:rPr>
                      <w:color w:val="auto"/>
                      <w:kern w:val="0"/>
                      <w:sz w:val="18"/>
                      <w:szCs w:val="18"/>
                      <w:lang w:bidi="ar"/>
                    </w:rPr>
                  </w:pPr>
                  <w:r>
                    <w:rPr>
                      <w:color w:val="auto"/>
                      <w:kern w:val="0"/>
                      <w:sz w:val="18"/>
                      <w:szCs w:val="18"/>
                      <w:lang w:bidi="ar"/>
                    </w:rPr>
                    <w:t>2500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AD188">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0.002</w:t>
                  </w:r>
                </w:p>
              </w:tc>
            </w:tr>
            <w:tr w14:paraId="7C7EC14C">
              <w:tblPrEx>
                <w:tblCellMar>
                  <w:top w:w="0" w:type="dxa"/>
                  <w:left w:w="108" w:type="dxa"/>
                  <w:bottom w:w="0" w:type="dxa"/>
                  <w:right w:w="108" w:type="dxa"/>
                </w:tblCellMar>
              </w:tblPrEx>
              <w:trPr>
                <w:trHeight w:val="340" w:hRule="atLeast"/>
              </w:trPr>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4D444">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5</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CD53A">
                  <w:pPr>
                    <w:widowControl/>
                    <w:spacing w:line="240" w:lineRule="auto"/>
                    <w:jc w:val="center"/>
                    <w:textAlignment w:val="center"/>
                    <w:rPr>
                      <w:rFonts w:hint="eastAsia" w:eastAsia="宋体" w:cs="宋体"/>
                      <w:color w:val="auto"/>
                      <w:sz w:val="18"/>
                      <w:szCs w:val="18"/>
                      <w:lang w:val="en-US" w:eastAsia="zh-CN"/>
                    </w:rPr>
                  </w:pPr>
                  <w:r>
                    <w:rPr>
                      <w:rFonts w:hint="eastAsia" w:cs="宋体"/>
                      <w:color w:val="auto"/>
                      <w:sz w:val="18"/>
                      <w:szCs w:val="18"/>
                      <w:lang w:val="en-US" w:eastAsia="zh-CN"/>
                    </w:rPr>
                    <w:t>废切削液</w:t>
                  </w:r>
                </w:p>
              </w:tc>
              <w:tc>
                <w:tcPr>
                  <w:tcW w:w="10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C80A3">
                  <w:pPr>
                    <w:widowControl/>
                    <w:spacing w:line="240" w:lineRule="auto"/>
                    <w:jc w:val="center"/>
                    <w:textAlignment w:val="center"/>
                    <w:rPr>
                      <w:rFonts w:hint="eastAsia" w:eastAsia="宋体"/>
                      <w:color w:val="auto"/>
                      <w:sz w:val="18"/>
                      <w:szCs w:val="18"/>
                      <w:lang w:val="en-US" w:eastAsia="zh-CN"/>
                    </w:rPr>
                  </w:pPr>
                  <w:r>
                    <w:rPr>
                      <w:rFonts w:hint="eastAsia"/>
                      <w:color w:val="auto"/>
                      <w:sz w:val="18"/>
                      <w:szCs w:val="18"/>
                      <w:lang w:val="en-US" w:eastAsia="zh-CN"/>
                    </w:rPr>
                    <w:t>2</w:t>
                  </w:r>
                </w:p>
              </w:tc>
              <w:tc>
                <w:tcPr>
                  <w:tcW w:w="9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600A">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油类物质</w:t>
                  </w:r>
                </w:p>
              </w:tc>
              <w:tc>
                <w:tcPr>
                  <w:tcW w:w="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AB4C">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2500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0EC1F">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0.0008</w:t>
                  </w:r>
                </w:p>
              </w:tc>
            </w:tr>
            <w:tr w14:paraId="04EC1892">
              <w:tblPrEx>
                <w:tblCellMar>
                  <w:top w:w="0" w:type="dxa"/>
                  <w:left w:w="108" w:type="dxa"/>
                  <w:bottom w:w="0" w:type="dxa"/>
                  <w:right w:w="108" w:type="dxa"/>
                </w:tblCellMar>
              </w:tblPrEx>
              <w:trPr>
                <w:trHeight w:val="340" w:hRule="atLeast"/>
              </w:trPr>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24EA">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6</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606CF">
                  <w:pPr>
                    <w:widowControl/>
                    <w:spacing w:line="240" w:lineRule="auto"/>
                    <w:jc w:val="center"/>
                    <w:textAlignment w:val="center"/>
                    <w:rPr>
                      <w:rFonts w:hint="default" w:cs="宋体"/>
                      <w:color w:val="auto"/>
                      <w:sz w:val="18"/>
                      <w:szCs w:val="18"/>
                      <w:lang w:val="en-US" w:eastAsia="zh-CN"/>
                    </w:rPr>
                  </w:pPr>
                  <w:r>
                    <w:rPr>
                      <w:rFonts w:hint="eastAsia" w:cs="宋体"/>
                      <w:color w:val="auto"/>
                      <w:sz w:val="18"/>
                      <w:szCs w:val="18"/>
                      <w:lang w:val="en-US" w:eastAsia="zh-CN"/>
                    </w:rPr>
                    <w:t>在线监测废液</w:t>
                  </w:r>
                </w:p>
              </w:tc>
              <w:tc>
                <w:tcPr>
                  <w:tcW w:w="10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CEA80">
                  <w:pPr>
                    <w:widowControl/>
                    <w:spacing w:line="240" w:lineRule="auto"/>
                    <w:jc w:val="center"/>
                    <w:textAlignment w:val="center"/>
                    <w:rPr>
                      <w:rFonts w:hint="default"/>
                      <w:color w:val="auto"/>
                      <w:sz w:val="18"/>
                      <w:szCs w:val="18"/>
                      <w:lang w:val="en-US" w:eastAsia="zh-CN"/>
                    </w:rPr>
                  </w:pPr>
                  <w:r>
                    <w:rPr>
                      <w:rFonts w:hint="eastAsia"/>
                      <w:color w:val="auto"/>
                      <w:sz w:val="18"/>
                      <w:szCs w:val="18"/>
                      <w:lang w:val="en-US" w:eastAsia="zh-CN"/>
                    </w:rPr>
                    <w:t>0.144</w:t>
                  </w:r>
                </w:p>
              </w:tc>
              <w:tc>
                <w:tcPr>
                  <w:tcW w:w="9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6646F">
                  <w:pPr>
                    <w:widowControl/>
                    <w:spacing w:line="240" w:lineRule="auto"/>
                    <w:jc w:val="center"/>
                    <w:textAlignment w:val="center"/>
                    <w:rPr>
                      <w:rFonts w:hint="default" w:eastAsia="宋体" w:cs="宋体"/>
                      <w:color w:val="auto"/>
                      <w:kern w:val="0"/>
                      <w:sz w:val="18"/>
                      <w:szCs w:val="18"/>
                      <w:lang w:val="en-US" w:eastAsia="zh-CN" w:bidi="ar"/>
                    </w:rPr>
                  </w:pPr>
                  <w:r>
                    <w:rPr>
                      <w:rFonts w:hint="eastAsia" w:cs="宋体"/>
                      <w:color w:val="auto"/>
                      <w:kern w:val="0"/>
                      <w:sz w:val="18"/>
                      <w:szCs w:val="18"/>
                      <w:lang w:val="en-US" w:eastAsia="zh-CN" w:bidi="ar"/>
                    </w:rPr>
                    <w:t>健康危险急性毒性物质(类别2，类别3)</w:t>
                  </w:r>
                </w:p>
              </w:tc>
              <w:tc>
                <w:tcPr>
                  <w:tcW w:w="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ED59">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50</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D552B">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0.003</w:t>
                  </w:r>
                </w:p>
              </w:tc>
            </w:tr>
            <w:tr w14:paraId="459F6DB0">
              <w:tblPrEx>
                <w:tblCellMar>
                  <w:top w:w="0" w:type="dxa"/>
                  <w:left w:w="108" w:type="dxa"/>
                  <w:bottom w:w="0" w:type="dxa"/>
                  <w:right w:w="108" w:type="dxa"/>
                </w:tblCellMar>
              </w:tblPrEx>
              <w:trPr>
                <w:trHeight w:val="340" w:hRule="atLeast"/>
              </w:trPr>
              <w:tc>
                <w:tcPr>
                  <w:tcW w:w="424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F65ED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项目</w:t>
                  </w:r>
                  <w:r>
                    <w:rPr>
                      <w:color w:val="auto"/>
                      <w:kern w:val="0"/>
                      <w:sz w:val="18"/>
                      <w:szCs w:val="18"/>
                      <w:lang w:bidi="ar"/>
                    </w:rPr>
                    <w:t>Q</w:t>
                  </w:r>
                  <w:r>
                    <w:rPr>
                      <w:rFonts w:hint="eastAsia" w:cs="宋体"/>
                      <w:color w:val="auto"/>
                      <w:kern w:val="0"/>
                      <w:sz w:val="18"/>
                      <w:szCs w:val="18"/>
                      <w:lang w:bidi="ar"/>
                    </w:rPr>
                    <w:t>值∑</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19E0A">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0.126</w:t>
                  </w:r>
                </w:p>
              </w:tc>
            </w:tr>
            <w:tr w14:paraId="64B715FC">
              <w:tblPrEx>
                <w:tblCellMar>
                  <w:top w:w="0" w:type="dxa"/>
                  <w:left w:w="108" w:type="dxa"/>
                  <w:bottom w:w="0" w:type="dxa"/>
                  <w:right w:w="108" w:type="dxa"/>
                </w:tblCellMar>
              </w:tblPrEx>
              <w:trPr>
                <w:trHeight w:val="340" w:hRule="atLeast"/>
              </w:trPr>
              <w:tc>
                <w:tcPr>
                  <w:tcW w:w="4249"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10D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本项目危险物质数量与临界量比值</w:t>
                  </w:r>
                  <w:r>
                    <w:rPr>
                      <w:color w:val="auto"/>
                      <w:kern w:val="0"/>
                      <w:sz w:val="18"/>
                      <w:szCs w:val="18"/>
                      <w:lang w:bidi="ar"/>
                    </w:rPr>
                    <w:t>Q</w:t>
                  </w:r>
                  <w:r>
                    <w:rPr>
                      <w:rFonts w:hint="eastAsia" w:cs="宋体"/>
                      <w:color w:val="auto"/>
                      <w:kern w:val="0"/>
                      <w:sz w:val="18"/>
                      <w:szCs w:val="18"/>
                      <w:lang w:bidi="ar"/>
                    </w:rPr>
                    <w:t>值对应等级</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8FC6">
                  <w:pPr>
                    <w:widowControl/>
                    <w:spacing w:line="240" w:lineRule="auto"/>
                    <w:jc w:val="center"/>
                    <w:textAlignment w:val="center"/>
                    <w:rPr>
                      <w:color w:val="auto"/>
                      <w:sz w:val="18"/>
                      <w:szCs w:val="18"/>
                    </w:rPr>
                  </w:pPr>
                  <w:r>
                    <w:rPr>
                      <w:color w:val="auto"/>
                      <w:kern w:val="0"/>
                      <w:sz w:val="18"/>
                      <w:szCs w:val="18"/>
                      <w:lang w:bidi="ar"/>
                    </w:rPr>
                    <w:t>Q&lt;1</w:t>
                  </w:r>
                </w:p>
              </w:tc>
            </w:tr>
          </w:tbl>
          <w:p w14:paraId="242E7D7F">
            <w:pPr>
              <w:outlineLvl w:val="1"/>
              <w:rPr>
                <w:b/>
                <w:bCs/>
                <w:color w:val="auto"/>
                <w:kern w:val="28"/>
                <w:szCs w:val="24"/>
              </w:rPr>
            </w:pPr>
            <w:r>
              <w:rPr>
                <w:rFonts w:hint="eastAsia"/>
                <w:b/>
                <w:bCs/>
                <w:color w:val="auto"/>
                <w:szCs w:val="24"/>
              </w:rPr>
              <w:t>2、环境风险分析</w:t>
            </w:r>
          </w:p>
          <w:p w14:paraId="2417345F">
            <w:pPr>
              <w:outlineLvl w:val="2"/>
              <w:rPr>
                <w:color w:val="auto"/>
                <w:szCs w:val="24"/>
              </w:rPr>
            </w:pPr>
            <w:r>
              <w:rPr>
                <w:rFonts w:hint="eastAsia"/>
                <w:b/>
                <w:bCs/>
                <w:color w:val="auto"/>
                <w:szCs w:val="24"/>
              </w:rPr>
              <w:t>（1）环境风险识别</w:t>
            </w:r>
          </w:p>
          <w:p w14:paraId="19988085">
            <w:pPr>
              <w:ind w:firstLine="480" w:firstLineChars="200"/>
              <w:rPr>
                <w:color w:val="auto"/>
                <w:szCs w:val="24"/>
              </w:rPr>
            </w:pPr>
            <w:r>
              <w:rPr>
                <w:rFonts w:hint="eastAsia"/>
                <w:color w:val="auto"/>
                <w:szCs w:val="24"/>
              </w:rPr>
              <w:t>①润滑油、</w:t>
            </w:r>
            <w:r>
              <w:rPr>
                <w:rFonts w:hint="eastAsia"/>
                <w:color w:val="auto"/>
                <w:szCs w:val="24"/>
                <w:lang w:val="en-US" w:eastAsia="zh-CN"/>
              </w:rPr>
              <w:t>废润滑油</w:t>
            </w:r>
            <w:r>
              <w:rPr>
                <w:color w:val="auto"/>
                <w:szCs w:val="24"/>
              </w:rPr>
              <w:t>泄漏</w:t>
            </w:r>
            <w:r>
              <w:rPr>
                <w:rFonts w:hint="eastAsia"/>
                <w:color w:val="auto"/>
                <w:szCs w:val="24"/>
                <w:lang w:val="en-US" w:eastAsia="zh-CN"/>
              </w:rPr>
              <w:t>等</w:t>
            </w:r>
            <w:r>
              <w:rPr>
                <w:color w:val="auto"/>
                <w:szCs w:val="24"/>
              </w:rPr>
              <w:t>事故对周边大气、地表水、地下水和土壤产生影响</w:t>
            </w:r>
          </w:p>
          <w:p w14:paraId="1A7BC87F">
            <w:pPr>
              <w:ind w:firstLine="480" w:firstLineChars="200"/>
              <w:rPr>
                <w:color w:val="auto"/>
                <w:szCs w:val="24"/>
              </w:rPr>
            </w:pPr>
            <w:r>
              <w:rPr>
                <w:rFonts w:hint="eastAsia"/>
                <w:color w:val="auto"/>
                <w:szCs w:val="24"/>
              </w:rPr>
              <w:t>项目使用的危险物质采用密闭运输。运输途中若发生交通事故，如贮桶被撞破，将导致物料漏出，对周边水、土壤环境造成污染。</w:t>
            </w:r>
          </w:p>
          <w:p w14:paraId="26273CE9">
            <w:pPr>
              <w:ind w:firstLine="480" w:firstLineChars="200"/>
              <w:rPr>
                <w:color w:val="auto"/>
                <w:szCs w:val="24"/>
              </w:rPr>
            </w:pPr>
            <w:r>
              <w:rPr>
                <w:rFonts w:hint="eastAsia"/>
                <w:color w:val="auto"/>
                <w:szCs w:val="24"/>
              </w:rPr>
              <w:t>危险物质在厂区内暂存时，由于包装桶破损或使用不当，导致其外泄，可能对土壤、地表水及地下水环境造成污染。</w:t>
            </w:r>
          </w:p>
          <w:p w14:paraId="424D5048">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2 \* GB3</w:instrText>
            </w:r>
            <w:r>
              <w:rPr>
                <w:color w:val="auto"/>
                <w:szCs w:val="24"/>
              </w:rPr>
              <w:instrText xml:space="preserve"> </w:instrText>
            </w:r>
            <w:r>
              <w:rPr>
                <w:color w:val="auto"/>
                <w:szCs w:val="24"/>
              </w:rPr>
              <w:fldChar w:fldCharType="separate"/>
            </w:r>
            <w:r>
              <w:rPr>
                <w:rFonts w:hint="eastAsia"/>
                <w:color w:val="auto"/>
                <w:szCs w:val="24"/>
              </w:rPr>
              <w:t>②</w:t>
            </w:r>
            <w:r>
              <w:rPr>
                <w:color w:val="auto"/>
                <w:szCs w:val="24"/>
              </w:rPr>
              <w:fldChar w:fldCharType="end"/>
            </w:r>
            <w:r>
              <w:rPr>
                <w:color w:val="auto"/>
                <w:szCs w:val="24"/>
              </w:rPr>
              <w:t>火灾、爆炸事故产生次生、衍生环境污染</w:t>
            </w:r>
          </w:p>
          <w:p w14:paraId="11CA323D">
            <w:pPr>
              <w:ind w:firstLine="480" w:firstLineChars="200"/>
              <w:rPr>
                <w:color w:val="auto"/>
                <w:szCs w:val="24"/>
              </w:rPr>
            </w:pPr>
            <w:r>
              <w:rPr>
                <w:rFonts w:hint="eastAsia"/>
                <w:color w:val="auto"/>
                <w:szCs w:val="24"/>
              </w:rPr>
              <w:t>废润滑油泄漏后，遇火花、明火，可能发生火灾与爆炸事故。火灾与爆炸事故有害物质的释放属于突发性释放，会产生一系列烟羽段。物质燃烧后除引发热辐射损伤之外，还会产生烟雾，少量</w:t>
            </w:r>
            <w:r>
              <w:rPr>
                <w:color w:val="auto"/>
                <w:szCs w:val="24"/>
              </w:rPr>
              <w:t>CO等污染周边大气环境。</w:t>
            </w:r>
          </w:p>
          <w:p w14:paraId="7FC6DFFD">
            <w:pPr>
              <w:ind w:firstLine="480" w:firstLineChars="200"/>
              <w:rPr>
                <w:color w:val="auto"/>
              </w:rPr>
            </w:pPr>
            <w:r>
              <w:rPr>
                <w:color w:val="auto"/>
                <w:szCs w:val="24"/>
              </w:rPr>
              <w:fldChar w:fldCharType="begin"/>
            </w:r>
            <w:r>
              <w:rPr>
                <w:color w:val="auto"/>
                <w:szCs w:val="24"/>
              </w:rPr>
              <w:instrText xml:space="preserve"> </w:instrText>
            </w:r>
            <w:r>
              <w:rPr>
                <w:rFonts w:hint="eastAsia"/>
                <w:color w:val="auto"/>
                <w:szCs w:val="24"/>
              </w:rPr>
              <w:instrText xml:space="preserve">= 3 \* GB3</w:instrText>
            </w:r>
            <w:r>
              <w:rPr>
                <w:color w:val="auto"/>
                <w:szCs w:val="24"/>
              </w:rPr>
              <w:instrText xml:space="preserve"> </w:instrText>
            </w:r>
            <w:r>
              <w:rPr>
                <w:color w:val="auto"/>
                <w:szCs w:val="24"/>
              </w:rPr>
              <w:fldChar w:fldCharType="separate"/>
            </w:r>
            <w:r>
              <w:rPr>
                <w:rFonts w:hint="eastAsia"/>
                <w:color w:val="auto"/>
                <w:szCs w:val="24"/>
              </w:rPr>
              <w:t>③</w:t>
            </w:r>
            <w:r>
              <w:rPr>
                <w:color w:val="auto"/>
                <w:szCs w:val="24"/>
              </w:rPr>
              <w:fldChar w:fldCharType="end"/>
            </w:r>
            <w:r>
              <w:rPr>
                <w:rFonts w:hint="eastAsia"/>
                <w:color w:val="auto"/>
              </w:rPr>
              <w:t>事故状态下废水的收集</w:t>
            </w:r>
          </w:p>
          <w:p w14:paraId="0A526722">
            <w:pPr>
              <w:ind w:firstLine="480" w:firstLineChars="200"/>
              <w:rPr>
                <w:rFonts w:hint="eastAsia"/>
                <w:color w:val="auto"/>
                <w:szCs w:val="24"/>
                <w:lang w:eastAsia="zh-CN"/>
              </w:rPr>
            </w:pPr>
            <w:r>
              <w:rPr>
                <w:rFonts w:hint="eastAsia"/>
                <w:color w:val="auto"/>
                <w:szCs w:val="24"/>
              </w:rPr>
              <w:t>事故状态下水体污染事故主要考虑污染物泄漏、火灾爆炸后消防水及雨水等废水排放对地表水和地下水环境造成的影响</w:t>
            </w:r>
            <w:r>
              <w:rPr>
                <w:rFonts w:hint="eastAsia"/>
                <w:color w:val="auto"/>
                <w:szCs w:val="24"/>
                <w:lang w:eastAsia="zh-CN"/>
              </w:rPr>
              <w:t>；项目物料部分为易燃、易爆、有毒有害危险物质，一旦发生火灾事故，在火灾扑救过程中，会形成消防废水；厂内计划设置事故废水收集系统，对事故废水进行</w:t>
            </w:r>
            <w:r>
              <w:rPr>
                <w:rFonts w:hint="eastAsia"/>
                <w:color w:val="auto"/>
                <w:szCs w:val="24"/>
                <w:lang w:val="en-US" w:eastAsia="zh-CN"/>
              </w:rPr>
              <w:t>二</w:t>
            </w:r>
            <w:r>
              <w:rPr>
                <w:rFonts w:hint="eastAsia"/>
                <w:color w:val="auto"/>
                <w:szCs w:val="24"/>
                <w:lang w:eastAsia="zh-CN"/>
              </w:rPr>
              <w:t>级防控预防管理，具体如下：</w:t>
            </w:r>
          </w:p>
          <w:p w14:paraId="4F661BCD">
            <w:pPr>
              <w:ind w:firstLine="480" w:firstLineChars="200"/>
              <w:rPr>
                <w:rFonts w:hint="eastAsia"/>
                <w:color w:val="auto"/>
                <w:szCs w:val="24"/>
                <w:lang w:eastAsia="zh-CN"/>
              </w:rPr>
            </w:pPr>
            <w:r>
              <w:rPr>
                <w:rFonts w:hint="eastAsia"/>
                <w:color w:val="auto"/>
                <w:szCs w:val="24"/>
                <w:lang w:eastAsia="zh-CN"/>
              </w:rPr>
              <w:t>一级防控措施车间内做好防腐防渗措施，危废库做好重点防渗，防止轻微事故泄漏造成的环境污染。</w:t>
            </w:r>
          </w:p>
          <w:p w14:paraId="5DBBE7F2">
            <w:pPr>
              <w:ind w:firstLine="480" w:firstLineChars="200"/>
              <w:rPr>
                <w:color w:val="auto"/>
              </w:rPr>
            </w:pPr>
            <w:r>
              <w:rPr>
                <w:rFonts w:hint="eastAsia"/>
                <w:color w:val="auto"/>
                <w:szCs w:val="24"/>
                <w:lang w:eastAsia="zh-CN"/>
              </w:rPr>
              <w:t>二级防控措施是在事故废水收集</w:t>
            </w:r>
            <w:r>
              <w:rPr>
                <w:rFonts w:hint="eastAsia"/>
                <w:color w:val="auto"/>
                <w:szCs w:val="24"/>
                <w:lang w:val="en-US" w:eastAsia="zh-CN"/>
              </w:rPr>
              <w:t>措施（270m</w:t>
            </w:r>
            <w:r>
              <w:rPr>
                <w:rFonts w:hint="eastAsia"/>
                <w:color w:val="auto"/>
                <w:szCs w:val="24"/>
                <w:vertAlign w:val="superscript"/>
                <w:lang w:val="en-US" w:eastAsia="zh-CN"/>
              </w:rPr>
              <w:t>3</w:t>
            </w:r>
            <w:r>
              <w:rPr>
                <w:rFonts w:hint="eastAsia"/>
                <w:color w:val="auto"/>
                <w:szCs w:val="24"/>
                <w:vertAlign w:val="baseline"/>
                <w:lang w:val="en-US" w:eastAsia="zh-CN"/>
              </w:rPr>
              <w:t>的事故池</w:t>
            </w:r>
            <w:r>
              <w:rPr>
                <w:rFonts w:hint="eastAsia"/>
                <w:color w:val="auto"/>
                <w:szCs w:val="24"/>
                <w:lang w:val="en-US" w:eastAsia="zh-CN"/>
              </w:rPr>
              <w:t>）</w:t>
            </w:r>
            <w:r>
              <w:rPr>
                <w:rFonts w:hint="eastAsia"/>
                <w:color w:val="auto"/>
                <w:szCs w:val="24"/>
                <w:lang w:eastAsia="zh-CN"/>
              </w:rPr>
              <w:t>、厂区雨水排口设置切断装置及拦污装置，为事故状态下的储存和调节手段，将消防废水等产生量大的事故废水控制在厂区内，防止重大事故泄漏污染和消防废水造成的环境污染。</w:t>
            </w:r>
            <w:r>
              <w:rPr>
                <w:rFonts w:hint="eastAsia"/>
                <w:color w:val="auto"/>
                <w:szCs w:val="24"/>
              </w:rPr>
              <w:t>待事故消除后将事故废水抽出委托有资质单位处置，确保事故状态下事故废水不进入其他地表水。</w:t>
            </w:r>
          </w:p>
          <w:p w14:paraId="3E78CF58">
            <w:pPr>
              <w:ind w:firstLine="480" w:firstLineChars="200"/>
              <w:rPr>
                <w:color w:val="auto"/>
                <w:szCs w:val="24"/>
              </w:rPr>
            </w:pPr>
            <w:r>
              <w:rPr>
                <w:rFonts w:hint="eastAsia"/>
                <w:color w:val="auto"/>
                <w:szCs w:val="24"/>
              </w:rPr>
              <w:t>④泄漏及废气事故对大气环境影响</w:t>
            </w:r>
          </w:p>
          <w:p w14:paraId="0D4B749D">
            <w:pPr>
              <w:ind w:firstLine="480" w:firstLineChars="200"/>
              <w:rPr>
                <w:color w:val="auto"/>
                <w:szCs w:val="24"/>
              </w:rPr>
            </w:pPr>
            <w:r>
              <w:rPr>
                <w:rFonts w:hint="eastAsia"/>
                <w:color w:val="auto"/>
                <w:szCs w:val="24"/>
              </w:rPr>
              <w:t>项目废气污染物潜在的风险为物料泄漏或者废气收集处理设施不正常运行时，产生挥发性有机物等污染物的不达标排放，对所在区域大气环境质量、厂内员工健康及周边居民身体健康将造成影响。</w:t>
            </w:r>
          </w:p>
          <w:p w14:paraId="3ECDFCEC">
            <w:pPr>
              <w:outlineLvl w:val="2"/>
              <w:rPr>
                <w:b/>
                <w:bCs/>
                <w:color w:val="auto"/>
                <w:szCs w:val="24"/>
              </w:rPr>
            </w:pPr>
            <w:r>
              <w:rPr>
                <w:rFonts w:hint="eastAsia"/>
                <w:b/>
                <w:bCs/>
                <w:color w:val="auto"/>
                <w:szCs w:val="24"/>
              </w:rPr>
              <w:t>（2）风险防范措施</w:t>
            </w:r>
          </w:p>
          <w:p w14:paraId="41A88853">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1 \* GB3</w:instrText>
            </w:r>
            <w:r>
              <w:rPr>
                <w:color w:val="auto"/>
                <w:szCs w:val="24"/>
              </w:rPr>
              <w:instrText xml:space="preserve"> </w:instrText>
            </w:r>
            <w:r>
              <w:rPr>
                <w:color w:val="auto"/>
                <w:szCs w:val="24"/>
              </w:rPr>
              <w:fldChar w:fldCharType="separate"/>
            </w:r>
            <w:r>
              <w:rPr>
                <w:rFonts w:hint="eastAsia"/>
                <w:color w:val="auto"/>
                <w:szCs w:val="24"/>
              </w:rPr>
              <w:t>①</w:t>
            </w:r>
            <w:r>
              <w:rPr>
                <w:color w:val="auto"/>
                <w:szCs w:val="24"/>
              </w:rPr>
              <w:fldChar w:fldCharType="end"/>
            </w:r>
            <w:r>
              <w:rPr>
                <w:rFonts w:hint="eastAsia"/>
                <w:color w:val="auto"/>
                <w:szCs w:val="24"/>
              </w:rPr>
              <w:t>加强原料运输及储存管理</w:t>
            </w:r>
          </w:p>
          <w:p w14:paraId="6F3328E9">
            <w:pPr>
              <w:ind w:firstLine="480" w:firstLineChars="200"/>
              <w:rPr>
                <w:color w:val="auto"/>
                <w:szCs w:val="24"/>
              </w:rPr>
            </w:pPr>
            <w:r>
              <w:rPr>
                <w:rFonts w:hint="eastAsia"/>
                <w:color w:val="auto"/>
                <w:szCs w:val="24"/>
              </w:rPr>
              <w:t>原料运输采用密闭运输，禁止超载；禁止与其他易燃、易爆物拼车运输，并且按照有关消防规范分类储存。</w:t>
            </w:r>
          </w:p>
          <w:p w14:paraId="128CC06A">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2 \* GB3</w:instrText>
            </w:r>
            <w:r>
              <w:rPr>
                <w:color w:val="auto"/>
                <w:szCs w:val="24"/>
              </w:rPr>
              <w:instrText xml:space="preserve"> </w:instrText>
            </w:r>
            <w:r>
              <w:rPr>
                <w:color w:val="auto"/>
                <w:szCs w:val="24"/>
              </w:rPr>
              <w:fldChar w:fldCharType="separate"/>
            </w:r>
            <w:r>
              <w:rPr>
                <w:rFonts w:hint="eastAsia"/>
                <w:color w:val="auto"/>
                <w:szCs w:val="24"/>
              </w:rPr>
              <w:t>②</w:t>
            </w:r>
            <w:r>
              <w:rPr>
                <w:color w:val="auto"/>
                <w:szCs w:val="24"/>
              </w:rPr>
              <w:fldChar w:fldCharType="end"/>
            </w:r>
            <w:r>
              <w:rPr>
                <w:rFonts w:hint="eastAsia"/>
                <w:color w:val="auto"/>
                <w:szCs w:val="24"/>
              </w:rPr>
              <w:t>废气事故风险防范</w:t>
            </w:r>
          </w:p>
          <w:p w14:paraId="538C5F81">
            <w:pPr>
              <w:ind w:firstLine="480" w:firstLineChars="200"/>
              <w:rPr>
                <w:color w:val="auto"/>
                <w:szCs w:val="24"/>
              </w:rPr>
            </w:pPr>
            <w:r>
              <w:rPr>
                <w:rFonts w:hint="eastAsia"/>
                <w:color w:val="auto"/>
                <w:szCs w:val="24"/>
              </w:rPr>
              <w:t>A</w:t>
            </w:r>
            <w:r>
              <w:rPr>
                <w:color w:val="auto"/>
                <w:szCs w:val="24"/>
              </w:rPr>
              <w:t>.</w:t>
            </w:r>
            <w:r>
              <w:rPr>
                <w:rFonts w:hint="eastAsia"/>
                <w:color w:val="auto"/>
                <w:szCs w:val="24"/>
              </w:rPr>
              <w:t>当废气处理设施发生故障时，应立即停止生产，直至废气处理系统故障排除后才恢复生产。</w:t>
            </w:r>
          </w:p>
          <w:p w14:paraId="078EEC29">
            <w:pPr>
              <w:ind w:firstLine="480" w:firstLineChars="200"/>
              <w:rPr>
                <w:color w:val="auto"/>
                <w:szCs w:val="24"/>
              </w:rPr>
            </w:pPr>
            <w:r>
              <w:rPr>
                <w:rFonts w:hint="eastAsia"/>
                <w:color w:val="auto"/>
                <w:szCs w:val="24"/>
              </w:rPr>
              <w:t>B</w:t>
            </w:r>
            <w:r>
              <w:rPr>
                <w:color w:val="auto"/>
                <w:szCs w:val="24"/>
              </w:rPr>
              <w:t>.</w:t>
            </w:r>
            <w:r>
              <w:rPr>
                <w:rFonts w:hint="eastAsia"/>
                <w:color w:val="auto"/>
                <w:szCs w:val="24"/>
              </w:rPr>
              <w:t>平时加强废气处理设施的维护保养，及时发现处理设备的隐患，并及时进行维修，确保废气处理系统正常运行。</w:t>
            </w:r>
          </w:p>
          <w:p w14:paraId="53CED673">
            <w:pPr>
              <w:ind w:firstLine="480" w:firstLineChars="200"/>
              <w:rPr>
                <w:color w:val="auto"/>
                <w:szCs w:val="24"/>
              </w:rPr>
            </w:pPr>
            <w:r>
              <w:rPr>
                <w:rFonts w:hint="eastAsia"/>
                <w:color w:val="auto"/>
                <w:szCs w:val="24"/>
              </w:rPr>
              <w:t>C</w:t>
            </w:r>
            <w:r>
              <w:rPr>
                <w:color w:val="auto"/>
                <w:szCs w:val="24"/>
              </w:rPr>
              <w:t>.</w:t>
            </w:r>
            <w:r>
              <w:rPr>
                <w:rFonts w:hint="eastAsia"/>
                <w:color w:val="auto"/>
                <w:szCs w:val="24"/>
              </w:rPr>
              <w:t>每年定期对设备、管道进行检修，检修时，检修人员需在残留气体经风机排尽吸收后，再进行检修，同时需佩戴个人防护用具。</w:t>
            </w:r>
          </w:p>
          <w:p w14:paraId="2E82A2E8">
            <w:pPr>
              <w:ind w:firstLine="480" w:firstLineChars="200"/>
              <w:rPr>
                <w:color w:val="auto"/>
                <w:szCs w:val="24"/>
              </w:rPr>
            </w:pPr>
            <w:r>
              <w:rPr>
                <w:rFonts w:hint="eastAsia"/>
                <w:color w:val="auto"/>
                <w:szCs w:val="24"/>
              </w:rPr>
              <w:t>D</w:t>
            </w:r>
            <w:r>
              <w:rPr>
                <w:color w:val="auto"/>
                <w:szCs w:val="24"/>
              </w:rPr>
              <w:t>.</w:t>
            </w:r>
            <w:r>
              <w:rPr>
                <w:rFonts w:hint="eastAsia"/>
                <w:color w:val="auto"/>
                <w:szCs w:val="24"/>
              </w:rPr>
              <w:t>建立健全环保机制，对管理人员和技术人员进行岗位培训，对废气处理实行全过程跟踪控制。</w:t>
            </w:r>
          </w:p>
          <w:p w14:paraId="701D233E">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3 \* GB3</w:instrText>
            </w:r>
            <w:r>
              <w:rPr>
                <w:color w:val="auto"/>
                <w:szCs w:val="24"/>
              </w:rPr>
              <w:instrText xml:space="preserve"> </w:instrText>
            </w:r>
            <w:r>
              <w:rPr>
                <w:color w:val="auto"/>
                <w:szCs w:val="24"/>
              </w:rPr>
              <w:fldChar w:fldCharType="separate"/>
            </w:r>
            <w:r>
              <w:rPr>
                <w:rFonts w:hint="eastAsia"/>
                <w:color w:val="auto"/>
                <w:szCs w:val="24"/>
              </w:rPr>
              <w:t>③</w:t>
            </w:r>
            <w:r>
              <w:rPr>
                <w:color w:val="auto"/>
                <w:szCs w:val="24"/>
              </w:rPr>
              <w:fldChar w:fldCharType="end"/>
            </w:r>
            <w:r>
              <w:rPr>
                <w:rFonts w:hint="eastAsia"/>
                <w:color w:val="auto"/>
                <w:szCs w:val="24"/>
              </w:rPr>
              <w:t>物料泄漏防范及应急处理</w:t>
            </w:r>
          </w:p>
          <w:p w14:paraId="305B7F7F">
            <w:pPr>
              <w:ind w:firstLine="480" w:firstLineChars="200"/>
              <w:rPr>
                <w:color w:val="auto"/>
                <w:szCs w:val="24"/>
              </w:rPr>
            </w:pPr>
            <w:r>
              <w:rPr>
                <w:rFonts w:hint="eastAsia"/>
                <w:color w:val="auto"/>
                <w:szCs w:val="24"/>
              </w:rPr>
              <w:t>本项目产生的危险废物主要为</w:t>
            </w:r>
            <w:r>
              <w:rPr>
                <w:rFonts w:hint="eastAsia"/>
                <w:color w:val="auto"/>
                <w:szCs w:val="24"/>
                <w:lang w:val="en-US" w:eastAsia="zh-CN"/>
              </w:rPr>
              <w:t>铝灰渣、废润滑油、废切削液</w:t>
            </w:r>
            <w:r>
              <w:rPr>
                <w:rFonts w:hint="eastAsia"/>
                <w:color w:val="auto"/>
                <w:szCs w:val="24"/>
              </w:rPr>
              <w:t>。一旦出现</w:t>
            </w:r>
            <w:r>
              <w:rPr>
                <w:rFonts w:hint="eastAsia"/>
                <w:color w:val="auto"/>
                <w:szCs w:val="24"/>
                <w:lang w:val="en-US" w:eastAsia="zh-CN"/>
              </w:rPr>
              <w:t>危废</w:t>
            </w:r>
            <w:r>
              <w:rPr>
                <w:rFonts w:hint="eastAsia"/>
                <w:color w:val="auto"/>
                <w:szCs w:val="24"/>
              </w:rPr>
              <w:t>泄漏</w:t>
            </w:r>
            <w:r>
              <w:rPr>
                <w:rFonts w:hint="eastAsia"/>
                <w:color w:val="auto"/>
                <w:szCs w:val="24"/>
                <w:lang w:val="en-US" w:eastAsia="zh-CN"/>
              </w:rPr>
              <w:t>引发火灾等次生污染</w:t>
            </w:r>
            <w:r>
              <w:rPr>
                <w:rFonts w:hint="eastAsia"/>
                <w:color w:val="auto"/>
                <w:szCs w:val="24"/>
              </w:rPr>
              <w:t>的情形，其产生的危害较大。因此，建设单位应做到如下要求：</w:t>
            </w:r>
          </w:p>
          <w:p w14:paraId="2992C196">
            <w:pPr>
              <w:ind w:firstLine="480" w:firstLineChars="200"/>
              <w:rPr>
                <w:color w:val="auto"/>
                <w:szCs w:val="24"/>
              </w:rPr>
            </w:pPr>
            <w:r>
              <w:rPr>
                <w:rFonts w:hint="eastAsia"/>
                <w:color w:val="auto"/>
                <w:szCs w:val="24"/>
              </w:rPr>
              <w:t>A.危废库地面、裙角等按照《危险废物贮存污染控制标准》(GB18597-2023)中相关要求进行建设；</w:t>
            </w:r>
          </w:p>
          <w:p w14:paraId="6443D526">
            <w:pPr>
              <w:ind w:firstLine="480" w:firstLineChars="200"/>
              <w:rPr>
                <w:color w:val="auto"/>
                <w:szCs w:val="24"/>
              </w:rPr>
            </w:pPr>
            <w:r>
              <w:rPr>
                <w:rFonts w:hint="eastAsia"/>
                <w:color w:val="auto"/>
                <w:szCs w:val="24"/>
              </w:rPr>
              <w:t>B.危废库安排专人管理，并记录台账；</w:t>
            </w:r>
          </w:p>
          <w:p w14:paraId="351B155E">
            <w:pPr>
              <w:ind w:firstLine="480" w:firstLineChars="200"/>
              <w:rPr>
                <w:color w:val="auto"/>
                <w:szCs w:val="24"/>
              </w:rPr>
            </w:pPr>
            <w:r>
              <w:rPr>
                <w:rFonts w:hint="eastAsia"/>
                <w:color w:val="auto"/>
                <w:szCs w:val="24"/>
              </w:rPr>
              <w:t>C.各桶装危废应置于托盘内，托盘有效容量应能满足单桶物料泄漏的容纳能力；</w:t>
            </w:r>
          </w:p>
          <w:p w14:paraId="3715B482">
            <w:pPr>
              <w:ind w:firstLine="480" w:firstLineChars="200"/>
              <w:rPr>
                <w:color w:val="auto"/>
                <w:szCs w:val="24"/>
              </w:rPr>
            </w:pPr>
            <w:r>
              <w:rPr>
                <w:rFonts w:hint="eastAsia"/>
                <w:color w:val="auto"/>
                <w:szCs w:val="24"/>
              </w:rPr>
              <w:t>D.桶装危废单层码放，禁止多层堆叠；</w:t>
            </w:r>
          </w:p>
          <w:p w14:paraId="494D2B96">
            <w:pPr>
              <w:ind w:firstLine="480" w:firstLineChars="200"/>
              <w:rPr>
                <w:color w:val="auto"/>
                <w:szCs w:val="24"/>
              </w:rPr>
            </w:pPr>
            <w:r>
              <w:rPr>
                <w:rFonts w:hint="eastAsia"/>
                <w:color w:val="auto"/>
                <w:szCs w:val="24"/>
              </w:rPr>
              <w:t>E.危废库贮存能力有限，当库存量达到转运要求时，即与危废处置单位联系外运处置；</w:t>
            </w:r>
          </w:p>
          <w:p w14:paraId="20FE297D">
            <w:pPr>
              <w:ind w:firstLine="480" w:firstLineChars="200"/>
              <w:rPr>
                <w:color w:val="auto"/>
                <w:szCs w:val="24"/>
              </w:rPr>
            </w:pPr>
            <w:r>
              <w:rPr>
                <w:rFonts w:hint="eastAsia"/>
                <w:color w:val="auto"/>
                <w:szCs w:val="24"/>
              </w:rPr>
              <w:t>F.加强危废的转运管理，避免转移过程出现倾倒。</w:t>
            </w:r>
          </w:p>
          <w:p w14:paraId="43ED6E87">
            <w:pPr>
              <w:ind w:firstLine="480" w:firstLineChars="200"/>
              <w:rPr>
                <w:color w:val="auto"/>
                <w:szCs w:val="24"/>
              </w:rPr>
            </w:pPr>
            <w:r>
              <w:rPr>
                <w:color w:val="auto"/>
                <w:szCs w:val="24"/>
              </w:rPr>
              <w:fldChar w:fldCharType="begin"/>
            </w:r>
            <w:r>
              <w:rPr>
                <w:color w:val="auto"/>
                <w:szCs w:val="24"/>
              </w:rPr>
              <w:instrText xml:space="preserve"> </w:instrText>
            </w:r>
            <w:r>
              <w:rPr>
                <w:rFonts w:hint="eastAsia"/>
                <w:color w:val="auto"/>
                <w:szCs w:val="24"/>
              </w:rPr>
              <w:instrText xml:space="preserve">= 4 \* GB3</w:instrText>
            </w:r>
            <w:r>
              <w:rPr>
                <w:color w:val="auto"/>
                <w:szCs w:val="24"/>
              </w:rPr>
              <w:instrText xml:space="preserve"> </w:instrText>
            </w:r>
            <w:r>
              <w:rPr>
                <w:color w:val="auto"/>
                <w:szCs w:val="24"/>
              </w:rPr>
              <w:fldChar w:fldCharType="separate"/>
            </w:r>
            <w:r>
              <w:rPr>
                <w:rFonts w:hint="eastAsia"/>
                <w:color w:val="auto"/>
                <w:szCs w:val="24"/>
              </w:rPr>
              <w:t>④</w:t>
            </w:r>
            <w:r>
              <w:rPr>
                <w:color w:val="auto"/>
                <w:szCs w:val="24"/>
              </w:rPr>
              <w:fldChar w:fldCharType="end"/>
            </w:r>
            <w:r>
              <w:rPr>
                <w:rFonts w:hint="eastAsia"/>
                <w:color w:val="auto"/>
                <w:szCs w:val="24"/>
                <w:lang w:val="en-US" w:eastAsia="zh-CN"/>
              </w:rPr>
              <w:t>泄露、</w:t>
            </w:r>
            <w:r>
              <w:rPr>
                <w:rFonts w:hint="eastAsia"/>
                <w:color w:val="auto"/>
                <w:szCs w:val="24"/>
              </w:rPr>
              <w:t>火灾应急、减缓措施</w:t>
            </w:r>
          </w:p>
          <w:p w14:paraId="2EDF382C">
            <w:pPr>
              <w:ind w:left="240" w:leftChars="100" w:firstLine="240" w:firstLineChars="100"/>
              <w:rPr>
                <w:color w:val="auto"/>
                <w:szCs w:val="24"/>
              </w:rPr>
            </w:pPr>
            <w:r>
              <w:rPr>
                <w:rFonts w:hint="eastAsia"/>
                <w:color w:val="auto"/>
                <w:szCs w:val="24"/>
                <w:lang w:val="en-US" w:eastAsia="zh-CN"/>
              </w:rPr>
              <w:t>项目物料一旦发生物料泄露，立即采用砂土进行围挡，将泄露液体及时收集处理；</w:t>
            </w:r>
            <w:r>
              <w:rPr>
                <w:rFonts w:hint="eastAsia"/>
                <w:color w:val="auto"/>
                <w:szCs w:val="24"/>
              </w:rPr>
              <w:t>一旦出现火灾情形，依托配套的烟雾报警器和紧急喷淋系统，可有效的降低火灾造成的危害。同时，项目区域各处应合理、充足的配备相关消防应急器材，并加强员工的安全培训，积极开展消防应急演练。</w:t>
            </w:r>
          </w:p>
          <w:p w14:paraId="1FCC0CBF">
            <w:pPr>
              <w:ind w:firstLine="480" w:firstLineChars="200"/>
              <w:rPr>
                <w:color w:val="auto"/>
                <w:szCs w:val="24"/>
              </w:rPr>
            </w:pPr>
            <w:r>
              <w:rPr>
                <w:rFonts w:hint="eastAsia"/>
                <w:color w:val="auto"/>
                <w:szCs w:val="24"/>
              </w:rPr>
              <w:t>化学品存放应遵循如下原则：</w:t>
            </w:r>
          </w:p>
          <w:p w14:paraId="2582D2AA">
            <w:pPr>
              <w:ind w:firstLine="480" w:firstLineChars="200"/>
              <w:rPr>
                <w:color w:val="auto"/>
                <w:szCs w:val="24"/>
              </w:rPr>
            </w:pPr>
            <w:r>
              <w:rPr>
                <w:rFonts w:hint="eastAsia"/>
                <w:color w:val="auto"/>
                <w:szCs w:val="24"/>
              </w:rPr>
              <w:t>A.严禁不相容化学品一起存放；</w:t>
            </w:r>
          </w:p>
          <w:p w14:paraId="25F885E8">
            <w:pPr>
              <w:ind w:firstLine="480" w:firstLineChars="200"/>
              <w:rPr>
                <w:color w:val="auto"/>
                <w:szCs w:val="24"/>
              </w:rPr>
            </w:pPr>
            <w:r>
              <w:rPr>
                <w:rFonts w:hint="eastAsia"/>
                <w:color w:val="auto"/>
                <w:szCs w:val="24"/>
              </w:rPr>
              <w:t>B.电箱附近严禁放置易燃化学品；</w:t>
            </w:r>
          </w:p>
          <w:p w14:paraId="25978A38">
            <w:pPr>
              <w:ind w:firstLine="480" w:firstLineChars="200"/>
              <w:rPr>
                <w:color w:val="auto"/>
                <w:szCs w:val="24"/>
              </w:rPr>
            </w:pPr>
            <w:r>
              <w:rPr>
                <w:rFonts w:hint="eastAsia"/>
                <w:color w:val="auto"/>
                <w:szCs w:val="24"/>
              </w:rPr>
              <w:t>C.注意各化学品的保存条件，必要时恒温、恒湿保存。</w:t>
            </w:r>
          </w:p>
          <w:p w14:paraId="6198900D">
            <w:pPr>
              <w:ind w:firstLine="480" w:firstLineChars="200"/>
              <w:rPr>
                <w:color w:val="auto"/>
                <w:szCs w:val="24"/>
              </w:rPr>
            </w:pPr>
            <w:r>
              <w:rPr>
                <w:rFonts w:hint="eastAsia"/>
                <w:color w:val="auto"/>
                <w:szCs w:val="24"/>
              </w:rPr>
              <w:t>⑤应急物资</w:t>
            </w:r>
          </w:p>
          <w:p w14:paraId="67522AF3">
            <w:pPr>
              <w:ind w:firstLine="480" w:firstLineChars="200"/>
              <w:rPr>
                <w:rFonts w:hint="eastAsia"/>
                <w:color w:val="auto"/>
                <w:szCs w:val="24"/>
              </w:rPr>
            </w:pPr>
            <w:r>
              <w:rPr>
                <w:rFonts w:hint="eastAsia"/>
                <w:color w:val="auto"/>
                <w:szCs w:val="24"/>
              </w:rPr>
              <w:t>建设单位应按照消防要求配备火灾事故相应应急设施、设备，主要为消防器材等，车间周围设消防管网及消火栓，确保事故状态下能够尽快消除事故源、安全撤离。</w:t>
            </w:r>
          </w:p>
          <w:p w14:paraId="3598D8A1">
            <w:pPr>
              <w:ind w:firstLine="480" w:firstLineChars="200"/>
              <w:rPr>
                <w:rFonts w:hint="default" w:eastAsia="宋体"/>
                <w:color w:val="auto"/>
                <w:szCs w:val="24"/>
                <w:lang w:val="en-US" w:eastAsia="zh-CN"/>
              </w:rPr>
            </w:pPr>
            <w:r>
              <w:rPr>
                <w:rFonts w:hint="eastAsia"/>
                <w:color w:val="auto"/>
                <w:szCs w:val="24"/>
                <w:lang w:val="en-US" w:eastAsia="zh-CN"/>
              </w:rPr>
              <w:t>⑥事故</w:t>
            </w:r>
            <w:r>
              <w:rPr>
                <w:rFonts w:hint="eastAsia"/>
                <w:color w:val="auto"/>
                <w:szCs w:val="24"/>
                <w:lang w:eastAsia="zh-CN"/>
              </w:rPr>
              <w:t>废水</w:t>
            </w:r>
            <w:r>
              <w:rPr>
                <w:rFonts w:hint="eastAsia"/>
                <w:color w:val="auto"/>
                <w:szCs w:val="24"/>
                <w:lang w:val="en-US" w:eastAsia="zh-CN"/>
              </w:rPr>
              <w:t>收集</w:t>
            </w:r>
          </w:p>
          <w:p w14:paraId="312E52AA">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根据中国石油天然气集团公司企业标准《事故状态下水体污染的预防与控制技术要求》（Q/SY 1190-2013），事故储存设施总有效容积计算依据：</w:t>
            </w:r>
          </w:p>
          <w:p w14:paraId="60372AF5">
            <w:pPr>
              <w:widowControl w:val="0"/>
              <w:spacing w:line="360" w:lineRule="auto"/>
              <w:ind w:firstLine="48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drawing>
                <wp:inline distT="0" distB="0" distL="114300" distR="114300">
                  <wp:extent cx="2428875" cy="295275"/>
                  <wp:effectExtent l="0" t="0" r="9525" b="762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41"/>
                          <a:stretch>
                            <a:fillRect/>
                          </a:stretch>
                        </pic:blipFill>
                        <pic:spPr>
                          <a:xfrm>
                            <a:off x="0" y="0"/>
                            <a:ext cx="2428875" cy="295275"/>
                          </a:xfrm>
                          <a:prstGeom prst="rect">
                            <a:avLst/>
                          </a:prstGeom>
                          <a:noFill/>
                          <a:ln>
                            <a:noFill/>
                          </a:ln>
                        </pic:spPr>
                      </pic:pic>
                    </a:graphicData>
                  </a:graphic>
                </wp:inline>
              </w:drawing>
            </w:r>
          </w:p>
          <w:p w14:paraId="48E4AD48">
            <w:pPr>
              <w:ind w:firstLine="480" w:firstLineChars="200"/>
              <w:jc w:val="center"/>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2</w:t>
            </w:r>
            <w:r>
              <w:rPr>
                <w:rFonts w:hint="default" w:ascii="Times New Roman" w:hAnsi="Times New Roman" w:eastAsia="宋体" w:cs="Times New Roman"/>
                <w:color w:val="auto"/>
                <w:szCs w:val="24"/>
              </w:rPr>
              <w:t>=∑Q消·t消</w:t>
            </w:r>
          </w:p>
          <w:p w14:paraId="53BB190C">
            <w:pPr>
              <w:ind w:firstLine="480" w:firstLineChars="200"/>
              <w:jc w:val="center"/>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5</w:t>
            </w:r>
            <w:r>
              <w:rPr>
                <w:rFonts w:hint="default" w:ascii="Times New Roman" w:hAnsi="Times New Roman" w:eastAsia="宋体" w:cs="Times New Roman"/>
                <w:color w:val="auto"/>
                <w:szCs w:val="24"/>
              </w:rPr>
              <w:t>=10q·f</w:t>
            </w:r>
          </w:p>
          <w:p w14:paraId="6986D647">
            <w:pPr>
              <w:ind w:firstLine="480" w:firstLineChars="200"/>
              <w:jc w:val="center"/>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q=q</w:t>
            </w:r>
            <w:r>
              <w:rPr>
                <w:rFonts w:hint="default" w:ascii="Times New Roman" w:hAnsi="Times New Roman" w:eastAsia="宋体" w:cs="Times New Roman"/>
                <w:color w:val="auto"/>
                <w:szCs w:val="24"/>
                <w:vertAlign w:val="subscript"/>
              </w:rPr>
              <w:t>a</w:t>
            </w:r>
            <w:r>
              <w:rPr>
                <w:rFonts w:hint="default" w:ascii="Times New Roman" w:hAnsi="Times New Roman" w:eastAsia="宋体" w:cs="Times New Roman"/>
                <w:color w:val="auto"/>
                <w:szCs w:val="24"/>
              </w:rPr>
              <w:t>/n</w:t>
            </w:r>
          </w:p>
          <w:p w14:paraId="453F719C">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式中：</w:t>
            </w:r>
          </w:p>
          <w:p w14:paraId="04837FCC">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1</w:t>
            </w:r>
            <w:r>
              <w:rPr>
                <w:rFonts w:hint="default" w:ascii="Times New Roman" w:hAnsi="Times New Roman" w:eastAsia="宋体" w:cs="Times New Roman"/>
                <w:color w:val="auto"/>
                <w:szCs w:val="24"/>
              </w:rPr>
              <w:t>—收集系统范围内发生事故的物料量，m</w:t>
            </w:r>
            <w:r>
              <w:rPr>
                <w:rFonts w:hint="default" w:ascii="Times New Roman" w:hAnsi="Times New Roman" w:eastAsia="宋体" w:cs="Times New Roman"/>
                <w:color w:val="auto"/>
                <w:szCs w:val="24"/>
                <w:vertAlign w:val="superscript"/>
              </w:rPr>
              <w:t>3</w:t>
            </w:r>
            <w:r>
              <w:rPr>
                <w:rFonts w:hint="default" w:ascii="Times New Roman" w:hAnsi="Times New Roman" w:eastAsia="宋体" w:cs="Times New Roman"/>
                <w:color w:val="auto"/>
                <w:szCs w:val="24"/>
              </w:rPr>
              <w:t>；</w:t>
            </w:r>
          </w:p>
          <w:p w14:paraId="1740B569">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2</w:t>
            </w:r>
            <w:r>
              <w:rPr>
                <w:rFonts w:hint="default" w:ascii="Times New Roman" w:hAnsi="Times New Roman" w:eastAsia="宋体" w:cs="Times New Roman"/>
                <w:color w:val="auto"/>
                <w:szCs w:val="24"/>
              </w:rPr>
              <w:t>—发生事故的储罐、装置或铁路、汽车装卸区的消防水量，m</w:t>
            </w:r>
            <w:r>
              <w:rPr>
                <w:rFonts w:hint="default" w:ascii="Times New Roman" w:hAnsi="Times New Roman" w:eastAsia="宋体" w:cs="Times New Roman"/>
                <w:color w:val="auto"/>
                <w:szCs w:val="24"/>
                <w:vertAlign w:val="superscript"/>
              </w:rPr>
              <w:t>3</w:t>
            </w:r>
            <w:r>
              <w:rPr>
                <w:rFonts w:hint="default" w:ascii="Times New Roman" w:hAnsi="Times New Roman" w:eastAsia="宋体" w:cs="Times New Roman"/>
                <w:color w:val="auto"/>
                <w:szCs w:val="24"/>
              </w:rPr>
              <w:t>；</w:t>
            </w:r>
          </w:p>
          <w:p w14:paraId="0BE457F4">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Q消—发生事故的储罐、装置或铁路、汽车装卸区同时使用的消防设施给谁水量，m</w:t>
            </w:r>
            <w:r>
              <w:rPr>
                <w:rFonts w:hint="default" w:ascii="Times New Roman" w:hAnsi="Times New Roman" w:eastAsia="宋体" w:cs="Times New Roman"/>
                <w:color w:val="auto"/>
                <w:szCs w:val="24"/>
                <w:vertAlign w:val="superscript"/>
              </w:rPr>
              <w:t>3</w:t>
            </w:r>
            <w:r>
              <w:rPr>
                <w:rFonts w:hint="default" w:ascii="Times New Roman" w:hAnsi="Times New Roman" w:eastAsia="宋体" w:cs="Times New Roman"/>
                <w:color w:val="auto"/>
                <w:szCs w:val="24"/>
              </w:rPr>
              <w:t>/h；</w:t>
            </w:r>
          </w:p>
          <w:p w14:paraId="6E470071">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T消—消防设施对应的设计消防历时，h；</w:t>
            </w:r>
          </w:p>
          <w:p w14:paraId="75E54C09">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3</w:t>
            </w:r>
            <w:r>
              <w:rPr>
                <w:rFonts w:hint="default" w:ascii="Times New Roman" w:hAnsi="Times New Roman" w:eastAsia="宋体" w:cs="Times New Roman"/>
                <w:color w:val="auto"/>
                <w:szCs w:val="24"/>
              </w:rPr>
              <w:t>—发生事故时可以转输到其他储存或处理设施的物料量，m</w:t>
            </w:r>
            <w:r>
              <w:rPr>
                <w:rFonts w:hint="default" w:ascii="Times New Roman" w:hAnsi="Times New Roman" w:eastAsia="宋体" w:cs="Times New Roman"/>
                <w:color w:val="auto"/>
                <w:szCs w:val="24"/>
                <w:vertAlign w:val="superscript"/>
              </w:rPr>
              <w:t>3</w:t>
            </w:r>
            <w:r>
              <w:rPr>
                <w:rFonts w:hint="default" w:ascii="Times New Roman" w:hAnsi="Times New Roman" w:eastAsia="宋体" w:cs="Times New Roman"/>
                <w:color w:val="auto"/>
                <w:szCs w:val="24"/>
              </w:rPr>
              <w:t>；</w:t>
            </w:r>
          </w:p>
          <w:p w14:paraId="5FEC4FC2">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4</w:t>
            </w:r>
            <w:r>
              <w:rPr>
                <w:rFonts w:hint="default" w:ascii="Times New Roman" w:hAnsi="Times New Roman" w:eastAsia="宋体" w:cs="Times New Roman"/>
                <w:color w:val="auto"/>
                <w:szCs w:val="24"/>
              </w:rPr>
              <w:t>—发生事故时仍必须进入该收集系统的生产废水量，m</w:t>
            </w:r>
            <w:r>
              <w:rPr>
                <w:rFonts w:hint="default" w:ascii="Times New Roman" w:hAnsi="Times New Roman" w:eastAsia="宋体" w:cs="Times New Roman"/>
                <w:color w:val="auto"/>
                <w:szCs w:val="24"/>
                <w:vertAlign w:val="superscript"/>
              </w:rPr>
              <w:t>3</w:t>
            </w:r>
            <w:r>
              <w:rPr>
                <w:rFonts w:hint="default" w:ascii="Times New Roman" w:hAnsi="Times New Roman" w:eastAsia="宋体" w:cs="Times New Roman"/>
                <w:color w:val="auto"/>
                <w:szCs w:val="24"/>
              </w:rPr>
              <w:t>；</w:t>
            </w:r>
          </w:p>
          <w:p w14:paraId="4ACE5E0B">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V</w:t>
            </w:r>
            <w:r>
              <w:rPr>
                <w:rFonts w:hint="default" w:ascii="Times New Roman" w:hAnsi="Times New Roman" w:eastAsia="宋体" w:cs="Times New Roman"/>
                <w:color w:val="auto"/>
                <w:szCs w:val="24"/>
                <w:vertAlign w:val="subscript"/>
              </w:rPr>
              <w:t>5</w:t>
            </w:r>
            <w:r>
              <w:rPr>
                <w:rFonts w:hint="default" w:ascii="Times New Roman" w:hAnsi="Times New Roman" w:eastAsia="宋体" w:cs="Times New Roman"/>
                <w:color w:val="auto"/>
                <w:szCs w:val="24"/>
              </w:rPr>
              <w:t>—发生事故时可能进入该收集系统的降雨量，m</w:t>
            </w:r>
            <w:r>
              <w:rPr>
                <w:rFonts w:hint="default" w:ascii="Times New Roman" w:hAnsi="Times New Roman" w:eastAsia="宋体" w:cs="Times New Roman"/>
                <w:color w:val="auto"/>
                <w:szCs w:val="24"/>
                <w:vertAlign w:val="superscript"/>
              </w:rPr>
              <w:t>3</w:t>
            </w:r>
            <w:r>
              <w:rPr>
                <w:rFonts w:hint="default" w:ascii="Times New Roman" w:hAnsi="Times New Roman" w:eastAsia="宋体" w:cs="Times New Roman"/>
                <w:color w:val="auto"/>
                <w:szCs w:val="24"/>
              </w:rPr>
              <w:t>；</w:t>
            </w:r>
          </w:p>
          <w:p w14:paraId="55EF25C7">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q—降雨强度，按平均日降雨量，mm；</w:t>
            </w:r>
          </w:p>
          <w:p w14:paraId="17AEA20D">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q</w:t>
            </w:r>
            <w:r>
              <w:rPr>
                <w:rFonts w:hint="default" w:ascii="Times New Roman" w:hAnsi="Times New Roman" w:eastAsia="宋体" w:cs="Times New Roman"/>
                <w:color w:val="auto"/>
                <w:szCs w:val="24"/>
                <w:vertAlign w:val="subscript"/>
              </w:rPr>
              <w:t>a</w:t>
            </w:r>
            <w:r>
              <w:rPr>
                <w:rFonts w:hint="default" w:ascii="Times New Roman" w:hAnsi="Times New Roman" w:eastAsia="宋体" w:cs="Times New Roman"/>
                <w:color w:val="auto"/>
                <w:szCs w:val="24"/>
              </w:rPr>
              <w:t>—年平均降雨量，mm；</w:t>
            </w:r>
          </w:p>
          <w:p w14:paraId="46BBA371">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n—年平均降雨日数；</w:t>
            </w:r>
          </w:p>
          <w:p w14:paraId="4FE07294">
            <w:pPr>
              <w:ind w:firstLine="480" w:firstLineChars="20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f—必须进入事故废水收集系统的雨水汇水面积。</w:t>
            </w:r>
          </w:p>
          <w:p w14:paraId="6208EF22">
            <w:pPr>
              <w:ind w:firstLine="480" w:firstLineChars="200"/>
              <w:rPr>
                <w:rFonts w:hint="eastAsia"/>
                <w:color w:val="auto"/>
                <w:szCs w:val="24"/>
                <w:lang w:val="en-US" w:eastAsia="zh-CN"/>
              </w:rPr>
            </w:pPr>
            <w:bookmarkStart w:id="73" w:name="OLE_LINK15"/>
            <w:r>
              <w:rPr>
                <w:rFonts w:hint="eastAsia" w:cs="Times New Roman"/>
                <w:color w:val="auto"/>
                <w:szCs w:val="24"/>
                <w:lang w:val="en-US" w:eastAsia="zh-CN"/>
              </w:rPr>
              <w:t>本项目事故废水</w:t>
            </w:r>
            <w:r>
              <w:rPr>
                <w:rFonts w:hint="eastAsia" w:ascii="Times New Roman" w:hAnsi="Times New Roman" w:eastAsia="宋体" w:cs="Times New Roman"/>
                <w:color w:val="auto"/>
                <w:szCs w:val="24"/>
                <w:lang w:val="en-US" w:eastAsia="zh-CN"/>
              </w:rPr>
              <w:t>依托</w:t>
            </w:r>
            <w:r>
              <w:rPr>
                <w:rFonts w:hint="eastAsia" w:cs="Times New Roman"/>
                <w:color w:val="auto"/>
                <w:szCs w:val="24"/>
                <w:lang w:val="en-US" w:eastAsia="zh-CN"/>
              </w:rPr>
              <w:t>现有安安厂区</w:t>
            </w:r>
            <w:r>
              <w:rPr>
                <w:rFonts w:hint="eastAsia" w:ascii="Times New Roman" w:hAnsi="Times New Roman" w:eastAsia="宋体" w:cs="Times New Roman"/>
                <w:color w:val="auto"/>
                <w:szCs w:val="24"/>
                <w:lang w:val="en-US" w:eastAsia="zh-CN"/>
              </w:rPr>
              <w:t>事故池，安产业园现有一座容积为</w:t>
            </w:r>
            <w:r>
              <w:rPr>
                <w:rFonts w:hint="eastAsia" w:cs="Times New Roman"/>
                <w:color w:val="auto"/>
                <w:szCs w:val="24"/>
                <w:lang w:val="en-US" w:eastAsia="zh-CN"/>
              </w:rPr>
              <w:t>27</w:t>
            </w:r>
            <w:r>
              <w:rPr>
                <w:rFonts w:hint="eastAsia" w:ascii="Times New Roman" w:hAnsi="Times New Roman" w:eastAsia="宋体" w:cs="Times New Roman"/>
                <w:color w:val="auto"/>
                <w:szCs w:val="24"/>
                <w:lang w:val="en-US" w:eastAsia="zh-CN"/>
              </w:rPr>
              <w:t>0m</w:t>
            </w:r>
            <w:r>
              <w:rPr>
                <w:rFonts w:hint="eastAsia" w:ascii="Times New Roman" w:hAnsi="Times New Roman" w:eastAsia="宋体" w:cs="Times New Roman"/>
                <w:color w:val="auto"/>
                <w:szCs w:val="24"/>
                <w:vertAlign w:val="superscript"/>
                <w:lang w:val="en-US" w:eastAsia="zh-CN"/>
              </w:rPr>
              <w:t>3</w:t>
            </w:r>
            <w:r>
              <w:rPr>
                <w:rFonts w:hint="eastAsia" w:ascii="Times New Roman" w:hAnsi="Times New Roman" w:eastAsia="宋体" w:cs="Times New Roman"/>
                <w:color w:val="auto"/>
                <w:szCs w:val="24"/>
                <w:lang w:val="en-US" w:eastAsia="zh-CN"/>
              </w:rPr>
              <w:t>的事故池，</w:t>
            </w:r>
            <w:r>
              <w:rPr>
                <w:rFonts w:hint="eastAsia" w:cs="Times New Roman"/>
                <w:color w:val="auto"/>
                <w:szCs w:val="24"/>
                <w:lang w:val="en-US" w:eastAsia="zh-CN"/>
              </w:rPr>
              <w:t>现有事故池容积按照全厂区作为汇水面积计算，可容纳全厂事故废水；本项目</w:t>
            </w:r>
            <w:r>
              <w:rPr>
                <w:rFonts w:hint="eastAsia" w:ascii="Times New Roman" w:hAnsi="Times New Roman" w:eastAsia="宋体" w:cs="Times New Roman"/>
                <w:color w:val="auto"/>
                <w:szCs w:val="24"/>
                <w:lang w:val="en-US" w:eastAsia="zh-CN"/>
              </w:rPr>
              <w:t>车间四周均设置导流沟，若发生危废泄露等危险事故，事故废水可经导流沟自流进入事故水池</w:t>
            </w:r>
            <w:r>
              <w:rPr>
                <w:rFonts w:hint="eastAsia" w:cs="Times New Roman"/>
                <w:color w:val="auto"/>
                <w:szCs w:val="24"/>
                <w:lang w:eastAsia="zh-CN"/>
              </w:rPr>
              <w:t>，</w:t>
            </w:r>
            <w:r>
              <w:rPr>
                <w:rFonts w:hint="eastAsia" w:cs="Times New Roman"/>
                <w:color w:val="auto"/>
                <w:szCs w:val="24"/>
                <w:lang w:val="en-US" w:eastAsia="zh-CN"/>
              </w:rPr>
              <w:t>即现有27</w:t>
            </w:r>
            <w:r>
              <w:rPr>
                <w:rFonts w:hint="eastAsia" w:ascii="Times New Roman" w:hAnsi="Times New Roman" w:eastAsia="宋体" w:cs="Times New Roman"/>
                <w:color w:val="auto"/>
                <w:szCs w:val="24"/>
                <w:lang w:val="en-US" w:eastAsia="zh-CN"/>
              </w:rPr>
              <w:t>0m</w:t>
            </w:r>
            <w:r>
              <w:rPr>
                <w:rFonts w:hint="eastAsia" w:ascii="Times New Roman" w:hAnsi="Times New Roman" w:eastAsia="宋体" w:cs="Times New Roman"/>
                <w:color w:val="auto"/>
                <w:szCs w:val="24"/>
                <w:vertAlign w:val="superscript"/>
                <w:lang w:val="en-US" w:eastAsia="zh-CN"/>
              </w:rPr>
              <w:t>3</w:t>
            </w:r>
            <w:r>
              <w:rPr>
                <w:rFonts w:hint="eastAsia" w:ascii="Times New Roman" w:hAnsi="Times New Roman" w:eastAsia="宋体" w:cs="Times New Roman"/>
                <w:color w:val="auto"/>
                <w:szCs w:val="24"/>
                <w:lang w:val="en-US" w:eastAsia="zh-CN"/>
              </w:rPr>
              <w:t>的事故池可满足</w:t>
            </w:r>
            <w:r>
              <w:rPr>
                <w:rFonts w:hint="eastAsia" w:cs="Times New Roman"/>
                <w:color w:val="auto"/>
                <w:szCs w:val="24"/>
                <w:lang w:val="en-US" w:eastAsia="zh-CN"/>
              </w:rPr>
              <w:t>本</w:t>
            </w:r>
            <w:r>
              <w:rPr>
                <w:rFonts w:hint="eastAsia" w:ascii="Times New Roman" w:hAnsi="Times New Roman" w:eastAsia="宋体" w:cs="Times New Roman"/>
                <w:color w:val="auto"/>
                <w:szCs w:val="24"/>
                <w:lang w:val="en-US" w:eastAsia="zh-CN"/>
              </w:rPr>
              <w:t>项目事故状态的废水、废液的收集</w:t>
            </w:r>
            <w:bookmarkEnd w:id="73"/>
            <w:r>
              <w:rPr>
                <w:rFonts w:hint="eastAsia" w:cs="Times New Roman"/>
                <w:color w:val="auto"/>
                <w:szCs w:val="24"/>
                <w:lang w:val="en-US" w:eastAsia="zh-CN"/>
              </w:rPr>
              <w:t>，</w:t>
            </w:r>
            <w:r>
              <w:rPr>
                <w:rFonts w:hint="default" w:ascii="Times New Roman" w:hAnsi="Times New Roman" w:eastAsia="宋体" w:cs="Times New Roman"/>
                <w:color w:val="auto"/>
                <w:szCs w:val="24"/>
              </w:rPr>
              <w:t>可以做到事故废水不外排，避免了对区域地表水环境造成的事故影响。</w:t>
            </w:r>
          </w:p>
          <w:p w14:paraId="589F127B">
            <w:pPr>
              <w:ind w:firstLine="480" w:firstLineChars="200"/>
              <w:rPr>
                <w:color w:val="auto"/>
                <w:szCs w:val="24"/>
              </w:rPr>
            </w:pPr>
            <w:r>
              <w:rPr>
                <w:rFonts w:hint="eastAsia"/>
                <w:color w:val="auto"/>
                <w:szCs w:val="24"/>
                <w:lang w:val="en-US" w:eastAsia="zh-CN"/>
              </w:rPr>
              <w:t>⑦</w:t>
            </w:r>
            <w:r>
              <w:rPr>
                <w:rFonts w:hint="eastAsia"/>
                <w:color w:val="auto"/>
                <w:szCs w:val="24"/>
              </w:rPr>
              <w:t>事故状态下人员撤离系统</w:t>
            </w:r>
          </w:p>
          <w:p w14:paraId="4083A607">
            <w:pPr>
              <w:ind w:firstLine="480" w:firstLineChars="200"/>
              <w:rPr>
                <w:color w:val="auto"/>
                <w:szCs w:val="24"/>
              </w:rPr>
            </w:pPr>
            <w:r>
              <w:rPr>
                <w:rFonts w:hint="eastAsia"/>
                <w:color w:val="auto"/>
                <w:szCs w:val="24"/>
              </w:rPr>
              <w:t>拟建项目发生火灾爆炸后，建设单位应立即启动紧急预案程序，并及时与地方政府部门联系，启动地方应急预案。</w:t>
            </w:r>
          </w:p>
          <w:p w14:paraId="18EA0D00">
            <w:pPr>
              <w:ind w:firstLine="480" w:firstLineChars="200"/>
              <w:rPr>
                <w:color w:val="auto"/>
                <w:szCs w:val="24"/>
              </w:rPr>
            </w:pPr>
            <w:r>
              <w:rPr>
                <w:rFonts w:hint="eastAsia"/>
                <w:color w:val="auto"/>
                <w:szCs w:val="24"/>
              </w:rPr>
              <w:t>A.立即通知公安、消防、医院，赶往现场，并派有关人员赶赴现场指挥、协助居民撤离；</w:t>
            </w:r>
          </w:p>
          <w:p w14:paraId="27D93182">
            <w:pPr>
              <w:ind w:firstLine="480" w:firstLineChars="200"/>
              <w:rPr>
                <w:color w:val="auto"/>
                <w:szCs w:val="24"/>
              </w:rPr>
            </w:pPr>
            <w:r>
              <w:rPr>
                <w:rFonts w:hint="eastAsia"/>
                <w:color w:val="auto"/>
                <w:szCs w:val="24"/>
              </w:rPr>
              <w:t>B.地方政府调动警力封锁事故区域，禁止无关车辆和人员进入救援现场；</w:t>
            </w:r>
          </w:p>
          <w:p w14:paraId="008AAFDB">
            <w:pPr>
              <w:ind w:firstLine="480" w:firstLineChars="200"/>
              <w:rPr>
                <w:color w:val="auto"/>
                <w:szCs w:val="24"/>
              </w:rPr>
            </w:pPr>
            <w:r>
              <w:rPr>
                <w:rFonts w:hint="eastAsia"/>
                <w:color w:val="auto"/>
                <w:szCs w:val="24"/>
              </w:rPr>
              <w:t>C.根据厂区风向标指示的风向，迅速通知危害范围的所有人员撤离至事故源的上风向；</w:t>
            </w:r>
          </w:p>
          <w:p w14:paraId="4876A5F8">
            <w:pPr>
              <w:ind w:firstLine="480" w:firstLineChars="200"/>
              <w:rPr>
                <w:color w:val="auto"/>
                <w:szCs w:val="24"/>
              </w:rPr>
            </w:pPr>
            <w:r>
              <w:rPr>
                <w:rFonts w:hint="eastAsia"/>
                <w:color w:val="auto"/>
                <w:szCs w:val="24"/>
              </w:rPr>
              <w:t>D.建设单位配合地方政府组织做好受伤人员的救治工作；</w:t>
            </w:r>
          </w:p>
          <w:p w14:paraId="11D2CBF5">
            <w:pPr>
              <w:ind w:firstLine="480" w:firstLineChars="200"/>
              <w:rPr>
                <w:rFonts w:hint="eastAsia"/>
                <w:color w:val="auto"/>
                <w:szCs w:val="24"/>
              </w:rPr>
            </w:pPr>
            <w:r>
              <w:rPr>
                <w:rFonts w:hint="eastAsia"/>
                <w:color w:val="auto"/>
                <w:szCs w:val="24"/>
              </w:rPr>
              <w:t>E.及时向各级政府汇报事态情况，得到应急终止通知后，组织撤离人员返回，并配合地方政府做好事故善后处理工作。</w:t>
            </w:r>
          </w:p>
          <w:p w14:paraId="3770EF6E">
            <w:pPr>
              <w:outlineLvl w:val="1"/>
              <w:rPr>
                <w:b/>
                <w:bCs/>
                <w:color w:val="auto"/>
                <w:szCs w:val="24"/>
              </w:rPr>
            </w:pPr>
            <w:r>
              <w:rPr>
                <w:rFonts w:hint="eastAsia"/>
                <w:b/>
                <w:bCs/>
                <w:color w:val="auto"/>
                <w:szCs w:val="24"/>
                <w:lang w:val="en-US" w:eastAsia="zh-CN"/>
              </w:rPr>
              <w:t>3</w:t>
            </w:r>
            <w:r>
              <w:rPr>
                <w:rFonts w:hint="eastAsia"/>
                <w:b/>
                <w:bCs/>
                <w:color w:val="auto"/>
                <w:szCs w:val="24"/>
              </w:rPr>
              <w:t>、分析结论</w:t>
            </w:r>
          </w:p>
          <w:p w14:paraId="1CA97701">
            <w:pPr>
              <w:ind w:firstLine="480" w:firstLineChars="200"/>
              <w:rPr>
                <w:color w:val="auto"/>
                <w:szCs w:val="24"/>
              </w:rPr>
            </w:pPr>
            <w:r>
              <w:rPr>
                <w:rFonts w:hint="eastAsia"/>
                <w:color w:val="auto"/>
                <w:szCs w:val="24"/>
                <w:lang w:val="zh-CN"/>
              </w:rPr>
              <w:t>（1）根据环境风险识别结果，项目建成后主要危险物质为</w:t>
            </w:r>
            <w:r>
              <w:rPr>
                <w:rFonts w:hint="eastAsia"/>
                <w:color w:val="auto"/>
                <w:szCs w:val="24"/>
                <w:lang w:val="en-US" w:eastAsia="zh-CN"/>
              </w:rPr>
              <w:t>润滑油、废润滑油、废切削液</w:t>
            </w:r>
            <w:r>
              <w:rPr>
                <w:rFonts w:hint="eastAsia"/>
                <w:color w:val="auto"/>
                <w:szCs w:val="24"/>
              </w:rPr>
              <w:t>；</w:t>
            </w:r>
          </w:p>
          <w:p w14:paraId="34521C90">
            <w:pPr>
              <w:ind w:firstLine="480" w:firstLineChars="200"/>
              <w:outlineLvl w:val="1"/>
              <w:rPr>
                <w:color w:val="auto"/>
                <w:szCs w:val="24"/>
                <w:lang w:val="zh-CN"/>
              </w:rPr>
            </w:pPr>
            <w:r>
              <w:rPr>
                <w:rFonts w:hint="eastAsia"/>
                <w:color w:val="auto"/>
                <w:szCs w:val="24"/>
                <w:lang w:val="zh-CN"/>
              </w:rPr>
              <w:t>（</w:t>
            </w:r>
            <w:r>
              <w:rPr>
                <w:rFonts w:hint="eastAsia"/>
                <w:color w:val="auto"/>
                <w:szCs w:val="24"/>
              </w:rPr>
              <w:t>2</w:t>
            </w:r>
            <w:r>
              <w:rPr>
                <w:rFonts w:hint="eastAsia"/>
                <w:color w:val="auto"/>
                <w:szCs w:val="24"/>
                <w:lang w:val="zh-CN"/>
              </w:rPr>
              <w:t>）建设单位应按照要求配备厂内事故应急物资，事故发生后立即启动应急措施，控制、削减风险危害，并进行应急跟踪监测，确保事故危害降到最低。</w:t>
            </w:r>
          </w:p>
          <w:p w14:paraId="50C3F5B8">
            <w:pPr>
              <w:ind w:firstLine="480" w:firstLineChars="200"/>
              <w:outlineLvl w:val="1"/>
              <w:rPr>
                <w:rFonts w:hint="eastAsia"/>
                <w:color w:val="auto"/>
              </w:rPr>
            </w:pPr>
            <w:r>
              <w:rPr>
                <w:rFonts w:hint="eastAsia"/>
                <w:color w:val="auto"/>
                <w:szCs w:val="24"/>
                <w:lang w:val="zh-CN"/>
              </w:rPr>
              <w:t>综上所述，本评价认为，拟建项目在整个厂区采取了相应风险防范措施，在落实各项风险防范措施和环境风险事故应急预案的前提下，项目环境风险可防可控。</w:t>
            </w:r>
          </w:p>
          <w:p w14:paraId="79864323">
            <w:pPr>
              <w:outlineLvl w:val="1"/>
              <w:rPr>
                <w:b/>
                <w:bCs/>
                <w:color w:val="auto"/>
                <w:szCs w:val="24"/>
              </w:rPr>
            </w:pPr>
            <w:r>
              <w:rPr>
                <w:rFonts w:hint="eastAsia"/>
                <w:b/>
                <w:bCs/>
                <w:color w:val="auto"/>
                <w:szCs w:val="24"/>
                <w:lang w:val="en-US" w:eastAsia="zh-CN"/>
              </w:rPr>
              <w:t>八、</w:t>
            </w:r>
            <w:r>
              <w:rPr>
                <w:rFonts w:hint="eastAsia"/>
                <w:b/>
                <w:bCs/>
                <w:color w:val="auto"/>
                <w:szCs w:val="24"/>
              </w:rPr>
              <w:t>环境管理及监测计划</w:t>
            </w:r>
          </w:p>
          <w:p w14:paraId="4796FCA5">
            <w:pPr>
              <w:ind w:firstLine="480" w:firstLineChars="200"/>
              <w:rPr>
                <w:rFonts w:hint="eastAsia"/>
                <w:color w:val="auto"/>
                <w:szCs w:val="24"/>
                <w:lang w:val="en-US" w:eastAsia="zh-CN"/>
              </w:rPr>
            </w:pPr>
            <w:r>
              <w:rPr>
                <w:rFonts w:hint="eastAsia"/>
                <w:color w:val="auto"/>
                <w:szCs w:val="24"/>
                <w:lang w:val="en-US" w:eastAsia="zh-CN"/>
              </w:rPr>
              <w:t>①严格执行“三同时”制度</w:t>
            </w:r>
          </w:p>
          <w:p w14:paraId="77D568FF">
            <w:pPr>
              <w:ind w:firstLine="480" w:firstLineChars="200"/>
              <w:rPr>
                <w:rFonts w:hint="eastAsia"/>
                <w:color w:val="auto"/>
                <w:szCs w:val="24"/>
                <w:lang w:val="en-US" w:eastAsia="zh-CN"/>
              </w:rPr>
            </w:pPr>
            <w:r>
              <w:rPr>
                <w:rFonts w:hint="eastAsia"/>
                <w:color w:val="auto"/>
                <w:szCs w:val="24"/>
                <w:lang w:val="en-US" w:eastAsia="zh-CN"/>
              </w:rPr>
              <w:t>在项目筹备、实施、建设阶段，应严格执行“三同时”，确保污染处理设施和生产工艺“同时设计、同时施工、同时竣工”。</w:t>
            </w:r>
          </w:p>
          <w:p w14:paraId="66D5B223">
            <w:pPr>
              <w:ind w:firstLine="480" w:firstLineChars="200"/>
              <w:rPr>
                <w:rFonts w:hint="eastAsia"/>
                <w:color w:val="auto"/>
                <w:szCs w:val="24"/>
                <w:lang w:val="en-US" w:eastAsia="zh-CN"/>
              </w:rPr>
            </w:pPr>
            <w:r>
              <w:rPr>
                <w:rFonts w:hint="eastAsia"/>
                <w:color w:val="auto"/>
                <w:szCs w:val="24"/>
                <w:lang w:val="en-US" w:eastAsia="zh-CN"/>
              </w:rPr>
              <w:t>②建立排污定期报告制度</w:t>
            </w:r>
          </w:p>
          <w:p w14:paraId="494ED32E">
            <w:pPr>
              <w:ind w:firstLine="480" w:firstLineChars="200"/>
              <w:rPr>
                <w:rFonts w:hint="eastAsia"/>
                <w:color w:val="auto"/>
                <w:szCs w:val="24"/>
                <w:lang w:val="en-US" w:eastAsia="zh-CN"/>
              </w:rPr>
            </w:pPr>
            <w:r>
              <w:rPr>
                <w:rFonts w:hint="eastAsia"/>
                <w:color w:val="auto"/>
                <w:szCs w:val="24"/>
                <w:lang w:val="en-US" w:eastAsia="zh-CN"/>
              </w:rPr>
              <w:t>按有关文件严格执行排污许可执行情况报告制度。即按照相关规范要求向当地环保部门报告污染治理设施运行情况、污染物排放情况以及污染事故、污染纠纷等情况。监测数据经统计和汇总后定期上报当地环保主管部门存档。事故报告要及时上报备案。在企业产品结构和排污量发生重大变化、污染治理设施发生改变时，必须向当地环保主管部门申报。</w:t>
            </w:r>
          </w:p>
          <w:p w14:paraId="6AF1D65D">
            <w:pPr>
              <w:ind w:firstLine="480" w:firstLineChars="200"/>
              <w:rPr>
                <w:rFonts w:hint="eastAsia"/>
                <w:color w:val="auto"/>
                <w:szCs w:val="24"/>
                <w:lang w:val="en-US" w:eastAsia="zh-CN"/>
              </w:rPr>
            </w:pPr>
            <w:r>
              <w:rPr>
                <w:rFonts w:hint="eastAsia"/>
                <w:color w:val="auto"/>
                <w:szCs w:val="24"/>
                <w:lang w:val="en-US" w:eastAsia="zh-CN"/>
              </w:rPr>
              <w:t>③健全污染处理设施管理制度</w:t>
            </w:r>
          </w:p>
          <w:p w14:paraId="21D54033">
            <w:pPr>
              <w:ind w:firstLine="480" w:firstLineChars="200"/>
              <w:rPr>
                <w:rFonts w:hint="eastAsia"/>
                <w:color w:val="auto"/>
                <w:szCs w:val="24"/>
                <w:lang w:val="en-US" w:eastAsia="zh-CN"/>
              </w:rPr>
            </w:pPr>
            <w:r>
              <w:rPr>
                <w:rFonts w:hint="eastAsia"/>
                <w:color w:val="auto"/>
                <w:szCs w:val="24"/>
                <w:lang w:val="en-US" w:eastAsia="zh-CN"/>
              </w:rPr>
              <w:t>将污染处理设施的管理和生产经营活动一起纳入企业单位日常管理工作的范畴，落实责任人，同时制定各级岗位责任制，编制操作规程，建立管理台账，不得擅自拆除或闲置已有的污染处理设施，严禁故意不正常使用污染处理设施。</w:t>
            </w:r>
          </w:p>
          <w:p w14:paraId="021E2D5A">
            <w:pPr>
              <w:ind w:firstLine="480" w:firstLineChars="200"/>
              <w:rPr>
                <w:rFonts w:hint="eastAsia"/>
                <w:color w:val="auto"/>
                <w:szCs w:val="24"/>
                <w:lang w:val="en-US" w:eastAsia="zh-CN"/>
              </w:rPr>
            </w:pPr>
            <w:r>
              <w:rPr>
                <w:rFonts w:hint="eastAsia"/>
                <w:color w:val="auto"/>
                <w:szCs w:val="24"/>
                <w:lang w:val="en-US" w:eastAsia="zh-CN"/>
              </w:rPr>
              <w:t>④建立危险废物贮存管理制度</w:t>
            </w:r>
          </w:p>
          <w:p w14:paraId="5AA1FE74">
            <w:pPr>
              <w:ind w:firstLine="480" w:firstLineChars="200"/>
              <w:rPr>
                <w:rFonts w:hint="eastAsia"/>
                <w:color w:val="auto"/>
                <w:szCs w:val="24"/>
                <w:lang w:val="en-US" w:eastAsia="zh-CN"/>
              </w:rPr>
            </w:pPr>
            <w:r>
              <w:rPr>
                <w:rFonts w:hint="eastAsia"/>
                <w:color w:val="auto"/>
                <w:szCs w:val="24"/>
                <w:lang w:val="en-US" w:eastAsia="zh-CN"/>
              </w:rPr>
              <w:t>参照《危险废物贮存污染控制标准》（GB18597-2023）中的有关要求，做好危险废物临时贮存的环境管理工作。危险废物临时贮存容器必须符合标准的要求，贮存设施应按照标准要求的设计原则进行设计，并设置警示标志，做好防护工作。</w:t>
            </w:r>
          </w:p>
          <w:p w14:paraId="2BB9E463">
            <w:pPr>
              <w:ind w:firstLine="480" w:firstLineChars="200"/>
              <w:rPr>
                <w:rFonts w:hint="eastAsia"/>
                <w:color w:val="auto"/>
                <w:szCs w:val="24"/>
                <w:lang w:val="en-US" w:eastAsia="zh-CN"/>
              </w:rPr>
            </w:pPr>
            <w:r>
              <w:rPr>
                <w:rFonts w:hint="eastAsia"/>
                <w:color w:val="auto"/>
                <w:szCs w:val="24"/>
                <w:lang w:val="en-US" w:eastAsia="zh-CN"/>
              </w:rPr>
              <w:t>⑤环境目标管理责任制和环保奖惩条例</w:t>
            </w:r>
          </w:p>
          <w:p w14:paraId="017F83D3">
            <w:pPr>
              <w:ind w:firstLine="480" w:firstLineChars="200"/>
              <w:rPr>
                <w:rFonts w:hint="eastAsia"/>
                <w:color w:val="auto"/>
                <w:szCs w:val="24"/>
                <w:lang w:val="en-US" w:eastAsia="zh-CN"/>
              </w:rPr>
            </w:pPr>
            <w:r>
              <w:rPr>
                <w:rFonts w:hint="eastAsia"/>
                <w:color w:val="auto"/>
                <w:szCs w:val="24"/>
                <w:lang w:val="en-US" w:eastAsia="zh-CN"/>
              </w:rPr>
              <w:t>建立并实施从总经理到班组各层次的环境目标管理责任制，把完成环境目标责任与奖惩制度结合起来。设置环境保护奖惩条例，对爱护环保设施、节能降耗、减少污染物排放、改善环境者实施奖励；对环保观念淡薄，不按环保要求管理，造成环保设施非正常损坏、发生污染事故以及浪费资源者一律予以重罚。</w:t>
            </w:r>
          </w:p>
          <w:p w14:paraId="2E9ED88F">
            <w:pPr>
              <w:ind w:firstLine="480" w:firstLineChars="200"/>
              <w:rPr>
                <w:rFonts w:hint="eastAsia"/>
                <w:color w:val="auto"/>
                <w:szCs w:val="24"/>
                <w:lang w:val="en-US" w:eastAsia="zh-CN"/>
              </w:rPr>
            </w:pPr>
            <w:r>
              <w:rPr>
                <w:rFonts w:hint="eastAsia"/>
                <w:color w:val="auto"/>
                <w:szCs w:val="24"/>
                <w:lang w:val="en-US" w:eastAsia="zh-CN"/>
              </w:rPr>
              <w:t>⑥职工环保教育、培训制度</w:t>
            </w:r>
          </w:p>
          <w:p w14:paraId="5AFBEF52">
            <w:pPr>
              <w:ind w:firstLine="480" w:firstLineChars="200"/>
              <w:rPr>
                <w:rFonts w:hint="eastAsia"/>
                <w:color w:val="auto"/>
                <w:szCs w:val="24"/>
                <w:lang w:val="en-US" w:eastAsia="zh-CN"/>
              </w:rPr>
            </w:pPr>
            <w:r>
              <w:rPr>
                <w:rFonts w:hint="eastAsia"/>
                <w:color w:val="auto"/>
                <w:szCs w:val="24"/>
                <w:lang w:val="en-US" w:eastAsia="zh-CN"/>
              </w:rPr>
              <w:t>加强职工的环境保护知识教育，提高职工环保意识，增加对生产污染危害的认识，明白自身在劳动过程中的位置和责任。加强员工的上岗培训工作，严格执行培训考核制度，不合格人员决不允许上岗操作。</w:t>
            </w:r>
          </w:p>
          <w:p w14:paraId="74BAE78C">
            <w:pPr>
              <w:ind w:firstLine="480" w:firstLineChars="200"/>
              <w:rPr>
                <w:rFonts w:hint="default"/>
                <w:color w:val="auto"/>
                <w:szCs w:val="24"/>
                <w:lang w:val="en-US" w:eastAsia="zh-CN"/>
              </w:rPr>
            </w:pPr>
            <w:r>
              <w:rPr>
                <w:rFonts w:hint="eastAsia"/>
                <w:color w:val="auto"/>
                <w:szCs w:val="24"/>
                <w:lang w:val="en-US" w:eastAsia="zh-CN"/>
              </w:rPr>
              <w:t>⑦</w:t>
            </w:r>
            <w:r>
              <w:rPr>
                <w:rFonts w:hint="default"/>
                <w:color w:val="auto"/>
                <w:szCs w:val="24"/>
                <w:lang w:val="en-US" w:eastAsia="zh-CN"/>
              </w:rPr>
              <w:t>环境监测</w:t>
            </w:r>
          </w:p>
          <w:p w14:paraId="45541907">
            <w:pPr>
              <w:ind w:firstLine="480" w:firstLineChars="200"/>
              <w:rPr>
                <w:rFonts w:hint="default"/>
                <w:color w:val="auto"/>
                <w:szCs w:val="24"/>
                <w:lang w:val="en-US" w:eastAsia="zh-CN"/>
              </w:rPr>
            </w:pPr>
            <w:r>
              <w:rPr>
                <w:rFonts w:hint="default"/>
                <w:color w:val="auto"/>
                <w:szCs w:val="24"/>
                <w:lang w:val="en-US" w:eastAsia="zh-CN"/>
              </w:rPr>
              <w:t>项目运行期环境监测工作可委托有资质的环境监测单位，</w:t>
            </w:r>
            <w:r>
              <w:rPr>
                <w:b w:val="0"/>
                <w:color w:val="auto"/>
                <w:szCs w:val="24"/>
                <w:lang w:bidi="ar"/>
              </w:rPr>
              <w:t xml:space="preserve">根据《排污许可证申请与核发技术规范 </w:t>
            </w:r>
            <w:r>
              <w:rPr>
                <w:rFonts w:hint="eastAsia"/>
                <w:color w:val="auto"/>
                <w:lang w:val="en-US" w:eastAsia="zh-CN"/>
              </w:rPr>
              <w:t>工业炉窑</w:t>
            </w:r>
            <w:r>
              <w:rPr>
                <w:rFonts w:hint="eastAsia"/>
                <w:color w:val="auto"/>
              </w:rPr>
              <w:t>（HJ112</w:t>
            </w:r>
            <w:r>
              <w:rPr>
                <w:rFonts w:hint="eastAsia"/>
                <w:color w:val="auto"/>
                <w:lang w:val="en-US" w:eastAsia="zh-CN"/>
              </w:rPr>
              <w:t>1</w:t>
            </w:r>
            <w:r>
              <w:rPr>
                <w:rFonts w:hint="eastAsia"/>
                <w:color w:val="auto"/>
              </w:rPr>
              <w:t>- 2020）</w:t>
            </w:r>
            <w:r>
              <w:rPr>
                <w:rFonts w:hint="eastAsia"/>
                <w:b w:val="0"/>
                <w:color w:val="auto"/>
                <w:szCs w:val="24"/>
                <w:lang w:bidi="ar"/>
              </w:rPr>
              <w:t>以及参照</w:t>
            </w:r>
            <w:r>
              <w:rPr>
                <w:b w:val="0"/>
                <w:color w:val="auto"/>
                <w:szCs w:val="24"/>
                <w:lang w:bidi="ar"/>
              </w:rPr>
              <w:t>《排污许可证申请与核发技术规范 金属铸造工业》（HJ 1115-2020）</w:t>
            </w:r>
            <w:r>
              <w:rPr>
                <w:rFonts w:hint="default"/>
                <w:color w:val="auto"/>
                <w:szCs w:val="24"/>
                <w:lang w:val="en-US" w:eastAsia="zh-CN"/>
              </w:rPr>
              <w:t>要求进行监测。排污单位应按照规定设置满足开展监测所需要的监测设施，废水排放口，废气（采样）监测平台、监测断面和监测孔的设置应符合监测规范要求。监测平台应便于开展监测活动，应能保证监测人员的安全。</w:t>
            </w:r>
          </w:p>
          <w:p w14:paraId="70504A59">
            <w:pPr>
              <w:jc w:val="center"/>
              <w:rPr>
                <w:rFonts w:eastAsia="黑体"/>
                <w:color w:val="auto"/>
              </w:rPr>
            </w:pPr>
            <w:r>
              <w:rPr>
                <w:rFonts w:hint="eastAsia" w:eastAsia="黑体"/>
                <w:color w:val="auto"/>
              </w:rPr>
              <w:t>表</w:t>
            </w:r>
            <w:r>
              <w:rPr>
                <w:rFonts w:eastAsia="黑体"/>
                <w:color w:val="auto"/>
              </w:rPr>
              <w:t>4-</w:t>
            </w:r>
            <w:r>
              <w:rPr>
                <w:rFonts w:hint="eastAsia" w:eastAsia="黑体"/>
                <w:color w:val="auto"/>
                <w:lang w:val="en-US" w:eastAsia="zh-CN"/>
              </w:rPr>
              <w:t>36</w:t>
            </w:r>
            <w:r>
              <w:rPr>
                <w:rFonts w:hint="eastAsia" w:eastAsia="黑体"/>
                <w:color w:val="auto"/>
              </w:rPr>
              <w:t xml:space="preserve"> </w:t>
            </w:r>
            <w:r>
              <w:rPr>
                <w:rFonts w:eastAsia="黑体"/>
                <w:color w:val="auto"/>
              </w:rPr>
              <w:t xml:space="preserve"> </w:t>
            </w:r>
            <w:r>
              <w:rPr>
                <w:rFonts w:hint="eastAsia" w:eastAsia="黑体"/>
                <w:color w:val="auto"/>
                <w:lang w:val="en-US" w:eastAsia="zh-CN"/>
              </w:rPr>
              <w:t>环境</w:t>
            </w:r>
            <w:r>
              <w:rPr>
                <w:rFonts w:hint="eastAsia" w:eastAsia="黑体"/>
                <w:color w:val="auto"/>
              </w:rPr>
              <w:t>监测计划一览表</w:t>
            </w:r>
          </w:p>
          <w:tbl>
            <w:tblPr>
              <w:tblStyle w:val="6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5"/>
              <w:gridCol w:w="737"/>
              <w:gridCol w:w="1677"/>
              <w:gridCol w:w="2066"/>
              <w:gridCol w:w="1604"/>
              <w:gridCol w:w="1108"/>
              <w:gridCol w:w="1276"/>
            </w:tblGrid>
            <w:tr w14:paraId="200F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7"/>
                  <w:shd w:val="clear" w:color="auto" w:fill="auto"/>
                  <w:vAlign w:val="center"/>
                </w:tcPr>
                <w:p w14:paraId="62E0668B">
                  <w:pPr>
                    <w:spacing w:line="240" w:lineRule="auto"/>
                    <w:jc w:val="center"/>
                    <w:rPr>
                      <w:rFonts w:hint="eastAsia"/>
                      <w:color w:val="auto"/>
                      <w:sz w:val="18"/>
                      <w:szCs w:val="18"/>
                    </w:rPr>
                  </w:pPr>
                  <w:r>
                    <w:rPr>
                      <w:rFonts w:hint="eastAsia"/>
                      <w:color w:val="auto"/>
                      <w:sz w:val="18"/>
                      <w:szCs w:val="18"/>
                    </w:rPr>
                    <w:t>监测要求</w:t>
                  </w:r>
                </w:p>
              </w:tc>
            </w:tr>
            <w:tr w14:paraId="0EDC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38" w:type="pct"/>
                  <w:gridSpan w:val="2"/>
                  <w:shd w:val="clear" w:color="auto" w:fill="auto"/>
                  <w:vAlign w:val="center"/>
                </w:tcPr>
                <w:p w14:paraId="76914A8D">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类型</w:t>
                  </w:r>
                </w:p>
              </w:tc>
              <w:tc>
                <w:tcPr>
                  <w:tcW w:w="946" w:type="pct"/>
                  <w:shd w:val="clear" w:color="auto" w:fill="auto"/>
                  <w:vAlign w:val="center"/>
                </w:tcPr>
                <w:p w14:paraId="2D5B4583">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监测点位</w:t>
                  </w:r>
                </w:p>
              </w:tc>
              <w:tc>
                <w:tcPr>
                  <w:tcW w:w="1165" w:type="pct"/>
                  <w:shd w:val="clear" w:color="auto" w:fill="auto"/>
                  <w:vAlign w:val="center"/>
                </w:tcPr>
                <w:p w14:paraId="1AD1CE02">
                  <w:pPr>
                    <w:spacing w:line="240" w:lineRule="auto"/>
                    <w:jc w:val="center"/>
                    <w:rPr>
                      <w:color w:val="auto"/>
                      <w:sz w:val="18"/>
                      <w:szCs w:val="18"/>
                    </w:rPr>
                  </w:pPr>
                  <w:r>
                    <w:rPr>
                      <w:rFonts w:hint="eastAsia"/>
                      <w:color w:val="auto"/>
                      <w:sz w:val="18"/>
                      <w:szCs w:val="18"/>
                    </w:rPr>
                    <w:t>监测因子</w:t>
                  </w:r>
                </w:p>
              </w:tc>
              <w:tc>
                <w:tcPr>
                  <w:tcW w:w="904" w:type="pct"/>
                  <w:shd w:val="clear" w:color="auto" w:fill="auto"/>
                  <w:vAlign w:val="center"/>
                </w:tcPr>
                <w:p w14:paraId="0B303D07">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监测内容</w:t>
                  </w:r>
                </w:p>
              </w:tc>
              <w:tc>
                <w:tcPr>
                  <w:tcW w:w="625" w:type="pct"/>
                  <w:shd w:val="clear" w:color="auto" w:fill="auto"/>
                  <w:vAlign w:val="center"/>
                </w:tcPr>
                <w:p w14:paraId="59A8D6AF">
                  <w:pPr>
                    <w:spacing w:line="240" w:lineRule="auto"/>
                    <w:jc w:val="center"/>
                    <w:rPr>
                      <w:color w:val="auto"/>
                      <w:sz w:val="18"/>
                      <w:szCs w:val="18"/>
                    </w:rPr>
                  </w:pPr>
                  <w:r>
                    <w:rPr>
                      <w:rFonts w:hint="eastAsia"/>
                      <w:color w:val="auto"/>
                      <w:sz w:val="18"/>
                      <w:szCs w:val="18"/>
                    </w:rPr>
                    <w:t>监测频次</w:t>
                  </w:r>
                </w:p>
              </w:tc>
              <w:tc>
                <w:tcPr>
                  <w:tcW w:w="719" w:type="pct"/>
                  <w:shd w:val="clear" w:color="auto" w:fill="auto"/>
                  <w:noWrap/>
                  <w:vAlign w:val="center"/>
                </w:tcPr>
                <w:p w14:paraId="6263E74C">
                  <w:pPr>
                    <w:spacing w:line="240" w:lineRule="auto"/>
                    <w:jc w:val="center"/>
                    <w:rPr>
                      <w:rFonts w:hint="eastAsia" w:eastAsia="宋体"/>
                      <w:color w:val="auto"/>
                      <w:sz w:val="18"/>
                      <w:szCs w:val="18"/>
                      <w:lang w:val="en-US" w:eastAsia="zh-CN"/>
                    </w:rPr>
                  </w:pPr>
                  <w:r>
                    <w:rPr>
                      <w:rFonts w:hint="eastAsia"/>
                      <w:color w:val="auto"/>
                      <w:sz w:val="18"/>
                      <w:szCs w:val="18"/>
                      <w:lang w:val="en-US" w:eastAsia="zh-CN"/>
                    </w:rPr>
                    <w:t>实施办法</w:t>
                  </w:r>
                </w:p>
              </w:tc>
            </w:tr>
            <w:tr w14:paraId="7CB34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22" w:type="pct"/>
                  <w:vMerge w:val="restart"/>
                  <w:shd w:val="clear" w:color="auto" w:fill="auto"/>
                  <w:vAlign w:val="center"/>
                </w:tcPr>
                <w:p w14:paraId="56C1D550">
                  <w:pPr>
                    <w:spacing w:line="240" w:lineRule="auto"/>
                    <w:jc w:val="center"/>
                    <w:rPr>
                      <w:rFonts w:hint="default" w:eastAsia="宋体"/>
                      <w:color w:val="auto"/>
                      <w:sz w:val="18"/>
                      <w:szCs w:val="18"/>
                      <w:lang w:val="en-US" w:eastAsia="zh-CN"/>
                    </w:rPr>
                  </w:pPr>
                  <w:r>
                    <w:rPr>
                      <w:rFonts w:hint="eastAsia" w:eastAsia="宋体"/>
                      <w:color w:val="auto"/>
                      <w:sz w:val="18"/>
                      <w:szCs w:val="18"/>
                      <w:lang w:val="en-US" w:eastAsia="zh-CN"/>
                    </w:rPr>
                    <w:t>环境监测</w:t>
                  </w:r>
                </w:p>
              </w:tc>
              <w:tc>
                <w:tcPr>
                  <w:tcW w:w="415" w:type="pct"/>
                  <w:vMerge w:val="restart"/>
                  <w:shd w:val="clear" w:color="auto" w:fill="auto"/>
                  <w:vAlign w:val="center"/>
                </w:tcPr>
                <w:p w14:paraId="1D3E0DCC">
                  <w:pPr>
                    <w:spacing w:line="240" w:lineRule="auto"/>
                    <w:jc w:val="center"/>
                    <w:rPr>
                      <w:rFonts w:hint="eastAsia"/>
                      <w:color w:val="auto"/>
                      <w:sz w:val="18"/>
                      <w:szCs w:val="18"/>
                      <w:lang w:val="en-US" w:eastAsia="zh-CN"/>
                    </w:rPr>
                  </w:pPr>
                  <w:r>
                    <w:rPr>
                      <w:rFonts w:hint="eastAsia"/>
                      <w:color w:val="auto"/>
                      <w:sz w:val="18"/>
                      <w:szCs w:val="18"/>
                      <w:lang w:val="en-US" w:eastAsia="zh-CN"/>
                    </w:rPr>
                    <w:t>废气监测</w:t>
                  </w:r>
                </w:p>
              </w:tc>
              <w:tc>
                <w:tcPr>
                  <w:tcW w:w="946" w:type="pct"/>
                  <w:shd w:val="clear" w:color="auto" w:fill="auto"/>
                  <w:vAlign w:val="center"/>
                </w:tcPr>
                <w:p w14:paraId="68BAF4E3">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rPr>
                    <w:t>DA0</w:t>
                  </w:r>
                  <w:r>
                    <w:rPr>
                      <w:rFonts w:hint="eastAsia"/>
                      <w:color w:val="auto"/>
                      <w:sz w:val="18"/>
                      <w:szCs w:val="18"/>
                      <w:lang w:val="en-US" w:eastAsia="zh-CN"/>
                    </w:rPr>
                    <w:t>28</w:t>
                  </w:r>
                </w:p>
              </w:tc>
              <w:tc>
                <w:tcPr>
                  <w:tcW w:w="1165" w:type="pct"/>
                  <w:shd w:val="clear" w:color="auto" w:fill="auto"/>
                  <w:vAlign w:val="center"/>
                </w:tcPr>
                <w:p w14:paraId="6695BFF9">
                  <w:pPr>
                    <w:spacing w:line="240" w:lineRule="auto"/>
                    <w:jc w:val="center"/>
                    <w:rPr>
                      <w:rFonts w:hint="default" w:eastAsia="宋体"/>
                      <w:color w:val="auto"/>
                      <w:sz w:val="18"/>
                      <w:szCs w:val="18"/>
                      <w:lang w:val="en-US" w:eastAsia="zh-CN"/>
                    </w:rPr>
                  </w:pPr>
                  <w:r>
                    <w:rPr>
                      <w:rFonts w:hint="eastAsia" w:eastAsia="宋体"/>
                      <w:color w:val="auto"/>
                      <w:sz w:val="18"/>
                      <w:szCs w:val="18"/>
                      <w:lang w:val="en-US" w:eastAsia="zh-CN"/>
                    </w:rPr>
                    <w:t>颗粒物、氟化物、氯化氢</w:t>
                  </w:r>
                </w:p>
              </w:tc>
              <w:tc>
                <w:tcPr>
                  <w:tcW w:w="904" w:type="pct"/>
                  <w:shd w:val="clear" w:color="auto" w:fill="auto"/>
                  <w:vAlign w:val="center"/>
                </w:tcPr>
                <w:p w14:paraId="42B6CCF5">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烟气流速，烟气温度</w:t>
                  </w:r>
                  <w:r>
                    <w:rPr>
                      <w:rFonts w:hint="eastAsia" w:cs="Times New Roman"/>
                      <w:color w:val="auto"/>
                      <w:kern w:val="2"/>
                      <w:sz w:val="18"/>
                      <w:szCs w:val="18"/>
                      <w:lang w:val="en-US" w:eastAsia="zh-CN" w:bidi="ar-SA"/>
                    </w:rPr>
                    <w:t>，</w:t>
                  </w:r>
                  <w:r>
                    <w:rPr>
                      <w:rFonts w:hint="eastAsia" w:ascii="Times New Roman" w:hAnsi="Times New Roman" w:eastAsia="宋体" w:cs="Times New Roman"/>
                      <w:color w:val="auto"/>
                      <w:kern w:val="2"/>
                      <w:sz w:val="18"/>
                      <w:szCs w:val="18"/>
                      <w:lang w:val="en-US" w:eastAsia="zh-CN" w:bidi="ar-SA"/>
                    </w:rPr>
                    <w:t>烟道截面积，烟气</w:t>
                  </w:r>
                  <w:r>
                    <w:rPr>
                      <w:rFonts w:hint="eastAsia" w:cs="Times New Roman"/>
                      <w:color w:val="auto"/>
                      <w:kern w:val="2"/>
                      <w:sz w:val="18"/>
                      <w:szCs w:val="18"/>
                      <w:lang w:val="en-US" w:eastAsia="zh-CN" w:bidi="ar-SA"/>
                    </w:rPr>
                    <w:t>量</w:t>
                  </w:r>
                  <w:r>
                    <w:rPr>
                      <w:rFonts w:hint="eastAsia" w:ascii="Times New Roman" w:hAnsi="Times New Roman" w:eastAsia="宋体" w:cs="Times New Roman"/>
                      <w:color w:val="auto"/>
                      <w:kern w:val="2"/>
                      <w:sz w:val="18"/>
                      <w:szCs w:val="18"/>
                      <w:lang w:val="en-US" w:eastAsia="zh-CN" w:bidi="ar-SA"/>
                    </w:rPr>
                    <w:t>，</w:t>
                  </w:r>
                  <w:r>
                    <w:rPr>
                      <w:rFonts w:hint="eastAsia" w:cs="Times New Roman"/>
                      <w:color w:val="auto"/>
                      <w:kern w:val="2"/>
                      <w:sz w:val="18"/>
                      <w:szCs w:val="18"/>
                      <w:lang w:val="en-US" w:eastAsia="zh-CN" w:bidi="ar-SA"/>
                    </w:rPr>
                    <w:t>氧含量</w:t>
                  </w:r>
                </w:p>
              </w:tc>
              <w:tc>
                <w:tcPr>
                  <w:tcW w:w="625" w:type="pct"/>
                  <w:shd w:val="clear" w:color="auto" w:fill="auto"/>
                  <w:vAlign w:val="center"/>
                </w:tcPr>
                <w:p w14:paraId="38CD9AF6">
                  <w:pPr>
                    <w:spacing w:line="240" w:lineRule="auto"/>
                    <w:jc w:val="center"/>
                    <w:rPr>
                      <w:color w:val="auto"/>
                      <w:sz w:val="18"/>
                      <w:szCs w:val="18"/>
                    </w:rPr>
                  </w:pPr>
                  <w:r>
                    <w:rPr>
                      <w:rFonts w:hint="eastAsia"/>
                      <w:color w:val="auto"/>
                      <w:sz w:val="18"/>
                      <w:szCs w:val="18"/>
                    </w:rPr>
                    <w:t>1次/年</w:t>
                  </w:r>
                </w:p>
              </w:tc>
              <w:tc>
                <w:tcPr>
                  <w:tcW w:w="719" w:type="pct"/>
                  <w:vMerge w:val="restart"/>
                  <w:shd w:val="clear" w:color="auto" w:fill="auto"/>
                  <w:noWrap/>
                  <w:vAlign w:val="center"/>
                </w:tcPr>
                <w:p w14:paraId="37D82482">
                  <w:pPr>
                    <w:spacing w:line="240" w:lineRule="auto"/>
                    <w:jc w:val="center"/>
                    <w:rPr>
                      <w:rFonts w:hint="eastAsia"/>
                      <w:color w:val="auto"/>
                      <w:sz w:val="18"/>
                      <w:szCs w:val="18"/>
                    </w:rPr>
                  </w:pPr>
                  <w:r>
                    <w:rPr>
                      <w:rFonts w:hint="eastAsia"/>
                      <w:color w:val="auto"/>
                      <w:sz w:val="18"/>
                      <w:szCs w:val="18"/>
                    </w:rPr>
                    <w:t>委托有资质的环境监测单位</w:t>
                  </w:r>
                </w:p>
              </w:tc>
            </w:tr>
            <w:tr w14:paraId="0A317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22" w:type="pct"/>
                  <w:vMerge w:val="continue"/>
                  <w:shd w:val="clear" w:color="auto" w:fill="auto"/>
                  <w:vAlign w:val="center"/>
                </w:tcPr>
                <w:p w14:paraId="233583F0">
                  <w:pPr>
                    <w:spacing w:line="240" w:lineRule="auto"/>
                    <w:jc w:val="center"/>
                    <w:rPr>
                      <w:rFonts w:hint="eastAsia"/>
                      <w:color w:val="auto"/>
                      <w:sz w:val="18"/>
                      <w:szCs w:val="18"/>
                    </w:rPr>
                  </w:pPr>
                </w:p>
              </w:tc>
              <w:tc>
                <w:tcPr>
                  <w:tcW w:w="415" w:type="pct"/>
                  <w:vMerge w:val="continue"/>
                  <w:shd w:val="clear" w:color="auto" w:fill="auto"/>
                  <w:vAlign w:val="center"/>
                </w:tcPr>
                <w:p w14:paraId="0C3F52D9">
                  <w:pPr>
                    <w:spacing w:line="240" w:lineRule="auto"/>
                    <w:jc w:val="center"/>
                    <w:rPr>
                      <w:rFonts w:hint="eastAsia"/>
                      <w:color w:val="auto"/>
                      <w:sz w:val="18"/>
                      <w:szCs w:val="18"/>
                    </w:rPr>
                  </w:pPr>
                </w:p>
              </w:tc>
              <w:tc>
                <w:tcPr>
                  <w:tcW w:w="946" w:type="pct"/>
                  <w:shd w:val="clear" w:color="auto" w:fill="auto"/>
                  <w:vAlign w:val="center"/>
                </w:tcPr>
                <w:p w14:paraId="7BE37E52">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厂界</w:t>
                  </w:r>
                </w:p>
              </w:tc>
              <w:tc>
                <w:tcPr>
                  <w:tcW w:w="1165" w:type="pct"/>
                  <w:shd w:val="clear" w:color="auto" w:fill="auto"/>
                  <w:vAlign w:val="center"/>
                </w:tcPr>
                <w:p w14:paraId="1F8BDAA3">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eastAsia="宋体"/>
                      <w:color w:val="auto"/>
                      <w:sz w:val="18"/>
                      <w:szCs w:val="18"/>
                      <w:lang w:val="en-US" w:eastAsia="zh-CN"/>
                    </w:rPr>
                    <w:t>颗粒物、二氧化硫、氮氧化物、氨</w:t>
                  </w:r>
                </w:p>
              </w:tc>
              <w:tc>
                <w:tcPr>
                  <w:tcW w:w="904" w:type="pct"/>
                  <w:vMerge w:val="restart"/>
                  <w:shd w:val="clear" w:color="auto" w:fill="auto"/>
                  <w:vAlign w:val="center"/>
                </w:tcPr>
                <w:p w14:paraId="448D4CD5">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温度，湿度</w:t>
                  </w:r>
                  <w:r>
                    <w:rPr>
                      <w:rFonts w:hint="eastAsia"/>
                      <w:color w:val="auto"/>
                      <w:sz w:val="18"/>
                      <w:szCs w:val="18"/>
                      <w:lang w:eastAsia="zh-CN"/>
                    </w:rPr>
                    <w:t>，</w:t>
                  </w:r>
                  <w:r>
                    <w:rPr>
                      <w:rFonts w:hint="eastAsia"/>
                      <w:color w:val="auto"/>
                      <w:sz w:val="18"/>
                      <w:szCs w:val="18"/>
                      <w:lang w:val="en-US" w:eastAsia="zh-CN"/>
                    </w:rPr>
                    <w:t>气压，风速，风向</w:t>
                  </w:r>
                </w:p>
              </w:tc>
              <w:tc>
                <w:tcPr>
                  <w:tcW w:w="625" w:type="pct"/>
                  <w:shd w:val="clear" w:color="auto" w:fill="auto"/>
                  <w:vAlign w:val="center"/>
                </w:tcPr>
                <w:p w14:paraId="18DCEE51">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1次/年</w:t>
                  </w:r>
                </w:p>
              </w:tc>
              <w:tc>
                <w:tcPr>
                  <w:tcW w:w="719" w:type="pct"/>
                  <w:vMerge w:val="continue"/>
                  <w:shd w:val="clear" w:color="auto" w:fill="auto"/>
                  <w:noWrap/>
                  <w:vAlign w:val="center"/>
                </w:tcPr>
                <w:p w14:paraId="6B0E02D3">
                  <w:pPr>
                    <w:spacing w:line="240" w:lineRule="auto"/>
                    <w:jc w:val="center"/>
                    <w:rPr>
                      <w:rFonts w:hint="eastAsia"/>
                      <w:color w:val="auto"/>
                      <w:sz w:val="18"/>
                      <w:szCs w:val="18"/>
                    </w:rPr>
                  </w:pPr>
                </w:p>
              </w:tc>
            </w:tr>
            <w:tr w14:paraId="08B0A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22" w:type="pct"/>
                  <w:vMerge w:val="continue"/>
                  <w:shd w:val="clear" w:color="auto" w:fill="auto"/>
                  <w:vAlign w:val="center"/>
                </w:tcPr>
                <w:p w14:paraId="4DFBEC60">
                  <w:pPr>
                    <w:spacing w:line="240" w:lineRule="auto"/>
                    <w:jc w:val="center"/>
                    <w:rPr>
                      <w:rFonts w:hint="eastAsia"/>
                      <w:color w:val="auto"/>
                      <w:sz w:val="18"/>
                      <w:szCs w:val="18"/>
                    </w:rPr>
                  </w:pPr>
                </w:p>
              </w:tc>
              <w:tc>
                <w:tcPr>
                  <w:tcW w:w="415" w:type="pct"/>
                  <w:vMerge w:val="continue"/>
                  <w:shd w:val="clear" w:color="auto" w:fill="auto"/>
                  <w:vAlign w:val="center"/>
                </w:tcPr>
                <w:p w14:paraId="55182967">
                  <w:pPr>
                    <w:spacing w:line="240" w:lineRule="auto"/>
                    <w:jc w:val="center"/>
                    <w:rPr>
                      <w:rFonts w:hint="eastAsia"/>
                      <w:color w:val="auto"/>
                      <w:sz w:val="18"/>
                      <w:szCs w:val="18"/>
                    </w:rPr>
                  </w:pPr>
                </w:p>
              </w:tc>
              <w:tc>
                <w:tcPr>
                  <w:tcW w:w="946" w:type="pct"/>
                  <w:shd w:val="clear" w:color="auto" w:fill="auto"/>
                  <w:vAlign w:val="center"/>
                </w:tcPr>
                <w:p w14:paraId="1C934416">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厂区内</w:t>
                  </w:r>
                </w:p>
              </w:tc>
              <w:tc>
                <w:tcPr>
                  <w:tcW w:w="1165" w:type="pct"/>
                  <w:shd w:val="clear" w:color="auto" w:fill="auto"/>
                  <w:vAlign w:val="center"/>
                </w:tcPr>
                <w:p w14:paraId="428D42E7">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颗粒物</w:t>
                  </w:r>
                </w:p>
              </w:tc>
              <w:tc>
                <w:tcPr>
                  <w:tcW w:w="904" w:type="pct"/>
                  <w:vMerge w:val="continue"/>
                  <w:shd w:val="clear" w:color="auto" w:fill="auto"/>
                  <w:vAlign w:val="center"/>
                </w:tcPr>
                <w:p w14:paraId="47E16F93">
                  <w:pPr>
                    <w:spacing w:line="240" w:lineRule="auto"/>
                    <w:jc w:val="center"/>
                    <w:rPr>
                      <w:rFonts w:hint="eastAsia" w:ascii="Times New Roman" w:hAnsi="Times New Roman" w:eastAsia="宋体" w:cs="Times New Roman"/>
                      <w:color w:val="auto"/>
                      <w:kern w:val="2"/>
                      <w:sz w:val="18"/>
                      <w:szCs w:val="18"/>
                      <w:lang w:val="en-US" w:eastAsia="zh-CN" w:bidi="ar-SA"/>
                    </w:rPr>
                  </w:pPr>
                </w:p>
              </w:tc>
              <w:tc>
                <w:tcPr>
                  <w:tcW w:w="625" w:type="pct"/>
                  <w:shd w:val="clear" w:color="auto" w:fill="auto"/>
                  <w:vAlign w:val="center"/>
                </w:tcPr>
                <w:p w14:paraId="1C011E8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rPr>
                    <w:t>1次/年</w:t>
                  </w:r>
                </w:p>
              </w:tc>
              <w:tc>
                <w:tcPr>
                  <w:tcW w:w="719" w:type="pct"/>
                  <w:vMerge w:val="continue"/>
                  <w:shd w:val="clear" w:color="auto" w:fill="auto"/>
                  <w:noWrap/>
                  <w:vAlign w:val="center"/>
                </w:tcPr>
                <w:p w14:paraId="70560B50">
                  <w:pPr>
                    <w:spacing w:line="240" w:lineRule="auto"/>
                    <w:jc w:val="center"/>
                    <w:rPr>
                      <w:rFonts w:hint="eastAsia"/>
                      <w:color w:val="auto"/>
                      <w:sz w:val="18"/>
                      <w:szCs w:val="18"/>
                    </w:rPr>
                  </w:pPr>
                </w:p>
              </w:tc>
            </w:tr>
            <w:tr w14:paraId="5775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22" w:type="pct"/>
                  <w:vMerge w:val="continue"/>
                  <w:shd w:val="clear" w:color="auto" w:fill="auto"/>
                  <w:vAlign w:val="center"/>
                </w:tcPr>
                <w:p w14:paraId="285EAD5D">
                  <w:pPr>
                    <w:spacing w:line="240" w:lineRule="auto"/>
                    <w:jc w:val="center"/>
                    <w:rPr>
                      <w:rFonts w:hint="eastAsia" w:eastAsia="宋体"/>
                      <w:color w:val="auto"/>
                      <w:sz w:val="18"/>
                      <w:szCs w:val="18"/>
                      <w:lang w:val="en-US" w:eastAsia="zh-CN"/>
                    </w:rPr>
                  </w:pPr>
                </w:p>
              </w:tc>
              <w:tc>
                <w:tcPr>
                  <w:tcW w:w="415" w:type="pct"/>
                  <w:shd w:val="clear" w:color="auto" w:fill="auto"/>
                  <w:vAlign w:val="center"/>
                </w:tcPr>
                <w:p w14:paraId="61D07184">
                  <w:pPr>
                    <w:spacing w:line="240" w:lineRule="auto"/>
                    <w:jc w:val="center"/>
                    <w:rPr>
                      <w:rFonts w:hint="eastAsia"/>
                      <w:color w:val="auto"/>
                      <w:sz w:val="18"/>
                      <w:szCs w:val="18"/>
                      <w:lang w:val="en-US" w:eastAsia="zh-CN"/>
                    </w:rPr>
                  </w:pPr>
                  <w:r>
                    <w:rPr>
                      <w:rFonts w:hint="eastAsia"/>
                      <w:color w:val="auto"/>
                      <w:sz w:val="18"/>
                      <w:szCs w:val="18"/>
                      <w:lang w:val="en-US" w:eastAsia="zh-CN"/>
                    </w:rPr>
                    <w:t>废水监测</w:t>
                  </w:r>
                </w:p>
              </w:tc>
              <w:tc>
                <w:tcPr>
                  <w:tcW w:w="946" w:type="pct"/>
                  <w:shd w:val="clear" w:color="auto" w:fill="auto"/>
                  <w:vAlign w:val="center"/>
                </w:tcPr>
                <w:p w14:paraId="7B94F45F">
                  <w:pPr>
                    <w:spacing w:line="240" w:lineRule="auto"/>
                    <w:jc w:val="center"/>
                    <w:rPr>
                      <w:rFonts w:hint="default" w:eastAsia="宋体"/>
                      <w:color w:val="auto"/>
                      <w:sz w:val="18"/>
                      <w:szCs w:val="18"/>
                      <w:lang w:val="en-US" w:eastAsia="zh-CN"/>
                    </w:rPr>
                  </w:pPr>
                  <w:r>
                    <w:rPr>
                      <w:rFonts w:hint="eastAsia"/>
                      <w:color w:val="auto"/>
                      <w:sz w:val="18"/>
                      <w:szCs w:val="18"/>
                      <w:lang w:val="en-US" w:eastAsia="zh-CN"/>
                    </w:rPr>
                    <w:t>污水总排口</w:t>
                  </w:r>
                </w:p>
              </w:tc>
              <w:tc>
                <w:tcPr>
                  <w:tcW w:w="1165" w:type="pct"/>
                  <w:shd w:val="clear" w:color="auto" w:fill="auto"/>
                  <w:vAlign w:val="center"/>
                </w:tcPr>
                <w:p w14:paraId="30333F30">
                  <w:pPr>
                    <w:spacing w:line="240" w:lineRule="auto"/>
                    <w:jc w:val="center"/>
                    <w:rPr>
                      <w:rFonts w:hint="eastAsia"/>
                      <w:color w:val="auto"/>
                      <w:sz w:val="18"/>
                      <w:szCs w:val="18"/>
                    </w:rPr>
                  </w:pPr>
                  <w:r>
                    <w:rPr>
                      <w:rFonts w:hint="eastAsia"/>
                      <w:color w:val="auto"/>
                      <w:sz w:val="18"/>
                      <w:szCs w:val="18"/>
                    </w:rPr>
                    <w:t>流量、p</w:t>
                  </w:r>
                  <w:r>
                    <w:rPr>
                      <w:color w:val="auto"/>
                      <w:sz w:val="18"/>
                      <w:szCs w:val="18"/>
                    </w:rPr>
                    <w:t>H</w:t>
                  </w:r>
                  <w:r>
                    <w:rPr>
                      <w:rFonts w:hint="eastAsia"/>
                      <w:color w:val="auto"/>
                      <w:sz w:val="18"/>
                      <w:szCs w:val="18"/>
                    </w:rPr>
                    <w:t>、COD、氨氮、S</w:t>
                  </w:r>
                  <w:r>
                    <w:rPr>
                      <w:color w:val="auto"/>
                      <w:sz w:val="18"/>
                      <w:szCs w:val="18"/>
                    </w:rPr>
                    <w:t>S</w:t>
                  </w:r>
                  <w:r>
                    <w:rPr>
                      <w:rFonts w:hint="eastAsia"/>
                      <w:color w:val="auto"/>
                      <w:sz w:val="18"/>
                      <w:szCs w:val="18"/>
                      <w:lang w:eastAsia="zh-CN"/>
                    </w:rPr>
                    <w:t>、</w:t>
                  </w:r>
                  <w:r>
                    <w:rPr>
                      <w:rFonts w:hint="eastAsia"/>
                      <w:color w:val="auto"/>
                      <w:sz w:val="18"/>
                      <w:szCs w:val="18"/>
                      <w:lang w:val="en-US" w:eastAsia="zh-CN"/>
                    </w:rPr>
                    <w:t>动植物油</w:t>
                  </w:r>
                </w:p>
              </w:tc>
              <w:tc>
                <w:tcPr>
                  <w:tcW w:w="904" w:type="pct"/>
                  <w:shd w:val="clear" w:color="auto" w:fill="auto"/>
                  <w:vAlign w:val="center"/>
                </w:tcPr>
                <w:p w14:paraId="6BEC02D2">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eastAsia="宋体" w:cs="Times New Roman"/>
                      <w:color w:val="auto"/>
                      <w:kern w:val="2"/>
                      <w:sz w:val="18"/>
                      <w:szCs w:val="18"/>
                      <w:lang w:val="en-US" w:eastAsia="zh-CN" w:bidi="ar-SA"/>
                    </w:rPr>
                    <w:t>流量</w:t>
                  </w:r>
                </w:p>
              </w:tc>
              <w:tc>
                <w:tcPr>
                  <w:tcW w:w="625" w:type="pct"/>
                  <w:shd w:val="clear" w:color="auto" w:fill="auto"/>
                  <w:vAlign w:val="center"/>
                </w:tcPr>
                <w:p w14:paraId="70FDDA37">
                  <w:pPr>
                    <w:spacing w:line="240" w:lineRule="auto"/>
                    <w:jc w:val="center"/>
                    <w:rPr>
                      <w:rFonts w:hint="eastAsia"/>
                      <w:color w:val="auto"/>
                      <w:sz w:val="18"/>
                      <w:szCs w:val="18"/>
                    </w:rPr>
                  </w:pPr>
                  <w:r>
                    <w:rPr>
                      <w:rFonts w:hint="eastAsia"/>
                      <w:color w:val="auto"/>
                      <w:sz w:val="18"/>
                      <w:szCs w:val="18"/>
                    </w:rPr>
                    <w:t>1次/年</w:t>
                  </w:r>
                </w:p>
              </w:tc>
              <w:tc>
                <w:tcPr>
                  <w:tcW w:w="719" w:type="pct"/>
                  <w:vMerge w:val="continue"/>
                  <w:shd w:val="clear" w:color="auto" w:fill="auto"/>
                  <w:noWrap/>
                  <w:vAlign w:val="center"/>
                </w:tcPr>
                <w:p w14:paraId="35740749">
                  <w:pPr>
                    <w:spacing w:line="240" w:lineRule="auto"/>
                    <w:jc w:val="center"/>
                    <w:rPr>
                      <w:rFonts w:hint="eastAsia"/>
                      <w:color w:val="auto"/>
                      <w:sz w:val="18"/>
                      <w:szCs w:val="18"/>
                    </w:rPr>
                  </w:pPr>
                </w:p>
              </w:tc>
            </w:tr>
            <w:tr w14:paraId="2B0BE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22" w:type="pct"/>
                  <w:vMerge w:val="continue"/>
                  <w:shd w:val="clear" w:color="auto" w:fill="auto"/>
                  <w:vAlign w:val="center"/>
                </w:tcPr>
                <w:p w14:paraId="2C4E13E9">
                  <w:pPr>
                    <w:spacing w:line="240" w:lineRule="auto"/>
                    <w:jc w:val="center"/>
                    <w:rPr>
                      <w:rFonts w:hint="eastAsia" w:eastAsia="宋体"/>
                      <w:color w:val="auto"/>
                      <w:sz w:val="18"/>
                      <w:szCs w:val="18"/>
                      <w:lang w:val="en-US" w:eastAsia="zh-CN"/>
                    </w:rPr>
                  </w:pPr>
                </w:p>
              </w:tc>
              <w:tc>
                <w:tcPr>
                  <w:tcW w:w="415" w:type="pct"/>
                  <w:shd w:val="clear" w:color="auto" w:fill="auto"/>
                  <w:vAlign w:val="center"/>
                </w:tcPr>
                <w:p w14:paraId="3391291B">
                  <w:pPr>
                    <w:spacing w:line="240" w:lineRule="auto"/>
                    <w:jc w:val="center"/>
                    <w:rPr>
                      <w:rFonts w:hint="eastAsia"/>
                      <w:color w:val="auto"/>
                      <w:sz w:val="18"/>
                      <w:szCs w:val="18"/>
                      <w:lang w:val="en-US" w:eastAsia="zh-CN"/>
                    </w:rPr>
                  </w:pPr>
                  <w:r>
                    <w:rPr>
                      <w:rFonts w:hint="eastAsia"/>
                      <w:color w:val="auto"/>
                      <w:sz w:val="18"/>
                      <w:szCs w:val="18"/>
                      <w:lang w:val="en-US" w:eastAsia="zh-CN"/>
                    </w:rPr>
                    <w:t>噪声监测</w:t>
                  </w:r>
                </w:p>
              </w:tc>
              <w:tc>
                <w:tcPr>
                  <w:tcW w:w="946" w:type="pct"/>
                  <w:shd w:val="clear" w:color="auto" w:fill="auto"/>
                  <w:vAlign w:val="center"/>
                </w:tcPr>
                <w:p w14:paraId="04E37231">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eastAsia="宋体" w:cs="Times New Roman"/>
                      <w:color w:val="auto"/>
                      <w:kern w:val="2"/>
                      <w:sz w:val="18"/>
                      <w:szCs w:val="18"/>
                      <w:lang w:val="en-US" w:eastAsia="zh-CN" w:bidi="ar-SA"/>
                    </w:rPr>
                    <w:t>厂界四周</w:t>
                  </w:r>
                </w:p>
              </w:tc>
              <w:tc>
                <w:tcPr>
                  <w:tcW w:w="1165" w:type="pct"/>
                  <w:shd w:val="clear" w:color="auto" w:fill="auto"/>
                  <w:vAlign w:val="center"/>
                </w:tcPr>
                <w:p w14:paraId="4233B910">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等效连续A声级</w:t>
                  </w:r>
                </w:p>
              </w:tc>
              <w:tc>
                <w:tcPr>
                  <w:tcW w:w="904" w:type="pct"/>
                  <w:shd w:val="clear" w:color="auto" w:fill="auto"/>
                  <w:vAlign w:val="center"/>
                </w:tcPr>
                <w:p w14:paraId="326ACA87">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kern w:val="2"/>
                      <w:sz w:val="18"/>
                      <w:szCs w:val="18"/>
                      <w:lang w:val="en-US" w:eastAsia="zh-CN" w:bidi="ar-SA"/>
                    </w:rPr>
                    <w:t>Leq</w:t>
                  </w:r>
                </w:p>
              </w:tc>
              <w:tc>
                <w:tcPr>
                  <w:tcW w:w="625" w:type="pct"/>
                  <w:shd w:val="clear" w:color="auto" w:fill="auto"/>
                  <w:vAlign w:val="center"/>
                </w:tcPr>
                <w:p w14:paraId="2A712700">
                  <w:pPr>
                    <w:spacing w:line="240" w:lineRule="auto"/>
                    <w:jc w:val="center"/>
                    <w:rPr>
                      <w:rFonts w:hint="eastAsia"/>
                      <w:color w:val="auto"/>
                      <w:sz w:val="18"/>
                      <w:szCs w:val="18"/>
                    </w:rPr>
                  </w:pPr>
                  <w:r>
                    <w:rPr>
                      <w:rFonts w:hint="eastAsia"/>
                      <w:color w:val="auto"/>
                      <w:sz w:val="18"/>
                      <w:szCs w:val="18"/>
                    </w:rPr>
                    <w:t>1次/</w:t>
                  </w:r>
                  <w:r>
                    <w:rPr>
                      <w:rFonts w:hint="eastAsia"/>
                      <w:color w:val="auto"/>
                      <w:sz w:val="18"/>
                      <w:szCs w:val="18"/>
                      <w:lang w:val="en-US" w:eastAsia="zh-CN"/>
                    </w:rPr>
                    <w:t>季度</w:t>
                  </w:r>
                </w:p>
              </w:tc>
              <w:tc>
                <w:tcPr>
                  <w:tcW w:w="719" w:type="pct"/>
                  <w:vMerge w:val="continue"/>
                  <w:shd w:val="clear" w:color="auto" w:fill="auto"/>
                  <w:noWrap/>
                  <w:vAlign w:val="center"/>
                </w:tcPr>
                <w:p w14:paraId="1E13E720">
                  <w:pPr>
                    <w:spacing w:line="240" w:lineRule="auto"/>
                    <w:jc w:val="center"/>
                    <w:rPr>
                      <w:rFonts w:hint="eastAsia"/>
                      <w:color w:val="auto"/>
                      <w:sz w:val="18"/>
                      <w:szCs w:val="18"/>
                    </w:rPr>
                  </w:pPr>
                </w:p>
              </w:tc>
            </w:tr>
          </w:tbl>
          <w:p w14:paraId="6C13A061">
            <w:pPr>
              <w:outlineLvl w:val="1"/>
              <w:rPr>
                <w:b/>
                <w:bCs/>
                <w:color w:val="auto"/>
                <w:szCs w:val="24"/>
              </w:rPr>
            </w:pPr>
            <w:r>
              <w:rPr>
                <w:rFonts w:hint="eastAsia"/>
                <w:b/>
                <w:bCs/>
                <w:color w:val="auto"/>
                <w:szCs w:val="24"/>
                <w:lang w:val="en-US" w:eastAsia="zh-CN"/>
              </w:rPr>
              <w:t>九、</w:t>
            </w:r>
            <w:r>
              <w:rPr>
                <w:rFonts w:hint="eastAsia"/>
                <w:b/>
                <w:bCs/>
                <w:color w:val="auto"/>
                <w:szCs w:val="24"/>
              </w:rPr>
              <w:t>其他环境管理要求</w:t>
            </w:r>
          </w:p>
          <w:p w14:paraId="4519042D">
            <w:pPr>
              <w:ind w:firstLine="480" w:firstLineChars="200"/>
              <w:rPr>
                <w:rFonts w:hint="eastAsia"/>
                <w:color w:val="auto"/>
                <w:szCs w:val="24"/>
                <w:lang w:val="en-US" w:eastAsia="zh-CN"/>
              </w:rPr>
            </w:pPr>
            <w:r>
              <w:rPr>
                <w:rFonts w:hint="eastAsia"/>
                <w:color w:val="auto"/>
                <w:szCs w:val="24"/>
                <w:lang w:val="en-US" w:eastAsia="zh-CN"/>
              </w:rPr>
              <w:t>1、排污口规范化</w:t>
            </w:r>
          </w:p>
          <w:p w14:paraId="0969AA83">
            <w:pPr>
              <w:ind w:firstLine="480" w:firstLineChars="200"/>
              <w:rPr>
                <w:rFonts w:hint="eastAsia"/>
                <w:color w:val="auto"/>
                <w:szCs w:val="24"/>
                <w:lang w:val="en-US" w:eastAsia="zh-CN"/>
              </w:rPr>
            </w:pPr>
            <w:r>
              <w:rPr>
                <w:rFonts w:hint="eastAsia"/>
                <w:color w:val="auto"/>
                <w:szCs w:val="24"/>
                <w:lang w:val="en-US" w:eastAsia="zh-CN"/>
              </w:rPr>
              <w:t>按照安徽省环保厅关于对排放口规范化整治的统一要求，规范排污口。排污口要设立国家标准规定的标志牌，设置提示性或警告性环境保护图形标志牌，一般污染源设置提示性标志牌，毒性污染物设置警示性标志牌。</w:t>
            </w:r>
          </w:p>
          <w:p w14:paraId="6D00C7ED">
            <w:pPr>
              <w:ind w:firstLine="480" w:firstLineChars="200"/>
              <w:rPr>
                <w:rFonts w:hint="eastAsia"/>
                <w:color w:val="auto"/>
                <w:szCs w:val="24"/>
                <w:lang w:val="en-US" w:eastAsia="zh-CN"/>
              </w:rPr>
            </w:pPr>
            <w:r>
              <w:rPr>
                <w:rFonts w:hint="eastAsia"/>
                <w:color w:val="auto"/>
                <w:szCs w:val="24"/>
                <w:lang w:val="en-US" w:eastAsia="zh-CN"/>
              </w:rPr>
              <w:t>①废气排放口</w:t>
            </w:r>
          </w:p>
          <w:p w14:paraId="3D83476D">
            <w:pPr>
              <w:ind w:firstLine="480" w:firstLineChars="200"/>
              <w:rPr>
                <w:rFonts w:hint="eastAsia"/>
                <w:color w:val="auto"/>
                <w:szCs w:val="24"/>
                <w:lang w:val="en-US" w:eastAsia="zh-CN"/>
              </w:rPr>
            </w:pPr>
            <w:r>
              <w:rPr>
                <w:rFonts w:hint="eastAsia"/>
                <w:color w:val="auto"/>
                <w:szCs w:val="24"/>
                <w:lang w:val="en-US" w:eastAsia="zh-CN"/>
              </w:rPr>
              <w:t>需按《排污口设置及规范化整治管理办法》要求进行废气排污口规范化设计。排气筒应设置便于采样、监测的采样口和采样监测平台。有净化设施的，应在其进出口分别设置采样口。环境保护图形标志牌应设在排气筒附近地面醒目处。</w:t>
            </w:r>
          </w:p>
          <w:p w14:paraId="1FED55CA">
            <w:pPr>
              <w:ind w:firstLine="480" w:firstLineChars="200"/>
              <w:rPr>
                <w:rFonts w:hint="eastAsia"/>
                <w:color w:val="auto"/>
                <w:szCs w:val="24"/>
                <w:lang w:val="en-US" w:eastAsia="zh-CN"/>
              </w:rPr>
            </w:pPr>
            <w:r>
              <w:rPr>
                <w:rFonts w:hint="eastAsia"/>
                <w:color w:val="auto"/>
                <w:szCs w:val="24"/>
                <w:lang w:val="en-US" w:eastAsia="zh-CN"/>
              </w:rPr>
              <w:t>②废水排放口</w:t>
            </w:r>
          </w:p>
          <w:p w14:paraId="52EE2D2D">
            <w:pPr>
              <w:ind w:firstLine="480" w:firstLineChars="200"/>
              <w:rPr>
                <w:rFonts w:hint="eastAsia"/>
                <w:color w:val="auto"/>
                <w:szCs w:val="24"/>
                <w:lang w:val="en-US" w:eastAsia="zh-CN"/>
              </w:rPr>
            </w:pPr>
            <w:r>
              <w:rPr>
                <w:rFonts w:hint="eastAsia"/>
                <w:color w:val="auto"/>
                <w:szCs w:val="24"/>
                <w:lang w:val="en-US" w:eastAsia="zh-CN"/>
              </w:rPr>
              <w:t>本项目排污单位厂区只能设置1个废水总排放口，环境保护图形标牌竖立在厂外总排放口。废水总排放口应设置具备采样条件的采样口，应设在厂内或厂界外10米内。</w:t>
            </w:r>
          </w:p>
          <w:p w14:paraId="5CE103C0">
            <w:pPr>
              <w:ind w:firstLine="480" w:firstLineChars="200"/>
              <w:rPr>
                <w:rFonts w:hint="eastAsia"/>
                <w:color w:val="auto"/>
                <w:szCs w:val="24"/>
                <w:lang w:val="en-US" w:eastAsia="zh-CN"/>
              </w:rPr>
            </w:pPr>
            <w:r>
              <w:rPr>
                <w:rFonts w:hint="eastAsia"/>
                <w:color w:val="auto"/>
                <w:szCs w:val="24"/>
                <w:lang w:val="en-US" w:eastAsia="zh-CN"/>
              </w:rPr>
              <w:t>③固体废弃物暂存场所</w:t>
            </w:r>
          </w:p>
          <w:p w14:paraId="5DFA4A6A">
            <w:pPr>
              <w:ind w:firstLine="480" w:firstLineChars="200"/>
              <w:rPr>
                <w:rFonts w:hint="eastAsia"/>
                <w:color w:val="auto"/>
                <w:szCs w:val="24"/>
                <w:lang w:val="en-US" w:eastAsia="zh-CN"/>
              </w:rPr>
            </w:pPr>
            <w:r>
              <w:rPr>
                <w:rFonts w:hint="eastAsia"/>
                <w:color w:val="auto"/>
                <w:szCs w:val="24"/>
                <w:lang w:val="en-US" w:eastAsia="zh-CN"/>
              </w:rPr>
              <w:t>一般工业固体废物、危废等应设置专用暂存场所，设置标识牌。规范化排污口的标识牌属环保设施，建设单位必须负责日常的维护保养，任何单位和个人不得擅自拆除。</w:t>
            </w:r>
          </w:p>
          <w:p w14:paraId="0EA0C03B">
            <w:pPr>
              <w:tabs>
                <w:tab w:val="left" w:pos="4764"/>
              </w:tabs>
              <w:rPr>
                <w:rFonts w:hint="eastAsia"/>
                <w:color w:val="auto"/>
                <w:szCs w:val="24"/>
                <w:lang w:val="en-US" w:eastAsia="zh-CN"/>
              </w:rPr>
            </w:pPr>
          </w:p>
        </w:tc>
      </w:tr>
    </w:tbl>
    <w:p w14:paraId="704B3100">
      <w:pPr>
        <w:rPr>
          <w:color w:val="auto"/>
        </w:rPr>
        <w:sectPr>
          <w:pgSz w:w="11906" w:h="16838"/>
          <w:pgMar w:top="1247" w:right="1134" w:bottom="1134" w:left="1247" w:header="680" w:footer="680" w:gutter="0"/>
          <w:cols w:space="720" w:num="1"/>
          <w:docGrid w:linePitch="326" w:charSpace="0"/>
        </w:sectPr>
      </w:pPr>
    </w:p>
    <w:p w14:paraId="5EB9C634">
      <w:pPr>
        <w:jc w:val="center"/>
        <w:outlineLvl w:val="0"/>
        <w:rPr>
          <w:b/>
          <w:color w:val="auto"/>
          <w:sz w:val="32"/>
          <w:szCs w:val="32"/>
        </w:rPr>
      </w:pPr>
      <w:bookmarkStart w:id="74" w:name="_Toc32651"/>
      <w:r>
        <w:rPr>
          <w:rFonts w:hint="eastAsia"/>
          <w:b/>
          <w:color w:val="auto"/>
          <w:sz w:val="32"/>
          <w:szCs w:val="32"/>
        </w:rPr>
        <w:t>五、环境保护措施监督检查清单</w:t>
      </w:r>
      <w:bookmarkEnd w:id="74"/>
    </w:p>
    <w:tbl>
      <w:tblPr>
        <w:tblStyle w:val="69"/>
        <w:tblW w:w="4990" w:type="pct"/>
        <w:tblInd w:w="0" w:type="dxa"/>
        <w:tblLayout w:type="autofit"/>
        <w:tblCellMar>
          <w:top w:w="0" w:type="dxa"/>
          <w:left w:w="108" w:type="dxa"/>
          <w:bottom w:w="0" w:type="dxa"/>
          <w:right w:w="108" w:type="dxa"/>
        </w:tblCellMar>
      </w:tblPr>
      <w:tblGrid>
        <w:gridCol w:w="946"/>
        <w:gridCol w:w="862"/>
        <w:gridCol w:w="1002"/>
        <w:gridCol w:w="1649"/>
        <w:gridCol w:w="1910"/>
        <w:gridCol w:w="1089"/>
        <w:gridCol w:w="2264"/>
      </w:tblGrid>
      <w:tr w14:paraId="1E305C97">
        <w:tblPrEx>
          <w:tblCellMar>
            <w:top w:w="0" w:type="dxa"/>
            <w:left w:w="108" w:type="dxa"/>
            <w:bottom w:w="0" w:type="dxa"/>
            <w:right w:w="108" w:type="dxa"/>
          </w:tblCellMar>
        </w:tblPrEx>
        <w:trPr>
          <w:trHeight w:val="340" w:hRule="atLeast"/>
        </w:trPr>
        <w:tc>
          <w:tcPr>
            <w:tcW w:w="4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242D7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内容要素</w:t>
            </w:r>
          </w:p>
        </w:tc>
        <w:tc>
          <w:tcPr>
            <w:tcW w:w="958"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1B531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排放口（编号名称）</w:t>
            </w:r>
            <w:r>
              <w:rPr>
                <w:color w:val="auto"/>
                <w:kern w:val="0"/>
                <w:sz w:val="18"/>
                <w:szCs w:val="18"/>
                <w:lang w:bidi="ar"/>
              </w:rPr>
              <w:t>/</w:t>
            </w:r>
            <w:r>
              <w:rPr>
                <w:rFonts w:hint="eastAsia" w:cs="宋体"/>
                <w:color w:val="auto"/>
                <w:kern w:val="0"/>
                <w:sz w:val="18"/>
                <w:szCs w:val="18"/>
                <w:lang w:bidi="ar"/>
              </w:rPr>
              <w:t>污染源</w:t>
            </w:r>
          </w:p>
        </w:tc>
        <w:tc>
          <w:tcPr>
            <w:tcW w:w="8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6137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污染物项目</w:t>
            </w:r>
          </w:p>
        </w:tc>
        <w:tc>
          <w:tcPr>
            <w:tcW w:w="9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E5DC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环境保护措施</w:t>
            </w:r>
          </w:p>
        </w:tc>
        <w:tc>
          <w:tcPr>
            <w:tcW w:w="1723"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07D9FA">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执行标准</w:t>
            </w:r>
          </w:p>
        </w:tc>
      </w:tr>
      <w:tr w14:paraId="63F53063">
        <w:tblPrEx>
          <w:tblCellMar>
            <w:top w:w="0" w:type="dxa"/>
            <w:left w:w="108" w:type="dxa"/>
            <w:bottom w:w="0" w:type="dxa"/>
            <w:right w:w="108" w:type="dxa"/>
          </w:tblCellMar>
        </w:tblPrEx>
        <w:trPr>
          <w:trHeight w:val="340" w:hRule="atLeast"/>
        </w:trPr>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086B2">
            <w:pPr>
              <w:spacing w:line="240" w:lineRule="auto"/>
              <w:jc w:val="center"/>
              <w:rPr>
                <w:rFonts w:cs="宋体"/>
                <w:color w:val="auto"/>
                <w:sz w:val="18"/>
                <w:szCs w:val="18"/>
              </w:rPr>
            </w:pPr>
          </w:p>
        </w:tc>
        <w:tc>
          <w:tcPr>
            <w:tcW w:w="95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13738">
            <w:pPr>
              <w:spacing w:line="240" w:lineRule="auto"/>
              <w:jc w:val="center"/>
              <w:rPr>
                <w:rFonts w:cs="宋体"/>
                <w:color w:val="auto"/>
                <w:sz w:val="18"/>
                <w:szCs w:val="18"/>
              </w:rPr>
            </w:pPr>
          </w:p>
        </w:tc>
        <w:tc>
          <w:tcPr>
            <w:tcW w:w="8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E184E">
            <w:pPr>
              <w:spacing w:line="240" w:lineRule="auto"/>
              <w:jc w:val="center"/>
              <w:rPr>
                <w:rFonts w:cs="宋体"/>
                <w:color w:val="auto"/>
                <w:sz w:val="18"/>
                <w:szCs w:val="18"/>
              </w:rPr>
            </w:pPr>
          </w:p>
        </w:tc>
        <w:tc>
          <w:tcPr>
            <w:tcW w:w="9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0DCCA">
            <w:pPr>
              <w:spacing w:line="240" w:lineRule="auto"/>
              <w:jc w:val="center"/>
              <w:rPr>
                <w:rFonts w:cs="宋体"/>
                <w:color w:val="auto"/>
                <w:sz w:val="18"/>
                <w:szCs w:val="18"/>
              </w:rPr>
            </w:pPr>
          </w:p>
        </w:tc>
        <w:tc>
          <w:tcPr>
            <w:tcW w:w="172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83250">
            <w:pPr>
              <w:spacing w:line="240" w:lineRule="auto"/>
              <w:jc w:val="center"/>
              <w:rPr>
                <w:rFonts w:cs="宋体"/>
                <w:color w:val="auto"/>
                <w:sz w:val="18"/>
                <w:szCs w:val="18"/>
              </w:rPr>
            </w:pPr>
          </w:p>
        </w:tc>
      </w:tr>
      <w:tr w14:paraId="1C336B81">
        <w:tblPrEx>
          <w:tblCellMar>
            <w:top w:w="0" w:type="dxa"/>
            <w:left w:w="108" w:type="dxa"/>
            <w:bottom w:w="0" w:type="dxa"/>
            <w:right w:w="108" w:type="dxa"/>
          </w:tblCellMar>
        </w:tblPrEx>
        <w:trPr>
          <w:trHeight w:val="340" w:hRule="atLeast"/>
        </w:trPr>
        <w:tc>
          <w:tcPr>
            <w:tcW w:w="4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DB265">
            <w:pPr>
              <w:spacing w:line="240" w:lineRule="auto"/>
              <w:jc w:val="center"/>
              <w:rPr>
                <w:rFonts w:cs="宋体"/>
                <w:color w:val="auto"/>
                <w:sz w:val="18"/>
                <w:szCs w:val="18"/>
              </w:rPr>
            </w:pPr>
          </w:p>
        </w:tc>
        <w:tc>
          <w:tcPr>
            <w:tcW w:w="95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415E3">
            <w:pPr>
              <w:spacing w:line="240" w:lineRule="auto"/>
              <w:jc w:val="center"/>
              <w:rPr>
                <w:rFonts w:cs="宋体"/>
                <w:color w:val="auto"/>
                <w:sz w:val="18"/>
                <w:szCs w:val="18"/>
              </w:rPr>
            </w:pPr>
          </w:p>
        </w:tc>
        <w:tc>
          <w:tcPr>
            <w:tcW w:w="8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E1161">
            <w:pPr>
              <w:spacing w:line="240" w:lineRule="auto"/>
              <w:jc w:val="center"/>
              <w:rPr>
                <w:rFonts w:cs="宋体"/>
                <w:color w:val="auto"/>
                <w:sz w:val="18"/>
                <w:szCs w:val="18"/>
              </w:rPr>
            </w:pPr>
          </w:p>
        </w:tc>
        <w:tc>
          <w:tcPr>
            <w:tcW w:w="9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65F3A">
            <w:pPr>
              <w:spacing w:line="240" w:lineRule="auto"/>
              <w:jc w:val="center"/>
              <w:rPr>
                <w:rFonts w:cs="宋体"/>
                <w:color w:val="auto"/>
                <w:sz w:val="18"/>
                <w:szCs w:val="18"/>
              </w:rPr>
            </w:pPr>
          </w:p>
        </w:tc>
        <w:tc>
          <w:tcPr>
            <w:tcW w:w="172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D1412">
            <w:pPr>
              <w:spacing w:line="240" w:lineRule="auto"/>
              <w:jc w:val="center"/>
              <w:rPr>
                <w:rFonts w:cs="宋体"/>
                <w:color w:val="auto"/>
                <w:sz w:val="18"/>
                <w:szCs w:val="18"/>
              </w:rPr>
            </w:pPr>
          </w:p>
        </w:tc>
      </w:tr>
      <w:tr w14:paraId="671E0296">
        <w:tblPrEx>
          <w:tblCellMar>
            <w:top w:w="0" w:type="dxa"/>
            <w:left w:w="108" w:type="dxa"/>
            <w:bottom w:w="0" w:type="dxa"/>
            <w:right w:w="108" w:type="dxa"/>
          </w:tblCellMar>
        </w:tblPrEx>
        <w:trPr>
          <w:trHeight w:val="402" w:hRule="atLeast"/>
        </w:trPr>
        <w:tc>
          <w:tcPr>
            <w:tcW w:w="487" w:type="pct"/>
            <w:vMerge w:val="restart"/>
            <w:tcBorders>
              <w:top w:val="single" w:color="000000" w:sz="4" w:space="0"/>
              <w:left w:val="single" w:color="000000" w:sz="4" w:space="0"/>
              <w:right w:val="single" w:color="000000" w:sz="4" w:space="0"/>
            </w:tcBorders>
            <w:shd w:val="clear" w:color="auto" w:fill="auto"/>
            <w:vAlign w:val="center"/>
          </w:tcPr>
          <w:p w14:paraId="4D3466D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大气环境</w:t>
            </w:r>
          </w:p>
        </w:tc>
        <w:tc>
          <w:tcPr>
            <w:tcW w:w="443" w:type="pct"/>
            <w:vMerge w:val="restart"/>
            <w:tcBorders>
              <w:top w:val="single" w:color="000000" w:sz="4" w:space="0"/>
              <w:left w:val="single" w:color="000000" w:sz="4" w:space="0"/>
              <w:right w:val="single" w:color="000000" w:sz="4" w:space="0"/>
            </w:tcBorders>
            <w:shd w:val="clear" w:color="auto" w:fill="auto"/>
            <w:vAlign w:val="center"/>
          </w:tcPr>
          <w:p w14:paraId="1153E1E4">
            <w:pPr>
              <w:spacing w:line="240" w:lineRule="auto"/>
              <w:jc w:val="center"/>
              <w:rPr>
                <w:rFonts w:hint="default" w:eastAsia="宋体" w:cs="宋体"/>
                <w:color w:val="auto"/>
                <w:sz w:val="18"/>
                <w:szCs w:val="18"/>
                <w:lang w:val="en-US" w:eastAsia="zh-CN"/>
              </w:rPr>
            </w:pPr>
            <w:r>
              <w:rPr>
                <w:rFonts w:hint="eastAsia" w:cs="宋体"/>
                <w:color w:val="auto"/>
                <w:sz w:val="18"/>
                <w:szCs w:val="18"/>
              </w:rPr>
              <w:t>DA0</w:t>
            </w:r>
            <w:r>
              <w:rPr>
                <w:rFonts w:hint="eastAsia" w:cs="宋体"/>
                <w:color w:val="auto"/>
                <w:sz w:val="18"/>
                <w:szCs w:val="18"/>
                <w:lang w:val="en-US" w:eastAsia="zh-CN"/>
              </w:rPr>
              <w:t>28</w:t>
            </w:r>
          </w:p>
        </w:tc>
        <w:tc>
          <w:tcPr>
            <w:tcW w:w="515" w:type="pct"/>
            <w:vMerge w:val="restart"/>
            <w:tcBorders>
              <w:top w:val="single" w:color="000000" w:sz="4" w:space="0"/>
              <w:left w:val="single" w:color="000000" w:sz="4" w:space="0"/>
              <w:right w:val="single" w:color="000000" w:sz="4" w:space="0"/>
            </w:tcBorders>
            <w:shd w:val="clear" w:color="auto" w:fill="auto"/>
            <w:vAlign w:val="center"/>
          </w:tcPr>
          <w:p w14:paraId="460EAF5C">
            <w:pPr>
              <w:spacing w:line="240" w:lineRule="auto"/>
              <w:jc w:val="center"/>
              <w:rPr>
                <w:rFonts w:hint="default" w:eastAsia="宋体" w:cs="宋体"/>
                <w:color w:val="auto"/>
                <w:sz w:val="18"/>
                <w:szCs w:val="18"/>
                <w:lang w:val="en-US" w:eastAsia="zh-CN"/>
              </w:rPr>
            </w:pPr>
            <w:r>
              <w:rPr>
                <w:rFonts w:hint="eastAsia" w:cs="宋体"/>
                <w:color w:val="auto"/>
                <w:sz w:val="18"/>
                <w:szCs w:val="18"/>
                <w:lang w:val="en-US" w:eastAsia="zh-CN"/>
              </w:rPr>
              <w:t>熔炼、扒渣、除气除渣、离心浇铸</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E0624">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颗粒物</w:t>
            </w:r>
          </w:p>
        </w:tc>
        <w:tc>
          <w:tcPr>
            <w:tcW w:w="982" w:type="pct"/>
            <w:vMerge w:val="restart"/>
            <w:tcBorders>
              <w:top w:val="single" w:color="000000" w:sz="4" w:space="0"/>
              <w:left w:val="single" w:color="000000" w:sz="4" w:space="0"/>
              <w:right w:val="single" w:color="000000" w:sz="4" w:space="0"/>
            </w:tcBorders>
            <w:shd w:val="clear" w:color="auto" w:fill="auto"/>
            <w:vAlign w:val="center"/>
          </w:tcPr>
          <w:p w14:paraId="460785A2">
            <w:pPr>
              <w:spacing w:line="240" w:lineRule="auto"/>
              <w:jc w:val="center"/>
              <w:rPr>
                <w:rFonts w:hint="default" w:ascii="Times New Roman" w:hAnsi="Times New Roman" w:eastAsia="宋体" w:cs="宋体"/>
                <w:color w:val="auto"/>
                <w:kern w:val="2"/>
                <w:sz w:val="18"/>
                <w:szCs w:val="18"/>
                <w:lang w:val="en-US" w:eastAsia="zh-CN" w:bidi="ar-SA"/>
              </w:rPr>
            </w:pPr>
            <w:r>
              <w:rPr>
                <w:rFonts w:hint="eastAsia" w:cs="宋体"/>
                <w:color w:val="auto"/>
                <w:sz w:val="18"/>
                <w:szCs w:val="18"/>
              </w:rPr>
              <w:t>集气</w:t>
            </w:r>
            <w:r>
              <w:rPr>
                <w:rFonts w:hint="eastAsia" w:cs="宋体"/>
                <w:color w:val="auto"/>
                <w:sz w:val="18"/>
                <w:szCs w:val="18"/>
                <w:lang w:val="en-US" w:eastAsia="zh-CN"/>
              </w:rPr>
              <w:t>装置</w:t>
            </w:r>
            <w:r>
              <w:rPr>
                <w:rFonts w:hint="eastAsia" w:cs="宋体"/>
                <w:color w:val="auto"/>
                <w:sz w:val="18"/>
                <w:szCs w:val="18"/>
              </w:rPr>
              <w:t>+</w:t>
            </w:r>
            <w:r>
              <w:rPr>
                <w:rFonts w:hint="eastAsia" w:cs="宋体"/>
                <w:color w:val="auto"/>
                <w:sz w:val="18"/>
                <w:szCs w:val="18"/>
                <w:lang w:val="en-US" w:eastAsia="zh-CN"/>
              </w:rPr>
              <w:t>带式除尘</w:t>
            </w:r>
            <w:r>
              <w:rPr>
                <w:rFonts w:hint="eastAsia" w:cs="宋体"/>
                <w:color w:val="auto"/>
                <w:sz w:val="18"/>
                <w:szCs w:val="18"/>
              </w:rPr>
              <w:t>装置</w:t>
            </w:r>
          </w:p>
        </w:tc>
        <w:tc>
          <w:tcPr>
            <w:tcW w:w="560" w:type="pct"/>
            <w:tcBorders>
              <w:top w:val="single" w:color="000000" w:sz="4" w:space="0"/>
              <w:left w:val="single" w:color="000000" w:sz="4" w:space="0"/>
              <w:bottom w:val="single" w:color="000000" w:sz="4" w:space="0"/>
              <w:right w:val="single" w:color="auto" w:sz="4" w:space="0"/>
            </w:tcBorders>
            <w:shd w:val="clear" w:color="auto" w:fill="auto"/>
            <w:vAlign w:val="center"/>
          </w:tcPr>
          <w:p w14:paraId="59F8EA10">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30</w:t>
            </w:r>
            <w:r>
              <w:rPr>
                <w:color w:val="auto"/>
                <w:kern w:val="0"/>
                <w:sz w:val="18"/>
                <w:szCs w:val="18"/>
                <w:lang w:bidi="ar"/>
              </w:rPr>
              <w:t>mg/m</w:t>
            </w:r>
            <w:r>
              <w:rPr>
                <w:color w:val="auto"/>
                <w:kern w:val="0"/>
                <w:sz w:val="18"/>
                <w:szCs w:val="18"/>
                <w:vertAlign w:val="superscript"/>
                <w:lang w:bidi="ar"/>
              </w:rPr>
              <w:t>3</w:t>
            </w:r>
          </w:p>
        </w:tc>
        <w:tc>
          <w:tcPr>
            <w:tcW w:w="1163" w:type="pct"/>
            <w:tcBorders>
              <w:top w:val="single" w:color="auto" w:sz="4" w:space="0"/>
              <w:left w:val="single" w:color="auto" w:sz="4" w:space="0"/>
              <w:bottom w:val="single" w:color="auto" w:sz="4" w:space="0"/>
              <w:right w:val="single" w:color="auto" w:sz="4" w:space="0"/>
            </w:tcBorders>
            <w:shd w:val="clear" w:color="auto" w:fill="auto"/>
            <w:vAlign w:val="center"/>
          </w:tcPr>
          <w:p w14:paraId="21D1B6C6">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eastAsia="宋体"/>
                <w:color w:val="auto"/>
                <w:sz w:val="18"/>
                <w:szCs w:val="18"/>
                <w:lang w:eastAsia="zh-CN"/>
              </w:rPr>
              <w:t>《铸造工业大气污染物排放标准》（GB39726-2020）中相应标准限值</w:t>
            </w:r>
          </w:p>
        </w:tc>
      </w:tr>
      <w:tr w14:paraId="149648C0">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000000" w:sz="4" w:space="0"/>
            </w:tcBorders>
            <w:shd w:val="clear" w:color="auto" w:fill="auto"/>
            <w:vAlign w:val="center"/>
          </w:tcPr>
          <w:p w14:paraId="52A0BA73">
            <w:pPr>
              <w:widowControl/>
              <w:spacing w:line="240" w:lineRule="auto"/>
              <w:jc w:val="center"/>
              <w:textAlignment w:val="center"/>
              <w:rPr>
                <w:rFonts w:hint="eastAsia" w:cs="宋体"/>
                <w:color w:val="auto"/>
                <w:kern w:val="0"/>
                <w:sz w:val="18"/>
                <w:szCs w:val="18"/>
                <w:lang w:bidi="ar"/>
              </w:rPr>
            </w:pPr>
          </w:p>
        </w:tc>
        <w:tc>
          <w:tcPr>
            <w:tcW w:w="443" w:type="pct"/>
            <w:vMerge w:val="continue"/>
            <w:tcBorders>
              <w:left w:val="single" w:color="000000" w:sz="4" w:space="0"/>
              <w:right w:val="single" w:color="000000" w:sz="4" w:space="0"/>
            </w:tcBorders>
            <w:shd w:val="clear" w:color="auto" w:fill="auto"/>
            <w:vAlign w:val="center"/>
          </w:tcPr>
          <w:p w14:paraId="79F7C4F2">
            <w:pPr>
              <w:spacing w:line="240" w:lineRule="auto"/>
              <w:jc w:val="center"/>
              <w:rPr>
                <w:rFonts w:hint="eastAsia" w:cs="宋体"/>
                <w:color w:val="auto"/>
                <w:sz w:val="18"/>
                <w:szCs w:val="18"/>
              </w:rPr>
            </w:pPr>
          </w:p>
        </w:tc>
        <w:tc>
          <w:tcPr>
            <w:tcW w:w="515" w:type="pct"/>
            <w:vMerge w:val="continue"/>
            <w:tcBorders>
              <w:left w:val="single" w:color="000000" w:sz="4" w:space="0"/>
              <w:right w:val="single" w:color="000000" w:sz="4" w:space="0"/>
            </w:tcBorders>
            <w:shd w:val="clear" w:color="auto" w:fill="auto"/>
            <w:vAlign w:val="center"/>
          </w:tcPr>
          <w:p w14:paraId="46B8E317">
            <w:pPr>
              <w:spacing w:line="240" w:lineRule="auto"/>
              <w:jc w:val="center"/>
              <w:rPr>
                <w:rFonts w:hint="eastAsia" w:cs="宋体"/>
                <w:color w:val="auto"/>
                <w:sz w:val="18"/>
                <w:szCs w:val="18"/>
                <w:lang w:val="en-US" w:eastAsia="zh-CN"/>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AD5C7">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氟化物</w:t>
            </w:r>
          </w:p>
        </w:tc>
        <w:tc>
          <w:tcPr>
            <w:tcW w:w="982" w:type="pct"/>
            <w:vMerge w:val="continue"/>
            <w:tcBorders>
              <w:left w:val="single" w:color="000000" w:sz="4" w:space="0"/>
              <w:right w:val="single" w:color="000000" w:sz="4" w:space="0"/>
            </w:tcBorders>
            <w:shd w:val="clear" w:color="auto" w:fill="auto"/>
            <w:vAlign w:val="center"/>
          </w:tcPr>
          <w:p w14:paraId="702EA6B1">
            <w:pPr>
              <w:spacing w:line="240" w:lineRule="auto"/>
              <w:jc w:val="center"/>
              <w:rPr>
                <w:rFonts w:hint="eastAsia" w:cs="宋体"/>
                <w:color w:val="auto"/>
                <w:sz w:val="18"/>
                <w:szCs w:val="18"/>
              </w:rPr>
            </w:pPr>
          </w:p>
        </w:tc>
        <w:tc>
          <w:tcPr>
            <w:tcW w:w="560" w:type="pct"/>
            <w:tcBorders>
              <w:top w:val="single" w:color="000000" w:sz="4" w:space="0"/>
              <w:left w:val="single" w:color="000000" w:sz="4" w:space="0"/>
              <w:bottom w:val="single" w:color="000000" w:sz="4" w:space="0"/>
              <w:right w:val="single" w:color="auto" w:sz="4" w:space="0"/>
            </w:tcBorders>
            <w:shd w:val="clear" w:color="auto" w:fill="auto"/>
            <w:vAlign w:val="center"/>
          </w:tcPr>
          <w:p w14:paraId="2B8C88C9">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9</w:t>
            </w:r>
            <w:r>
              <w:rPr>
                <w:color w:val="auto"/>
                <w:kern w:val="0"/>
                <w:sz w:val="18"/>
                <w:szCs w:val="18"/>
                <w:lang w:bidi="ar"/>
              </w:rPr>
              <w:t>mg/m</w:t>
            </w:r>
            <w:r>
              <w:rPr>
                <w:color w:val="auto"/>
                <w:kern w:val="0"/>
                <w:sz w:val="18"/>
                <w:szCs w:val="18"/>
                <w:vertAlign w:val="superscript"/>
                <w:lang w:bidi="ar"/>
              </w:rPr>
              <w:t>3</w:t>
            </w:r>
          </w:p>
        </w:tc>
        <w:tc>
          <w:tcPr>
            <w:tcW w:w="1163" w:type="pct"/>
            <w:vMerge w:val="restart"/>
            <w:tcBorders>
              <w:top w:val="single" w:color="auto" w:sz="4" w:space="0"/>
              <w:left w:val="single" w:color="auto" w:sz="4" w:space="0"/>
              <w:right w:val="single" w:color="auto" w:sz="4" w:space="0"/>
            </w:tcBorders>
            <w:shd w:val="clear" w:color="auto" w:fill="auto"/>
            <w:vAlign w:val="center"/>
          </w:tcPr>
          <w:p w14:paraId="3E386A9D">
            <w:pPr>
              <w:spacing w:line="240" w:lineRule="auto"/>
              <w:jc w:val="center"/>
              <w:rPr>
                <w:rFonts w:hint="eastAsia" w:cs="宋体"/>
                <w:color w:val="auto"/>
                <w:sz w:val="18"/>
                <w:szCs w:val="18"/>
              </w:rPr>
            </w:pPr>
            <w:r>
              <w:rPr>
                <w:rFonts w:hint="eastAsia"/>
                <w:color w:val="auto"/>
                <w:sz w:val="18"/>
                <w:szCs w:val="18"/>
              </w:rPr>
              <w:t>《</w:t>
            </w:r>
            <w:r>
              <w:rPr>
                <w:rFonts w:hint="eastAsia"/>
                <w:color w:val="auto"/>
                <w:sz w:val="18"/>
                <w:szCs w:val="18"/>
                <w:lang w:val="en-US" w:eastAsia="zh-CN"/>
              </w:rPr>
              <w:t>大气</w:t>
            </w:r>
            <w:r>
              <w:rPr>
                <w:rFonts w:hint="eastAsia"/>
                <w:color w:val="auto"/>
                <w:sz w:val="18"/>
                <w:szCs w:val="18"/>
              </w:rPr>
              <w:t>污染物</w:t>
            </w:r>
            <w:r>
              <w:rPr>
                <w:rFonts w:hint="eastAsia"/>
                <w:color w:val="auto"/>
                <w:sz w:val="18"/>
                <w:szCs w:val="18"/>
                <w:lang w:val="en-US" w:eastAsia="zh-CN"/>
              </w:rPr>
              <w:t>综合</w:t>
            </w:r>
            <w:r>
              <w:rPr>
                <w:rFonts w:hint="eastAsia"/>
                <w:color w:val="auto"/>
                <w:sz w:val="18"/>
                <w:szCs w:val="18"/>
              </w:rPr>
              <w:t>排放标准》（GB 16297-1996）表2</w:t>
            </w:r>
          </w:p>
        </w:tc>
      </w:tr>
      <w:tr w14:paraId="023086A3">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000000" w:sz="4" w:space="0"/>
            </w:tcBorders>
            <w:shd w:val="clear" w:color="auto" w:fill="auto"/>
            <w:vAlign w:val="center"/>
          </w:tcPr>
          <w:p w14:paraId="053F1C56">
            <w:pPr>
              <w:widowControl/>
              <w:spacing w:line="240" w:lineRule="auto"/>
              <w:jc w:val="center"/>
              <w:textAlignment w:val="center"/>
              <w:rPr>
                <w:rFonts w:hint="eastAsia" w:cs="宋体"/>
                <w:color w:val="auto"/>
                <w:kern w:val="0"/>
                <w:sz w:val="18"/>
                <w:szCs w:val="18"/>
                <w:lang w:bidi="ar"/>
              </w:rPr>
            </w:pPr>
          </w:p>
        </w:tc>
        <w:tc>
          <w:tcPr>
            <w:tcW w:w="443" w:type="pct"/>
            <w:vMerge w:val="continue"/>
            <w:tcBorders>
              <w:left w:val="single" w:color="000000" w:sz="4" w:space="0"/>
              <w:bottom w:val="single" w:color="000000" w:sz="4" w:space="0"/>
              <w:right w:val="single" w:color="000000" w:sz="4" w:space="0"/>
            </w:tcBorders>
            <w:shd w:val="clear" w:color="auto" w:fill="auto"/>
            <w:vAlign w:val="center"/>
          </w:tcPr>
          <w:p w14:paraId="4D37DEC4">
            <w:pPr>
              <w:spacing w:line="240" w:lineRule="auto"/>
              <w:jc w:val="center"/>
              <w:rPr>
                <w:rFonts w:hint="eastAsia" w:cs="宋体"/>
                <w:color w:val="auto"/>
                <w:sz w:val="18"/>
                <w:szCs w:val="18"/>
              </w:rPr>
            </w:pPr>
          </w:p>
        </w:tc>
        <w:tc>
          <w:tcPr>
            <w:tcW w:w="515" w:type="pct"/>
            <w:vMerge w:val="continue"/>
            <w:tcBorders>
              <w:left w:val="single" w:color="000000" w:sz="4" w:space="0"/>
              <w:bottom w:val="single" w:color="000000" w:sz="4" w:space="0"/>
              <w:right w:val="single" w:color="000000" w:sz="4" w:space="0"/>
            </w:tcBorders>
            <w:shd w:val="clear" w:color="auto" w:fill="auto"/>
            <w:vAlign w:val="center"/>
          </w:tcPr>
          <w:p w14:paraId="6CB52046">
            <w:pPr>
              <w:spacing w:line="240" w:lineRule="auto"/>
              <w:jc w:val="center"/>
              <w:rPr>
                <w:rFonts w:hint="eastAsia" w:cs="宋体"/>
                <w:color w:val="auto"/>
                <w:sz w:val="18"/>
                <w:szCs w:val="18"/>
                <w:lang w:val="en-US" w:eastAsia="zh-CN"/>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408BD">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氯化氢</w:t>
            </w:r>
          </w:p>
        </w:tc>
        <w:tc>
          <w:tcPr>
            <w:tcW w:w="982" w:type="pct"/>
            <w:vMerge w:val="continue"/>
            <w:tcBorders>
              <w:left w:val="single" w:color="000000" w:sz="4" w:space="0"/>
              <w:bottom w:val="single" w:color="auto" w:sz="4" w:space="0"/>
              <w:right w:val="single" w:color="000000" w:sz="4" w:space="0"/>
            </w:tcBorders>
            <w:shd w:val="clear" w:color="auto" w:fill="auto"/>
            <w:vAlign w:val="center"/>
          </w:tcPr>
          <w:p w14:paraId="3B71C62D">
            <w:pPr>
              <w:spacing w:line="240" w:lineRule="auto"/>
              <w:jc w:val="center"/>
              <w:rPr>
                <w:rFonts w:hint="eastAsia" w:cs="宋体"/>
                <w:color w:val="auto"/>
                <w:sz w:val="18"/>
                <w:szCs w:val="18"/>
              </w:rPr>
            </w:pPr>
          </w:p>
        </w:tc>
        <w:tc>
          <w:tcPr>
            <w:tcW w:w="5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A58E4">
            <w:pPr>
              <w:spacing w:line="240" w:lineRule="auto"/>
              <w:jc w:val="center"/>
              <w:rPr>
                <w:rFonts w:hint="eastAsia"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100</w:t>
            </w:r>
            <w:r>
              <w:rPr>
                <w:color w:val="auto"/>
                <w:kern w:val="0"/>
                <w:sz w:val="18"/>
                <w:szCs w:val="18"/>
                <w:lang w:bidi="ar"/>
              </w:rPr>
              <w:t>mg/m</w:t>
            </w:r>
            <w:r>
              <w:rPr>
                <w:color w:val="auto"/>
                <w:kern w:val="0"/>
                <w:sz w:val="18"/>
                <w:szCs w:val="18"/>
                <w:vertAlign w:val="superscript"/>
                <w:lang w:bidi="ar"/>
              </w:rPr>
              <w:t>3</w:t>
            </w:r>
          </w:p>
        </w:tc>
        <w:tc>
          <w:tcPr>
            <w:tcW w:w="1163" w:type="pct"/>
            <w:vMerge w:val="continue"/>
            <w:tcBorders>
              <w:left w:val="single" w:color="auto" w:sz="4" w:space="0"/>
              <w:bottom w:val="single" w:color="auto" w:sz="4" w:space="0"/>
              <w:right w:val="single" w:color="auto" w:sz="4" w:space="0"/>
            </w:tcBorders>
            <w:shd w:val="clear" w:color="auto" w:fill="auto"/>
            <w:vAlign w:val="center"/>
          </w:tcPr>
          <w:p w14:paraId="10E539C7">
            <w:pPr>
              <w:spacing w:line="240" w:lineRule="auto"/>
              <w:jc w:val="center"/>
              <w:rPr>
                <w:rFonts w:hint="eastAsia" w:cs="宋体"/>
                <w:color w:val="auto"/>
                <w:sz w:val="18"/>
                <w:szCs w:val="18"/>
              </w:rPr>
            </w:pPr>
          </w:p>
        </w:tc>
      </w:tr>
      <w:tr w14:paraId="4A839B03">
        <w:tblPrEx>
          <w:tblCellMar>
            <w:top w:w="0" w:type="dxa"/>
            <w:left w:w="108" w:type="dxa"/>
            <w:bottom w:w="0" w:type="dxa"/>
            <w:right w:w="108" w:type="dxa"/>
          </w:tblCellMar>
        </w:tblPrEx>
        <w:trPr>
          <w:trHeight w:val="343" w:hRule="atLeast"/>
        </w:trPr>
        <w:tc>
          <w:tcPr>
            <w:tcW w:w="487" w:type="pct"/>
            <w:vMerge w:val="continue"/>
            <w:tcBorders>
              <w:left w:val="single" w:color="000000" w:sz="4" w:space="0"/>
              <w:right w:val="single" w:color="auto" w:sz="4" w:space="0"/>
            </w:tcBorders>
            <w:shd w:val="clear" w:color="auto" w:fill="auto"/>
            <w:vAlign w:val="center"/>
          </w:tcPr>
          <w:p w14:paraId="6477C663">
            <w:pPr>
              <w:widowControl/>
              <w:spacing w:line="240" w:lineRule="auto"/>
              <w:jc w:val="center"/>
              <w:textAlignment w:val="center"/>
              <w:rPr>
                <w:rFonts w:cs="宋体"/>
                <w:color w:val="auto"/>
                <w:sz w:val="18"/>
                <w:szCs w:val="18"/>
              </w:rPr>
            </w:pPr>
          </w:p>
        </w:tc>
        <w:tc>
          <w:tcPr>
            <w:tcW w:w="958" w:type="pct"/>
            <w:gridSpan w:val="2"/>
            <w:vMerge w:val="restart"/>
            <w:tcBorders>
              <w:top w:val="single" w:color="auto" w:sz="4" w:space="0"/>
              <w:left w:val="single" w:color="auto" w:sz="4" w:space="0"/>
              <w:right w:val="single" w:color="auto" w:sz="4" w:space="0"/>
            </w:tcBorders>
            <w:shd w:val="clear" w:color="auto" w:fill="auto"/>
            <w:vAlign w:val="center"/>
          </w:tcPr>
          <w:p w14:paraId="5C4F661D">
            <w:pPr>
              <w:widowControl/>
              <w:spacing w:line="240" w:lineRule="auto"/>
              <w:jc w:val="center"/>
              <w:textAlignment w:val="center"/>
              <w:rPr>
                <w:rFonts w:hint="default" w:eastAsia="宋体" w:cs="宋体"/>
                <w:color w:val="auto"/>
                <w:sz w:val="18"/>
                <w:szCs w:val="18"/>
                <w:lang w:val="en-US" w:eastAsia="zh-CN"/>
              </w:rPr>
            </w:pPr>
            <w:r>
              <w:rPr>
                <w:rFonts w:hint="eastAsia"/>
                <w:color w:val="auto"/>
                <w:sz w:val="18"/>
                <w:szCs w:val="18"/>
              </w:rPr>
              <w:t>厂界</w:t>
            </w:r>
            <w:r>
              <w:rPr>
                <w:rFonts w:hint="eastAsia"/>
                <w:color w:val="auto"/>
                <w:sz w:val="18"/>
                <w:szCs w:val="18"/>
                <w:lang w:eastAsia="zh-CN"/>
              </w:rPr>
              <w:t>、</w:t>
            </w:r>
            <w:r>
              <w:rPr>
                <w:rFonts w:hint="eastAsia"/>
                <w:color w:val="auto"/>
                <w:sz w:val="18"/>
                <w:szCs w:val="18"/>
                <w:lang w:val="en-US" w:eastAsia="zh-CN"/>
              </w:rPr>
              <w:t>厂区内</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004472DF">
            <w:pPr>
              <w:spacing w:line="240" w:lineRule="auto"/>
              <w:jc w:val="center"/>
              <w:rPr>
                <w:rFonts w:cs="宋体"/>
                <w:color w:val="auto"/>
                <w:sz w:val="18"/>
                <w:szCs w:val="18"/>
              </w:rPr>
            </w:pPr>
            <w:r>
              <w:rPr>
                <w:rFonts w:hint="eastAsia" w:cs="宋体"/>
                <w:color w:val="auto"/>
                <w:sz w:val="18"/>
                <w:szCs w:val="18"/>
                <w:lang w:val="en-US" w:eastAsia="zh-CN"/>
              </w:rPr>
              <w:t>颗粒物</w:t>
            </w:r>
          </w:p>
        </w:tc>
        <w:tc>
          <w:tcPr>
            <w:tcW w:w="98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01CC9B">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sz w:val="18"/>
                <w:szCs w:val="18"/>
                <w:lang w:val="en-US" w:eastAsia="zh-CN"/>
              </w:rPr>
              <w:t>车间</w:t>
            </w:r>
            <w:r>
              <w:rPr>
                <w:rFonts w:hint="eastAsia" w:cs="宋体"/>
                <w:color w:val="auto"/>
                <w:sz w:val="18"/>
                <w:szCs w:val="18"/>
              </w:rPr>
              <w:t>加强各环节密闭，增加废气收集效率</w:t>
            </w:r>
            <w:r>
              <w:rPr>
                <w:rFonts w:hint="eastAsia" w:cs="宋体"/>
                <w:color w:val="auto"/>
                <w:sz w:val="18"/>
                <w:szCs w:val="18"/>
                <w:lang w:eastAsia="zh-CN"/>
              </w:rPr>
              <w:t>，</w:t>
            </w:r>
            <w:r>
              <w:rPr>
                <w:rFonts w:hint="eastAsia" w:cs="宋体"/>
                <w:color w:val="auto"/>
                <w:sz w:val="18"/>
                <w:szCs w:val="18"/>
                <w:lang w:val="en-US" w:eastAsia="zh-CN"/>
              </w:rPr>
              <w:t>厂区内加强通风、绿化</w:t>
            </w:r>
          </w:p>
        </w:tc>
        <w:tc>
          <w:tcPr>
            <w:tcW w:w="560" w:type="pct"/>
            <w:tcBorders>
              <w:top w:val="single" w:color="auto" w:sz="4" w:space="0"/>
              <w:left w:val="single" w:color="auto" w:sz="4" w:space="0"/>
              <w:bottom w:val="single" w:color="auto" w:sz="4" w:space="0"/>
              <w:right w:val="single" w:color="auto" w:sz="4" w:space="0"/>
            </w:tcBorders>
            <w:shd w:val="clear" w:color="auto" w:fill="auto"/>
            <w:vAlign w:val="center"/>
          </w:tcPr>
          <w:p w14:paraId="206A9CAC">
            <w:pPr>
              <w:widowControl/>
              <w:spacing w:line="240" w:lineRule="auto"/>
              <w:jc w:val="center"/>
              <w:textAlignment w:val="center"/>
              <w:rPr>
                <w:color w:val="auto"/>
                <w:sz w:val="18"/>
                <w:szCs w:val="18"/>
              </w:rPr>
            </w:pPr>
            <w:r>
              <w:rPr>
                <w:rFonts w:hint="eastAsia"/>
                <w:color w:val="auto"/>
                <w:kern w:val="0"/>
                <w:sz w:val="18"/>
                <w:szCs w:val="18"/>
                <w:lang w:val="en-US" w:eastAsia="zh-CN" w:bidi="ar"/>
              </w:rPr>
              <w:t>1</w:t>
            </w:r>
            <w:r>
              <w:rPr>
                <w:color w:val="auto"/>
                <w:kern w:val="0"/>
                <w:sz w:val="18"/>
                <w:szCs w:val="18"/>
                <w:lang w:bidi="ar"/>
              </w:rPr>
              <w:t>mg/m</w:t>
            </w:r>
            <w:r>
              <w:rPr>
                <w:color w:val="auto"/>
                <w:kern w:val="0"/>
                <w:sz w:val="18"/>
                <w:szCs w:val="18"/>
                <w:vertAlign w:val="superscript"/>
                <w:lang w:bidi="ar"/>
              </w:rPr>
              <w:t>3</w:t>
            </w:r>
          </w:p>
        </w:tc>
        <w:tc>
          <w:tcPr>
            <w:tcW w:w="1163" w:type="pct"/>
            <w:vMerge w:val="restart"/>
            <w:tcBorders>
              <w:top w:val="single" w:color="auto" w:sz="4" w:space="0"/>
              <w:left w:val="single" w:color="auto" w:sz="4" w:space="0"/>
              <w:right w:val="single" w:color="auto" w:sz="4" w:space="0"/>
            </w:tcBorders>
            <w:shd w:val="clear" w:color="auto" w:fill="auto"/>
            <w:vAlign w:val="center"/>
          </w:tcPr>
          <w:p w14:paraId="126BF9A9">
            <w:pPr>
              <w:widowControl/>
              <w:spacing w:line="240" w:lineRule="auto"/>
              <w:jc w:val="center"/>
              <w:textAlignment w:val="center"/>
              <w:rPr>
                <w:rFonts w:cs="宋体"/>
                <w:color w:val="auto"/>
                <w:sz w:val="18"/>
                <w:szCs w:val="18"/>
              </w:rPr>
            </w:pPr>
            <w:r>
              <w:rPr>
                <w:rFonts w:hint="eastAsia"/>
                <w:color w:val="auto"/>
                <w:sz w:val="18"/>
                <w:szCs w:val="18"/>
              </w:rPr>
              <w:t>《</w:t>
            </w:r>
            <w:r>
              <w:rPr>
                <w:rFonts w:hint="eastAsia"/>
                <w:color w:val="auto"/>
                <w:sz w:val="18"/>
                <w:szCs w:val="18"/>
                <w:lang w:val="en-US" w:eastAsia="zh-CN"/>
              </w:rPr>
              <w:t>大气</w:t>
            </w:r>
            <w:r>
              <w:rPr>
                <w:rFonts w:hint="eastAsia"/>
                <w:color w:val="auto"/>
                <w:sz w:val="18"/>
                <w:szCs w:val="18"/>
              </w:rPr>
              <w:t>污染物</w:t>
            </w:r>
            <w:r>
              <w:rPr>
                <w:rFonts w:hint="eastAsia"/>
                <w:color w:val="auto"/>
                <w:sz w:val="18"/>
                <w:szCs w:val="18"/>
                <w:lang w:val="en-US" w:eastAsia="zh-CN"/>
              </w:rPr>
              <w:t>综合</w:t>
            </w:r>
            <w:r>
              <w:rPr>
                <w:rFonts w:hint="eastAsia"/>
                <w:color w:val="auto"/>
                <w:sz w:val="18"/>
                <w:szCs w:val="18"/>
              </w:rPr>
              <w:t>排放标准》（GB 16297-1996）</w:t>
            </w:r>
          </w:p>
        </w:tc>
      </w:tr>
      <w:tr w14:paraId="72A91870">
        <w:tblPrEx>
          <w:tblCellMar>
            <w:top w:w="0" w:type="dxa"/>
            <w:left w:w="108" w:type="dxa"/>
            <w:bottom w:w="0" w:type="dxa"/>
            <w:right w:w="108" w:type="dxa"/>
          </w:tblCellMar>
        </w:tblPrEx>
        <w:trPr>
          <w:trHeight w:val="343" w:hRule="atLeast"/>
        </w:trPr>
        <w:tc>
          <w:tcPr>
            <w:tcW w:w="487" w:type="pct"/>
            <w:vMerge w:val="continue"/>
            <w:tcBorders>
              <w:left w:val="single" w:color="000000" w:sz="4" w:space="0"/>
              <w:right w:val="single" w:color="auto" w:sz="4" w:space="0"/>
            </w:tcBorders>
            <w:shd w:val="clear" w:color="auto" w:fill="auto"/>
            <w:vAlign w:val="center"/>
          </w:tcPr>
          <w:p w14:paraId="62F4F0B3">
            <w:pPr>
              <w:widowControl/>
              <w:spacing w:line="240" w:lineRule="auto"/>
              <w:jc w:val="center"/>
              <w:textAlignment w:val="center"/>
              <w:rPr>
                <w:rFonts w:cs="宋体"/>
                <w:color w:val="auto"/>
                <w:sz w:val="18"/>
                <w:szCs w:val="18"/>
              </w:rPr>
            </w:pPr>
          </w:p>
        </w:tc>
        <w:tc>
          <w:tcPr>
            <w:tcW w:w="958" w:type="pct"/>
            <w:gridSpan w:val="2"/>
            <w:vMerge w:val="continue"/>
            <w:tcBorders>
              <w:left w:val="single" w:color="auto" w:sz="4" w:space="0"/>
              <w:right w:val="single" w:color="auto" w:sz="4" w:space="0"/>
            </w:tcBorders>
            <w:shd w:val="clear" w:color="auto" w:fill="auto"/>
            <w:vAlign w:val="center"/>
          </w:tcPr>
          <w:p w14:paraId="413A6137">
            <w:pPr>
              <w:widowControl/>
              <w:spacing w:line="240" w:lineRule="auto"/>
              <w:jc w:val="center"/>
              <w:textAlignment w:val="center"/>
              <w:rPr>
                <w:rFonts w:hint="eastAsia"/>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22029E49">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二氧化硫</w:t>
            </w:r>
          </w:p>
        </w:tc>
        <w:tc>
          <w:tcPr>
            <w:tcW w:w="982" w:type="pct"/>
            <w:vMerge w:val="continue"/>
            <w:tcBorders>
              <w:left w:val="single" w:color="auto" w:sz="4" w:space="0"/>
              <w:right w:val="single" w:color="auto" w:sz="4" w:space="0"/>
            </w:tcBorders>
            <w:shd w:val="clear" w:color="auto" w:fill="auto"/>
            <w:vAlign w:val="center"/>
          </w:tcPr>
          <w:p w14:paraId="4032F45C">
            <w:pPr>
              <w:widowControl/>
              <w:spacing w:line="240" w:lineRule="auto"/>
              <w:jc w:val="center"/>
              <w:textAlignment w:val="center"/>
              <w:rPr>
                <w:rFonts w:hint="eastAsia" w:cs="宋体"/>
                <w:color w:val="auto"/>
                <w:sz w:val="18"/>
                <w:szCs w:val="18"/>
              </w:rPr>
            </w:pPr>
          </w:p>
        </w:tc>
        <w:tc>
          <w:tcPr>
            <w:tcW w:w="560" w:type="pct"/>
            <w:tcBorders>
              <w:top w:val="single" w:color="auto" w:sz="4" w:space="0"/>
              <w:left w:val="single" w:color="auto" w:sz="4" w:space="0"/>
              <w:bottom w:val="single" w:color="auto" w:sz="4" w:space="0"/>
              <w:right w:val="single" w:color="auto" w:sz="4" w:space="0"/>
            </w:tcBorders>
            <w:shd w:val="clear" w:color="auto" w:fill="auto"/>
            <w:vAlign w:val="center"/>
          </w:tcPr>
          <w:p w14:paraId="668B8B66">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0.4</w:t>
            </w:r>
            <w:r>
              <w:rPr>
                <w:color w:val="auto"/>
                <w:kern w:val="0"/>
                <w:sz w:val="18"/>
                <w:szCs w:val="18"/>
                <w:lang w:bidi="ar"/>
              </w:rPr>
              <w:t>mg/m</w:t>
            </w:r>
            <w:r>
              <w:rPr>
                <w:color w:val="auto"/>
                <w:kern w:val="0"/>
                <w:sz w:val="18"/>
                <w:szCs w:val="18"/>
                <w:vertAlign w:val="superscript"/>
                <w:lang w:bidi="ar"/>
              </w:rPr>
              <w:t>3</w:t>
            </w:r>
          </w:p>
        </w:tc>
        <w:tc>
          <w:tcPr>
            <w:tcW w:w="1163" w:type="pct"/>
            <w:vMerge w:val="continue"/>
            <w:tcBorders>
              <w:left w:val="single" w:color="auto" w:sz="4" w:space="0"/>
              <w:right w:val="single" w:color="auto" w:sz="4" w:space="0"/>
            </w:tcBorders>
            <w:shd w:val="clear" w:color="auto" w:fill="auto"/>
            <w:vAlign w:val="center"/>
          </w:tcPr>
          <w:p w14:paraId="3E775F67">
            <w:pPr>
              <w:widowControl/>
              <w:spacing w:line="240" w:lineRule="auto"/>
              <w:jc w:val="center"/>
              <w:textAlignment w:val="center"/>
              <w:rPr>
                <w:rFonts w:hint="eastAsia"/>
                <w:color w:val="auto"/>
                <w:sz w:val="18"/>
                <w:szCs w:val="18"/>
              </w:rPr>
            </w:pPr>
          </w:p>
        </w:tc>
      </w:tr>
      <w:tr w14:paraId="1808B123">
        <w:tblPrEx>
          <w:tblCellMar>
            <w:top w:w="0" w:type="dxa"/>
            <w:left w:w="108" w:type="dxa"/>
            <w:bottom w:w="0" w:type="dxa"/>
            <w:right w:w="108" w:type="dxa"/>
          </w:tblCellMar>
        </w:tblPrEx>
        <w:trPr>
          <w:trHeight w:val="343" w:hRule="atLeast"/>
        </w:trPr>
        <w:tc>
          <w:tcPr>
            <w:tcW w:w="487" w:type="pct"/>
            <w:vMerge w:val="continue"/>
            <w:tcBorders>
              <w:left w:val="single" w:color="000000" w:sz="4" w:space="0"/>
              <w:right w:val="single" w:color="auto" w:sz="4" w:space="0"/>
            </w:tcBorders>
            <w:shd w:val="clear" w:color="auto" w:fill="auto"/>
            <w:vAlign w:val="center"/>
          </w:tcPr>
          <w:p w14:paraId="6AE4C509">
            <w:pPr>
              <w:widowControl/>
              <w:spacing w:line="240" w:lineRule="auto"/>
              <w:jc w:val="center"/>
              <w:textAlignment w:val="center"/>
              <w:rPr>
                <w:rFonts w:cs="宋体"/>
                <w:color w:val="auto"/>
                <w:sz w:val="18"/>
                <w:szCs w:val="18"/>
              </w:rPr>
            </w:pPr>
          </w:p>
        </w:tc>
        <w:tc>
          <w:tcPr>
            <w:tcW w:w="958" w:type="pct"/>
            <w:gridSpan w:val="2"/>
            <w:vMerge w:val="continue"/>
            <w:tcBorders>
              <w:left w:val="single" w:color="auto" w:sz="4" w:space="0"/>
              <w:right w:val="single" w:color="auto" w:sz="4" w:space="0"/>
            </w:tcBorders>
            <w:shd w:val="clear" w:color="auto" w:fill="auto"/>
            <w:vAlign w:val="center"/>
          </w:tcPr>
          <w:p w14:paraId="714F65BE">
            <w:pPr>
              <w:widowControl/>
              <w:spacing w:line="240" w:lineRule="auto"/>
              <w:jc w:val="center"/>
              <w:textAlignment w:val="center"/>
              <w:rPr>
                <w:rFonts w:hint="eastAsia"/>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211BFBB6">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氮氧化物</w:t>
            </w:r>
          </w:p>
        </w:tc>
        <w:tc>
          <w:tcPr>
            <w:tcW w:w="982" w:type="pct"/>
            <w:vMerge w:val="continue"/>
            <w:tcBorders>
              <w:left w:val="single" w:color="auto" w:sz="4" w:space="0"/>
              <w:right w:val="single" w:color="auto" w:sz="4" w:space="0"/>
            </w:tcBorders>
            <w:shd w:val="clear" w:color="auto" w:fill="auto"/>
            <w:vAlign w:val="center"/>
          </w:tcPr>
          <w:p w14:paraId="737374A2">
            <w:pPr>
              <w:widowControl/>
              <w:spacing w:line="240" w:lineRule="auto"/>
              <w:jc w:val="center"/>
              <w:textAlignment w:val="center"/>
              <w:rPr>
                <w:rFonts w:hint="eastAsia" w:cs="宋体"/>
                <w:color w:val="auto"/>
                <w:sz w:val="18"/>
                <w:szCs w:val="18"/>
              </w:rPr>
            </w:pPr>
          </w:p>
        </w:tc>
        <w:tc>
          <w:tcPr>
            <w:tcW w:w="560" w:type="pct"/>
            <w:tcBorders>
              <w:top w:val="single" w:color="auto" w:sz="4" w:space="0"/>
              <w:left w:val="single" w:color="auto" w:sz="4" w:space="0"/>
              <w:bottom w:val="single" w:color="auto" w:sz="4" w:space="0"/>
              <w:right w:val="single" w:color="auto" w:sz="4" w:space="0"/>
            </w:tcBorders>
            <w:shd w:val="clear" w:color="auto" w:fill="auto"/>
            <w:vAlign w:val="center"/>
          </w:tcPr>
          <w:p w14:paraId="0E1FD08F">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0.12</w:t>
            </w:r>
            <w:r>
              <w:rPr>
                <w:color w:val="auto"/>
                <w:kern w:val="0"/>
                <w:sz w:val="18"/>
                <w:szCs w:val="18"/>
                <w:lang w:bidi="ar"/>
              </w:rPr>
              <w:t>mg/m</w:t>
            </w:r>
            <w:r>
              <w:rPr>
                <w:color w:val="auto"/>
                <w:kern w:val="0"/>
                <w:sz w:val="18"/>
                <w:szCs w:val="18"/>
                <w:vertAlign w:val="superscript"/>
                <w:lang w:bidi="ar"/>
              </w:rPr>
              <w:t>3</w:t>
            </w:r>
          </w:p>
        </w:tc>
        <w:tc>
          <w:tcPr>
            <w:tcW w:w="1163" w:type="pct"/>
            <w:vMerge w:val="continue"/>
            <w:tcBorders>
              <w:left w:val="single" w:color="auto" w:sz="4" w:space="0"/>
              <w:bottom w:val="single" w:color="auto" w:sz="4" w:space="0"/>
              <w:right w:val="single" w:color="auto" w:sz="4" w:space="0"/>
            </w:tcBorders>
            <w:shd w:val="clear" w:color="auto" w:fill="auto"/>
            <w:vAlign w:val="center"/>
          </w:tcPr>
          <w:p w14:paraId="16148AED">
            <w:pPr>
              <w:widowControl/>
              <w:spacing w:line="240" w:lineRule="auto"/>
              <w:jc w:val="center"/>
              <w:textAlignment w:val="center"/>
              <w:rPr>
                <w:rFonts w:hint="eastAsia"/>
                <w:color w:val="auto"/>
                <w:sz w:val="18"/>
                <w:szCs w:val="18"/>
              </w:rPr>
            </w:pPr>
          </w:p>
        </w:tc>
      </w:tr>
      <w:tr w14:paraId="72421736">
        <w:tblPrEx>
          <w:tblCellMar>
            <w:top w:w="0" w:type="dxa"/>
            <w:left w:w="108" w:type="dxa"/>
            <w:bottom w:w="0" w:type="dxa"/>
            <w:right w:w="108" w:type="dxa"/>
          </w:tblCellMar>
        </w:tblPrEx>
        <w:trPr>
          <w:trHeight w:val="690" w:hRule="atLeast"/>
        </w:trPr>
        <w:tc>
          <w:tcPr>
            <w:tcW w:w="487" w:type="pct"/>
            <w:vMerge w:val="continue"/>
            <w:tcBorders>
              <w:left w:val="single" w:color="000000" w:sz="4" w:space="0"/>
              <w:right w:val="single" w:color="auto" w:sz="4" w:space="0"/>
            </w:tcBorders>
            <w:shd w:val="clear" w:color="auto" w:fill="auto"/>
            <w:vAlign w:val="center"/>
          </w:tcPr>
          <w:p w14:paraId="5E71133B">
            <w:pPr>
              <w:widowControl/>
              <w:spacing w:line="240" w:lineRule="auto"/>
              <w:jc w:val="center"/>
              <w:textAlignment w:val="center"/>
              <w:rPr>
                <w:rFonts w:cs="宋体"/>
                <w:color w:val="auto"/>
                <w:sz w:val="18"/>
                <w:szCs w:val="18"/>
              </w:rPr>
            </w:pPr>
          </w:p>
        </w:tc>
        <w:tc>
          <w:tcPr>
            <w:tcW w:w="958" w:type="pct"/>
            <w:gridSpan w:val="2"/>
            <w:vMerge w:val="continue"/>
            <w:tcBorders>
              <w:left w:val="single" w:color="auto" w:sz="4" w:space="0"/>
              <w:right w:val="single" w:color="auto" w:sz="4" w:space="0"/>
            </w:tcBorders>
            <w:shd w:val="clear" w:color="auto" w:fill="auto"/>
            <w:vAlign w:val="center"/>
          </w:tcPr>
          <w:p w14:paraId="0F7AD242">
            <w:pPr>
              <w:widowControl/>
              <w:spacing w:line="240" w:lineRule="auto"/>
              <w:jc w:val="center"/>
              <w:textAlignment w:val="center"/>
              <w:rPr>
                <w:rFonts w:cs="宋体"/>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2E2A450C">
            <w:pPr>
              <w:spacing w:line="240" w:lineRule="auto"/>
              <w:jc w:val="center"/>
              <w:rPr>
                <w:rFonts w:hint="eastAsia" w:eastAsia="宋体" w:cs="宋体"/>
                <w:color w:val="auto"/>
                <w:sz w:val="18"/>
                <w:szCs w:val="18"/>
                <w:lang w:eastAsia="zh-CN"/>
              </w:rPr>
            </w:pPr>
            <w:r>
              <w:rPr>
                <w:rFonts w:hint="eastAsia" w:cs="宋体"/>
                <w:color w:val="auto"/>
                <w:sz w:val="18"/>
                <w:szCs w:val="18"/>
                <w:lang w:val="en-US" w:eastAsia="zh-CN"/>
              </w:rPr>
              <w:t>氨</w:t>
            </w:r>
          </w:p>
        </w:tc>
        <w:tc>
          <w:tcPr>
            <w:tcW w:w="9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09A7F3">
            <w:pPr>
              <w:widowControl/>
              <w:spacing w:line="240" w:lineRule="auto"/>
              <w:jc w:val="center"/>
              <w:textAlignment w:val="center"/>
              <w:rPr>
                <w:rFonts w:cs="宋体"/>
                <w:color w:val="auto"/>
                <w:sz w:val="18"/>
                <w:szCs w:val="18"/>
              </w:rPr>
            </w:pPr>
          </w:p>
        </w:tc>
        <w:tc>
          <w:tcPr>
            <w:tcW w:w="560" w:type="pct"/>
            <w:tcBorders>
              <w:top w:val="single" w:color="auto" w:sz="4" w:space="0"/>
              <w:left w:val="single" w:color="auto" w:sz="4" w:space="0"/>
              <w:bottom w:val="single" w:color="auto" w:sz="4" w:space="0"/>
              <w:right w:val="single" w:color="auto" w:sz="4" w:space="0"/>
            </w:tcBorders>
            <w:shd w:val="clear" w:color="auto" w:fill="auto"/>
            <w:vAlign w:val="center"/>
          </w:tcPr>
          <w:p w14:paraId="4ABCD965">
            <w:pPr>
              <w:widowControl/>
              <w:spacing w:line="240" w:lineRule="auto"/>
              <w:jc w:val="center"/>
              <w:textAlignment w:val="center"/>
              <w:rPr>
                <w:rFonts w:cs="宋体"/>
                <w:color w:val="auto"/>
                <w:sz w:val="18"/>
                <w:szCs w:val="18"/>
              </w:rPr>
            </w:pPr>
            <w:r>
              <w:rPr>
                <w:rFonts w:hint="eastAsia"/>
                <w:color w:val="auto"/>
                <w:kern w:val="0"/>
                <w:sz w:val="18"/>
                <w:szCs w:val="18"/>
                <w:lang w:bidi="ar"/>
              </w:rPr>
              <w:t>4</w:t>
            </w:r>
            <w:r>
              <w:rPr>
                <w:color w:val="auto"/>
                <w:kern w:val="0"/>
                <w:sz w:val="18"/>
                <w:szCs w:val="18"/>
                <w:lang w:bidi="ar"/>
              </w:rPr>
              <w:t>mg/m</w:t>
            </w:r>
            <w:r>
              <w:rPr>
                <w:color w:val="auto"/>
                <w:kern w:val="0"/>
                <w:sz w:val="18"/>
                <w:szCs w:val="18"/>
                <w:vertAlign w:val="superscript"/>
                <w:lang w:bidi="ar"/>
              </w:rPr>
              <w:t>3</w:t>
            </w:r>
          </w:p>
        </w:tc>
        <w:tc>
          <w:tcPr>
            <w:tcW w:w="1163" w:type="pct"/>
            <w:tcBorders>
              <w:top w:val="single" w:color="auto" w:sz="4" w:space="0"/>
              <w:left w:val="single" w:color="auto" w:sz="4" w:space="0"/>
              <w:bottom w:val="single" w:color="auto" w:sz="4" w:space="0"/>
              <w:right w:val="single" w:color="auto" w:sz="4" w:space="0"/>
            </w:tcBorders>
            <w:shd w:val="clear" w:color="auto" w:fill="auto"/>
            <w:vAlign w:val="center"/>
          </w:tcPr>
          <w:p w14:paraId="172043BC">
            <w:pPr>
              <w:widowControl/>
              <w:spacing w:line="240" w:lineRule="auto"/>
              <w:jc w:val="center"/>
              <w:textAlignment w:val="center"/>
              <w:rPr>
                <w:rFonts w:cs="宋体"/>
                <w:color w:val="auto"/>
                <w:sz w:val="18"/>
                <w:szCs w:val="18"/>
              </w:rPr>
            </w:pPr>
            <w:r>
              <w:rPr>
                <w:rFonts w:hint="eastAsia"/>
                <w:color w:val="auto"/>
                <w:sz w:val="18"/>
                <w:szCs w:val="18"/>
                <w:lang w:eastAsia="zh-CN"/>
              </w:rPr>
              <w:t>《恶臭污染物排放标准》(GB14554-93) 表1中无组织排放标准</w:t>
            </w:r>
          </w:p>
        </w:tc>
      </w:tr>
      <w:tr w14:paraId="10C72BF1">
        <w:tblPrEx>
          <w:tblCellMar>
            <w:top w:w="0" w:type="dxa"/>
            <w:left w:w="108" w:type="dxa"/>
            <w:bottom w:w="0" w:type="dxa"/>
            <w:right w:w="108" w:type="dxa"/>
          </w:tblCellMar>
        </w:tblPrEx>
        <w:trPr>
          <w:trHeight w:val="340" w:hRule="atLeast"/>
        </w:trPr>
        <w:tc>
          <w:tcPr>
            <w:tcW w:w="487" w:type="pct"/>
            <w:vMerge w:val="restart"/>
            <w:tcBorders>
              <w:top w:val="single" w:color="000000" w:sz="4" w:space="0"/>
              <w:left w:val="single" w:color="000000" w:sz="4" w:space="0"/>
              <w:right w:val="single" w:color="000000" w:sz="4" w:space="0"/>
            </w:tcBorders>
            <w:shd w:val="clear" w:color="auto" w:fill="auto"/>
            <w:vAlign w:val="center"/>
          </w:tcPr>
          <w:p w14:paraId="23C3B21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地表水环境</w:t>
            </w:r>
          </w:p>
        </w:tc>
        <w:tc>
          <w:tcPr>
            <w:tcW w:w="958" w:type="pct"/>
            <w:gridSpan w:val="2"/>
            <w:vMerge w:val="restart"/>
            <w:tcBorders>
              <w:top w:val="single" w:color="auto" w:sz="4" w:space="0"/>
              <w:left w:val="single" w:color="000000" w:sz="4" w:space="0"/>
              <w:right w:val="single" w:color="000000" w:sz="4" w:space="0"/>
            </w:tcBorders>
            <w:shd w:val="clear" w:color="auto" w:fill="auto"/>
            <w:vAlign w:val="center"/>
          </w:tcPr>
          <w:p w14:paraId="02AA8E89">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kern w:val="0"/>
                <w:sz w:val="18"/>
                <w:szCs w:val="18"/>
                <w:lang w:bidi="ar"/>
              </w:rPr>
              <w:t>生活污水</w:t>
            </w:r>
            <w:r>
              <w:rPr>
                <w:rFonts w:hint="eastAsia" w:cs="宋体"/>
                <w:color w:val="auto"/>
                <w:kern w:val="0"/>
                <w:sz w:val="18"/>
                <w:szCs w:val="18"/>
                <w:lang w:eastAsia="zh-CN" w:bidi="ar"/>
              </w:rPr>
              <w:t>、</w:t>
            </w:r>
            <w:r>
              <w:rPr>
                <w:rFonts w:hint="eastAsia" w:cs="宋体"/>
                <w:color w:val="auto"/>
                <w:kern w:val="0"/>
                <w:sz w:val="18"/>
                <w:szCs w:val="18"/>
                <w:lang w:val="en-US" w:eastAsia="zh-CN" w:bidi="ar"/>
              </w:rPr>
              <w:t>食堂废水、冷却水排水</w:t>
            </w:r>
          </w:p>
        </w:tc>
        <w:tc>
          <w:tcPr>
            <w:tcW w:w="848" w:type="pct"/>
            <w:tcBorders>
              <w:top w:val="single" w:color="auto" w:sz="4" w:space="0"/>
              <w:left w:val="single" w:color="000000" w:sz="4" w:space="0"/>
              <w:bottom w:val="single" w:color="000000" w:sz="4" w:space="0"/>
              <w:right w:val="single" w:color="000000" w:sz="4" w:space="0"/>
            </w:tcBorders>
            <w:shd w:val="clear" w:color="auto" w:fill="auto"/>
            <w:vAlign w:val="center"/>
          </w:tcPr>
          <w:p w14:paraId="19E1852E">
            <w:pPr>
              <w:widowControl/>
              <w:spacing w:line="240" w:lineRule="auto"/>
              <w:jc w:val="center"/>
              <w:textAlignment w:val="center"/>
              <w:rPr>
                <w:color w:val="auto"/>
                <w:sz w:val="18"/>
                <w:szCs w:val="18"/>
              </w:rPr>
            </w:pPr>
            <w:r>
              <w:rPr>
                <w:color w:val="auto"/>
                <w:kern w:val="0"/>
                <w:sz w:val="18"/>
                <w:szCs w:val="18"/>
                <w:lang w:bidi="ar"/>
              </w:rPr>
              <w:t>pH</w:t>
            </w:r>
          </w:p>
        </w:tc>
        <w:tc>
          <w:tcPr>
            <w:tcW w:w="982" w:type="pct"/>
            <w:vMerge w:val="restart"/>
            <w:tcBorders>
              <w:top w:val="single" w:color="auto" w:sz="4" w:space="0"/>
              <w:left w:val="single" w:color="000000" w:sz="4" w:space="0"/>
              <w:right w:val="single" w:color="000000" w:sz="4" w:space="0"/>
            </w:tcBorders>
            <w:shd w:val="clear" w:color="auto" w:fill="auto"/>
            <w:vAlign w:val="center"/>
          </w:tcPr>
          <w:p w14:paraId="5FEB7FE1">
            <w:pPr>
              <w:widowControl/>
              <w:spacing w:line="240" w:lineRule="auto"/>
              <w:jc w:val="center"/>
              <w:textAlignment w:val="center"/>
              <w:rPr>
                <w:rFonts w:hint="default" w:eastAsia="宋体" w:cs="宋体"/>
                <w:color w:val="auto"/>
                <w:sz w:val="18"/>
                <w:szCs w:val="18"/>
                <w:lang w:val="en-US" w:eastAsia="zh-CN"/>
              </w:rPr>
            </w:pPr>
            <w:r>
              <w:rPr>
                <w:rFonts w:hint="eastAsia" w:cs="宋体"/>
                <w:color w:val="auto"/>
                <w:kern w:val="0"/>
                <w:sz w:val="18"/>
                <w:szCs w:val="18"/>
                <w:lang w:bidi="ar"/>
              </w:rPr>
              <w:t>生活污水</w:t>
            </w:r>
            <w:r>
              <w:rPr>
                <w:rFonts w:hint="eastAsia" w:cs="宋体"/>
                <w:color w:val="auto"/>
                <w:kern w:val="0"/>
                <w:sz w:val="18"/>
                <w:szCs w:val="18"/>
                <w:lang w:eastAsia="zh-CN" w:bidi="ar"/>
              </w:rPr>
              <w:t>、</w:t>
            </w:r>
            <w:r>
              <w:rPr>
                <w:rFonts w:hint="eastAsia" w:cs="宋体"/>
                <w:color w:val="auto"/>
                <w:kern w:val="0"/>
                <w:sz w:val="18"/>
                <w:szCs w:val="18"/>
                <w:lang w:val="en-US" w:eastAsia="zh-CN" w:bidi="ar"/>
              </w:rPr>
              <w:t>食堂废水经</w:t>
            </w:r>
            <w:r>
              <w:rPr>
                <w:rFonts w:hint="eastAsia" w:cs="宋体"/>
                <w:color w:val="auto"/>
                <w:kern w:val="0"/>
                <w:sz w:val="18"/>
                <w:szCs w:val="18"/>
                <w:lang w:bidi="ar"/>
              </w:rPr>
              <w:t>化粪池</w:t>
            </w:r>
            <w:r>
              <w:rPr>
                <w:rFonts w:hint="eastAsia" w:cs="宋体"/>
                <w:color w:val="auto"/>
                <w:kern w:val="0"/>
                <w:sz w:val="18"/>
                <w:szCs w:val="18"/>
                <w:lang w:val="en-US" w:eastAsia="zh-CN" w:bidi="ar"/>
              </w:rPr>
              <w:t>隔油池处理后接入</w:t>
            </w:r>
            <w:r>
              <w:rPr>
                <w:rFonts w:hint="eastAsia" w:cs="宋体"/>
                <w:color w:val="auto"/>
                <w:kern w:val="0"/>
                <w:sz w:val="18"/>
                <w:szCs w:val="18"/>
                <w:lang w:eastAsia="zh-CN" w:bidi="ar"/>
              </w:rPr>
              <w:t>江南产业集中区第一污水处理厂</w:t>
            </w:r>
          </w:p>
        </w:tc>
        <w:tc>
          <w:tcPr>
            <w:tcW w:w="560" w:type="pct"/>
            <w:tcBorders>
              <w:top w:val="single" w:color="auto" w:sz="4" w:space="0"/>
              <w:left w:val="single" w:color="000000" w:sz="4" w:space="0"/>
              <w:bottom w:val="single" w:color="000000" w:sz="4" w:space="0"/>
              <w:right w:val="single" w:color="000000" w:sz="4" w:space="0"/>
            </w:tcBorders>
            <w:shd w:val="clear" w:color="auto" w:fill="auto"/>
            <w:vAlign w:val="center"/>
          </w:tcPr>
          <w:p w14:paraId="4FE9BE0D">
            <w:pPr>
              <w:widowControl/>
              <w:spacing w:line="240" w:lineRule="auto"/>
              <w:jc w:val="center"/>
              <w:textAlignment w:val="center"/>
              <w:rPr>
                <w:color w:val="auto"/>
                <w:sz w:val="18"/>
                <w:szCs w:val="18"/>
              </w:rPr>
            </w:pPr>
            <w:r>
              <w:rPr>
                <w:color w:val="auto"/>
                <w:kern w:val="0"/>
                <w:sz w:val="18"/>
                <w:szCs w:val="18"/>
                <w:lang w:bidi="ar"/>
              </w:rPr>
              <w:t>6~9</w:t>
            </w:r>
          </w:p>
        </w:tc>
        <w:tc>
          <w:tcPr>
            <w:tcW w:w="1163" w:type="pct"/>
            <w:vMerge w:val="restart"/>
            <w:tcBorders>
              <w:top w:val="single" w:color="auto" w:sz="4" w:space="0"/>
              <w:left w:val="single" w:color="000000" w:sz="4" w:space="0"/>
              <w:right w:val="single" w:color="000000" w:sz="4" w:space="0"/>
            </w:tcBorders>
            <w:shd w:val="clear" w:color="auto" w:fill="auto"/>
            <w:vAlign w:val="center"/>
          </w:tcPr>
          <w:p w14:paraId="2589B02F">
            <w:pPr>
              <w:widowControl/>
              <w:spacing w:line="240" w:lineRule="auto"/>
              <w:jc w:val="center"/>
              <w:textAlignment w:val="center"/>
              <w:rPr>
                <w:rFonts w:cs="宋体"/>
                <w:color w:val="auto"/>
                <w:sz w:val="18"/>
                <w:szCs w:val="18"/>
              </w:rPr>
            </w:pPr>
            <w:r>
              <w:rPr>
                <w:rFonts w:hint="eastAsia"/>
                <w:color w:val="auto"/>
                <w:sz w:val="18"/>
                <w:szCs w:val="18"/>
                <w:lang w:eastAsia="zh-CN"/>
              </w:rPr>
              <w:t>《</w:t>
            </w:r>
            <w:r>
              <w:rPr>
                <w:rFonts w:hint="eastAsia"/>
                <w:color w:val="auto"/>
                <w:sz w:val="18"/>
                <w:szCs w:val="18"/>
                <w:lang w:val="en-US" w:eastAsia="zh-CN"/>
              </w:rPr>
              <w:t>污水综合排放标准GB8978-1996</w:t>
            </w:r>
            <w:r>
              <w:rPr>
                <w:rFonts w:hint="eastAsia"/>
                <w:color w:val="auto"/>
                <w:sz w:val="18"/>
                <w:szCs w:val="18"/>
                <w:lang w:eastAsia="zh-CN"/>
              </w:rPr>
              <w:t>》、</w:t>
            </w:r>
            <w:r>
              <w:rPr>
                <w:rFonts w:hint="eastAsia" w:cs="宋体"/>
                <w:color w:val="auto"/>
                <w:kern w:val="0"/>
                <w:sz w:val="18"/>
                <w:szCs w:val="18"/>
                <w:lang w:eastAsia="zh-CN" w:bidi="ar"/>
              </w:rPr>
              <w:t>江南产业集中区第一污水处理厂</w:t>
            </w:r>
            <w:r>
              <w:rPr>
                <w:rFonts w:hint="eastAsia" w:cs="宋体"/>
                <w:color w:val="auto"/>
                <w:kern w:val="0"/>
                <w:sz w:val="18"/>
                <w:szCs w:val="18"/>
                <w:lang w:bidi="ar"/>
              </w:rPr>
              <w:t>接管标准</w:t>
            </w:r>
          </w:p>
        </w:tc>
      </w:tr>
      <w:tr w14:paraId="264790B3">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000000" w:sz="4" w:space="0"/>
            </w:tcBorders>
            <w:shd w:val="clear" w:color="auto" w:fill="auto"/>
            <w:vAlign w:val="center"/>
          </w:tcPr>
          <w:p w14:paraId="553D5549">
            <w:pPr>
              <w:spacing w:line="240" w:lineRule="auto"/>
              <w:jc w:val="center"/>
              <w:rPr>
                <w:rFonts w:cs="宋体"/>
                <w:color w:val="auto"/>
                <w:sz w:val="18"/>
                <w:szCs w:val="18"/>
              </w:rPr>
            </w:pPr>
          </w:p>
        </w:tc>
        <w:tc>
          <w:tcPr>
            <w:tcW w:w="958" w:type="pct"/>
            <w:gridSpan w:val="2"/>
            <w:vMerge w:val="continue"/>
            <w:tcBorders>
              <w:left w:val="single" w:color="000000" w:sz="4" w:space="0"/>
              <w:right w:val="single" w:color="000000" w:sz="4" w:space="0"/>
            </w:tcBorders>
            <w:shd w:val="clear" w:color="auto" w:fill="auto"/>
            <w:vAlign w:val="center"/>
          </w:tcPr>
          <w:p w14:paraId="65303EA0">
            <w:pPr>
              <w:spacing w:line="240" w:lineRule="auto"/>
              <w:jc w:val="center"/>
              <w:rPr>
                <w:rFonts w:cs="宋体"/>
                <w:color w:val="auto"/>
                <w:sz w:val="18"/>
                <w:szCs w:val="18"/>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CCF9">
            <w:pPr>
              <w:widowControl/>
              <w:spacing w:line="240" w:lineRule="auto"/>
              <w:jc w:val="center"/>
              <w:textAlignment w:val="center"/>
              <w:rPr>
                <w:color w:val="auto"/>
                <w:sz w:val="18"/>
                <w:szCs w:val="18"/>
              </w:rPr>
            </w:pPr>
            <w:r>
              <w:rPr>
                <w:color w:val="auto"/>
                <w:kern w:val="0"/>
                <w:sz w:val="18"/>
                <w:szCs w:val="18"/>
                <w:lang w:bidi="ar"/>
              </w:rPr>
              <w:t>COD</w:t>
            </w:r>
          </w:p>
        </w:tc>
        <w:tc>
          <w:tcPr>
            <w:tcW w:w="982" w:type="pct"/>
            <w:vMerge w:val="continue"/>
            <w:tcBorders>
              <w:left w:val="single" w:color="000000" w:sz="4" w:space="0"/>
              <w:right w:val="single" w:color="000000" w:sz="4" w:space="0"/>
            </w:tcBorders>
            <w:shd w:val="clear" w:color="auto" w:fill="auto"/>
            <w:vAlign w:val="center"/>
          </w:tcPr>
          <w:p w14:paraId="61666E05">
            <w:pPr>
              <w:spacing w:line="240" w:lineRule="auto"/>
              <w:jc w:val="center"/>
              <w:rPr>
                <w:rFonts w:cs="宋体"/>
                <w:color w:val="auto"/>
                <w:sz w:val="18"/>
                <w:szCs w:val="18"/>
              </w:rPr>
            </w:pPr>
          </w:p>
        </w:tc>
        <w:tc>
          <w:tcPr>
            <w:tcW w:w="5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1144A">
            <w:pPr>
              <w:widowControl/>
              <w:spacing w:line="240" w:lineRule="auto"/>
              <w:jc w:val="center"/>
              <w:textAlignment w:val="center"/>
              <w:rPr>
                <w:color w:val="auto"/>
                <w:sz w:val="18"/>
                <w:szCs w:val="18"/>
              </w:rPr>
            </w:pPr>
            <w:r>
              <w:rPr>
                <w:rFonts w:hint="eastAsia"/>
                <w:color w:val="auto"/>
                <w:kern w:val="0"/>
                <w:sz w:val="18"/>
                <w:szCs w:val="18"/>
                <w:lang w:val="en-US" w:eastAsia="zh-CN" w:bidi="ar"/>
              </w:rPr>
              <w:t>50</w:t>
            </w:r>
            <w:r>
              <w:rPr>
                <w:rFonts w:hint="eastAsia"/>
                <w:color w:val="auto"/>
                <w:kern w:val="0"/>
                <w:sz w:val="18"/>
                <w:szCs w:val="18"/>
                <w:lang w:bidi="ar"/>
              </w:rPr>
              <w:t>0</w:t>
            </w:r>
            <w:r>
              <w:rPr>
                <w:color w:val="auto"/>
                <w:kern w:val="0"/>
                <w:sz w:val="18"/>
                <w:szCs w:val="18"/>
                <w:lang w:bidi="ar"/>
              </w:rPr>
              <w:t>mg/L</w:t>
            </w:r>
          </w:p>
        </w:tc>
        <w:tc>
          <w:tcPr>
            <w:tcW w:w="1163" w:type="pct"/>
            <w:vMerge w:val="continue"/>
            <w:tcBorders>
              <w:left w:val="single" w:color="000000" w:sz="4" w:space="0"/>
              <w:right w:val="single" w:color="000000" w:sz="4" w:space="0"/>
            </w:tcBorders>
            <w:shd w:val="clear" w:color="auto" w:fill="auto"/>
            <w:vAlign w:val="center"/>
          </w:tcPr>
          <w:p w14:paraId="465BC044">
            <w:pPr>
              <w:spacing w:line="240" w:lineRule="auto"/>
              <w:jc w:val="center"/>
              <w:rPr>
                <w:rFonts w:cs="宋体"/>
                <w:color w:val="auto"/>
                <w:sz w:val="18"/>
                <w:szCs w:val="18"/>
              </w:rPr>
            </w:pPr>
          </w:p>
        </w:tc>
      </w:tr>
      <w:tr w14:paraId="27EDB665">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000000" w:sz="4" w:space="0"/>
            </w:tcBorders>
            <w:shd w:val="clear" w:color="auto" w:fill="auto"/>
            <w:vAlign w:val="center"/>
          </w:tcPr>
          <w:p w14:paraId="5DC7D9D0">
            <w:pPr>
              <w:spacing w:line="240" w:lineRule="auto"/>
              <w:jc w:val="center"/>
              <w:rPr>
                <w:rFonts w:cs="宋体"/>
                <w:color w:val="auto"/>
                <w:sz w:val="18"/>
                <w:szCs w:val="18"/>
              </w:rPr>
            </w:pPr>
          </w:p>
        </w:tc>
        <w:tc>
          <w:tcPr>
            <w:tcW w:w="958" w:type="pct"/>
            <w:gridSpan w:val="2"/>
            <w:vMerge w:val="continue"/>
            <w:tcBorders>
              <w:left w:val="single" w:color="000000" w:sz="4" w:space="0"/>
              <w:right w:val="single" w:color="000000" w:sz="4" w:space="0"/>
            </w:tcBorders>
            <w:shd w:val="clear" w:color="auto" w:fill="auto"/>
            <w:vAlign w:val="center"/>
          </w:tcPr>
          <w:p w14:paraId="08091995">
            <w:pPr>
              <w:spacing w:line="240" w:lineRule="auto"/>
              <w:jc w:val="center"/>
              <w:rPr>
                <w:rFonts w:cs="宋体"/>
                <w:color w:val="auto"/>
                <w:sz w:val="18"/>
                <w:szCs w:val="18"/>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D530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氨氮</w:t>
            </w:r>
          </w:p>
        </w:tc>
        <w:tc>
          <w:tcPr>
            <w:tcW w:w="982" w:type="pct"/>
            <w:vMerge w:val="continue"/>
            <w:tcBorders>
              <w:left w:val="single" w:color="000000" w:sz="4" w:space="0"/>
              <w:right w:val="single" w:color="000000" w:sz="4" w:space="0"/>
            </w:tcBorders>
            <w:shd w:val="clear" w:color="auto" w:fill="auto"/>
            <w:vAlign w:val="center"/>
          </w:tcPr>
          <w:p w14:paraId="3423BDB1">
            <w:pPr>
              <w:spacing w:line="240" w:lineRule="auto"/>
              <w:jc w:val="center"/>
              <w:rPr>
                <w:rFonts w:cs="宋体"/>
                <w:color w:val="auto"/>
                <w:sz w:val="18"/>
                <w:szCs w:val="18"/>
              </w:rPr>
            </w:pPr>
          </w:p>
        </w:tc>
        <w:tc>
          <w:tcPr>
            <w:tcW w:w="5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88D21">
            <w:pPr>
              <w:widowControl/>
              <w:spacing w:line="240" w:lineRule="auto"/>
              <w:jc w:val="center"/>
              <w:textAlignment w:val="center"/>
              <w:rPr>
                <w:color w:val="auto"/>
                <w:sz w:val="18"/>
                <w:szCs w:val="18"/>
              </w:rPr>
            </w:pPr>
            <w:r>
              <w:rPr>
                <w:rFonts w:hint="eastAsia"/>
                <w:color w:val="auto"/>
                <w:kern w:val="0"/>
                <w:sz w:val="18"/>
                <w:szCs w:val="18"/>
                <w:lang w:val="en-US" w:eastAsia="zh-CN" w:bidi="ar"/>
              </w:rPr>
              <w:t>35</w:t>
            </w:r>
            <w:r>
              <w:rPr>
                <w:color w:val="auto"/>
                <w:kern w:val="0"/>
                <w:sz w:val="18"/>
                <w:szCs w:val="18"/>
                <w:lang w:bidi="ar"/>
              </w:rPr>
              <w:t>mg/L</w:t>
            </w:r>
          </w:p>
        </w:tc>
        <w:tc>
          <w:tcPr>
            <w:tcW w:w="1163" w:type="pct"/>
            <w:vMerge w:val="continue"/>
            <w:tcBorders>
              <w:left w:val="single" w:color="000000" w:sz="4" w:space="0"/>
              <w:right w:val="single" w:color="000000" w:sz="4" w:space="0"/>
            </w:tcBorders>
            <w:shd w:val="clear" w:color="auto" w:fill="auto"/>
            <w:vAlign w:val="center"/>
          </w:tcPr>
          <w:p w14:paraId="511F563F">
            <w:pPr>
              <w:spacing w:line="240" w:lineRule="auto"/>
              <w:jc w:val="center"/>
              <w:rPr>
                <w:rFonts w:cs="宋体"/>
                <w:color w:val="auto"/>
                <w:sz w:val="18"/>
                <w:szCs w:val="18"/>
              </w:rPr>
            </w:pPr>
          </w:p>
        </w:tc>
      </w:tr>
      <w:tr w14:paraId="21050490">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000000" w:sz="4" w:space="0"/>
            </w:tcBorders>
            <w:shd w:val="clear" w:color="auto" w:fill="auto"/>
            <w:vAlign w:val="center"/>
          </w:tcPr>
          <w:p w14:paraId="7579B74B">
            <w:pPr>
              <w:spacing w:line="240" w:lineRule="auto"/>
              <w:jc w:val="center"/>
              <w:rPr>
                <w:rFonts w:cs="宋体"/>
                <w:color w:val="auto"/>
                <w:sz w:val="18"/>
                <w:szCs w:val="18"/>
              </w:rPr>
            </w:pPr>
          </w:p>
        </w:tc>
        <w:tc>
          <w:tcPr>
            <w:tcW w:w="958" w:type="pct"/>
            <w:gridSpan w:val="2"/>
            <w:vMerge w:val="continue"/>
            <w:tcBorders>
              <w:left w:val="single" w:color="000000" w:sz="4" w:space="0"/>
              <w:right w:val="single" w:color="000000" w:sz="4" w:space="0"/>
            </w:tcBorders>
            <w:shd w:val="clear" w:color="auto" w:fill="auto"/>
            <w:vAlign w:val="center"/>
          </w:tcPr>
          <w:p w14:paraId="1F4E5B4C">
            <w:pPr>
              <w:spacing w:line="240" w:lineRule="auto"/>
              <w:jc w:val="center"/>
              <w:rPr>
                <w:rFonts w:cs="宋体"/>
                <w:color w:val="auto"/>
                <w:sz w:val="18"/>
                <w:szCs w:val="18"/>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6C566">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BOD</w:t>
            </w:r>
            <w:r>
              <w:rPr>
                <w:rFonts w:hint="eastAsia" w:cs="宋体"/>
                <w:color w:val="auto"/>
                <w:kern w:val="0"/>
                <w:sz w:val="18"/>
                <w:szCs w:val="18"/>
                <w:vertAlign w:val="subscript"/>
                <w:lang w:bidi="ar"/>
              </w:rPr>
              <w:t>5</w:t>
            </w:r>
          </w:p>
        </w:tc>
        <w:tc>
          <w:tcPr>
            <w:tcW w:w="982" w:type="pct"/>
            <w:vMerge w:val="continue"/>
            <w:tcBorders>
              <w:left w:val="single" w:color="000000" w:sz="4" w:space="0"/>
              <w:right w:val="single" w:color="000000" w:sz="4" w:space="0"/>
            </w:tcBorders>
            <w:shd w:val="clear" w:color="auto" w:fill="auto"/>
            <w:vAlign w:val="center"/>
          </w:tcPr>
          <w:p w14:paraId="6A5B69C4">
            <w:pPr>
              <w:spacing w:line="240" w:lineRule="auto"/>
              <w:jc w:val="center"/>
              <w:rPr>
                <w:rFonts w:cs="宋体"/>
                <w:color w:val="auto"/>
                <w:sz w:val="18"/>
                <w:szCs w:val="18"/>
              </w:rPr>
            </w:pPr>
          </w:p>
        </w:tc>
        <w:tc>
          <w:tcPr>
            <w:tcW w:w="5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36C2F">
            <w:pPr>
              <w:widowControl/>
              <w:spacing w:line="240" w:lineRule="auto"/>
              <w:jc w:val="center"/>
              <w:textAlignment w:val="center"/>
              <w:rPr>
                <w:color w:val="auto"/>
                <w:kern w:val="0"/>
                <w:sz w:val="18"/>
                <w:szCs w:val="18"/>
                <w:lang w:bidi="ar"/>
              </w:rPr>
            </w:pPr>
            <w:r>
              <w:rPr>
                <w:rFonts w:hint="eastAsia"/>
                <w:color w:val="auto"/>
                <w:kern w:val="0"/>
                <w:sz w:val="18"/>
                <w:szCs w:val="18"/>
                <w:lang w:val="en-US" w:eastAsia="zh-CN" w:bidi="ar"/>
              </w:rPr>
              <w:t>3</w:t>
            </w:r>
            <w:r>
              <w:rPr>
                <w:rFonts w:hint="eastAsia"/>
                <w:color w:val="auto"/>
                <w:kern w:val="0"/>
                <w:sz w:val="18"/>
                <w:szCs w:val="18"/>
                <w:lang w:bidi="ar"/>
              </w:rPr>
              <w:t>0</w:t>
            </w:r>
            <w:r>
              <w:rPr>
                <w:rFonts w:hint="eastAsia"/>
                <w:color w:val="auto"/>
                <w:kern w:val="0"/>
                <w:sz w:val="18"/>
                <w:szCs w:val="18"/>
                <w:lang w:val="en-US" w:eastAsia="zh-CN" w:bidi="ar"/>
              </w:rPr>
              <w:t>0</w:t>
            </w:r>
            <w:r>
              <w:rPr>
                <w:color w:val="auto"/>
                <w:kern w:val="0"/>
                <w:sz w:val="18"/>
                <w:szCs w:val="18"/>
                <w:lang w:bidi="ar"/>
              </w:rPr>
              <w:t>mg/L</w:t>
            </w:r>
          </w:p>
        </w:tc>
        <w:tc>
          <w:tcPr>
            <w:tcW w:w="1163" w:type="pct"/>
            <w:vMerge w:val="continue"/>
            <w:tcBorders>
              <w:left w:val="single" w:color="000000" w:sz="4" w:space="0"/>
              <w:right w:val="single" w:color="000000" w:sz="4" w:space="0"/>
            </w:tcBorders>
            <w:shd w:val="clear" w:color="auto" w:fill="auto"/>
            <w:vAlign w:val="center"/>
          </w:tcPr>
          <w:p w14:paraId="7BBA8CFA">
            <w:pPr>
              <w:spacing w:line="240" w:lineRule="auto"/>
              <w:jc w:val="center"/>
              <w:rPr>
                <w:rFonts w:cs="宋体"/>
                <w:color w:val="auto"/>
                <w:sz w:val="18"/>
                <w:szCs w:val="18"/>
              </w:rPr>
            </w:pPr>
          </w:p>
        </w:tc>
      </w:tr>
      <w:tr w14:paraId="0D60E262">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000000" w:sz="4" w:space="0"/>
            </w:tcBorders>
            <w:shd w:val="clear" w:color="auto" w:fill="auto"/>
            <w:vAlign w:val="center"/>
          </w:tcPr>
          <w:p w14:paraId="229D70CC">
            <w:pPr>
              <w:spacing w:line="240" w:lineRule="auto"/>
              <w:jc w:val="center"/>
              <w:rPr>
                <w:rFonts w:cs="宋体"/>
                <w:color w:val="auto"/>
                <w:sz w:val="18"/>
                <w:szCs w:val="18"/>
              </w:rPr>
            </w:pPr>
          </w:p>
        </w:tc>
        <w:tc>
          <w:tcPr>
            <w:tcW w:w="958" w:type="pct"/>
            <w:gridSpan w:val="2"/>
            <w:vMerge w:val="continue"/>
            <w:tcBorders>
              <w:left w:val="single" w:color="000000" w:sz="4" w:space="0"/>
              <w:right w:val="single" w:color="000000" w:sz="4" w:space="0"/>
            </w:tcBorders>
            <w:shd w:val="clear" w:color="auto" w:fill="auto"/>
            <w:vAlign w:val="center"/>
          </w:tcPr>
          <w:p w14:paraId="05878599">
            <w:pPr>
              <w:spacing w:line="240" w:lineRule="auto"/>
              <w:jc w:val="center"/>
              <w:rPr>
                <w:rFonts w:cs="宋体"/>
                <w:color w:val="auto"/>
                <w:sz w:val="18"/>
                <w:szCs w:val="18"/>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945EC">
            <w:pPr>
              <w:widowControl/>
              <w:spacing w:line="240" w:lineRule="auto"/>
              <w:jc w:val="center"/>
              <w:textAlignment w:val="center"/>
              <w:rPr>
                <w:color w:val="auto"/>
                <w:sz w:val="18"/>
                <w:szCs w:val="18"/>
              </w:rPr>
            </w:pPr>
            <w:r>
              <w:rPr>
                <w:color w:val="auto"/>
                <w:kern w:val="0"/>
                <w:sz w:val="18"/>
                <w:szCs w:val="18"/>
                <w:lang w:bidi="ar"/>
              </w:rPr>
              <w:t>SS</w:t>
            </w:r>
          </w:p>
        </w:tc>
        <w:tc>
          <w:tcPr>
            <w:tcW w:w="982" w:type="pct"/>
            <w:vMerge w:val="continue"/>
            <w:tcBorders>
              <w:left w:val="single" w:color="000000" w:sz="4" w:space="0"/>
              <w:right w:val="single" w:color="000000" w:sz="4" w:space="0"/>
            </w:tcBorders>
            <w:shd w:val="clear" w:color="auto" w:fill="auto"/>
            <w:vAlign w:val="center"/>
          </w:tcPr>
          <w:p w14:paraId="76D5DFBE">
            <w:pPr>
              <w:spacing w:line="240" w:lineRule="auto"/>
              <w:jc w:val="center"/>
              <w:rPr>
                <w:rFonts w:cs="宋体"/>
                <w:color w:val="auto"/>
                <w:sz w:val="18"/>
                <w:szCs w:val="18"/>
              </w:rPr>
            </w:pPr>
          </w:p>
        </w:tc>
        <w:tc>
          <w:tcPr>
            <w:tcW w:w="5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DB16D">
            <w:pPr>
              <w:widowControl/>
              <w:spacing w:line="240" w:lineRule="auto"/>
              <w:jc w:val="center"/>
              <w:textAlignment w:val="center"/>
              <w:rPr>
                <w:color w:val="auto"/>
                <w:sz w:val="18"/>
                <w:szCs w:val="18"/>
              </w:rPr>
            </w:pPr>
            <w:r>
              <w:rPr>
                <w:rFonts w:hint="eastAsia"/>
                <w:color w:val="auto"/>
                <w:kern w:val="0"/>
                <w:sz w:val="18"/>
                <w:szCs w:val="18"/>
                <w:lang w:val="en-US" w:eastAsia="zh-CN" w:bidi="ar"/>
              </w:rPr>
              <w:t>400</w:t>
            </w:r>
            <w:r>
              <w:rPr>
                <w:color w:val="auto"/>
                <w:kern w:val="0"/>
                <w:sz w:val="18"/>
                <w:szCs w:val="18"/>
                <w:lang w:bidi="ar"/>
              </w:rPr>
              <w:t>mg/L</w:t>
            </w:r>
          </w:p>
        </w:tc>
        <w:tc>
          <w:tcPr>
            <w:tcW w:w="1163" w:type="pct"/>
            <w:vMerge w:val="continue"/>
            <w:tcBorders>
              <w:left w:val="single" w:color="000000" w:sz="4" w:space="0"/>
              <w:right w:val="single" w:color="000000" w:sz="4" w:space="0"/>
            </w:tcBorders>
            <w:shd w:val="clear" w:color="auto" w:fill="auto"/>
            <w:vAlign w:val="center"/>
          </w:tcPr>
          <w:p w14:paraId="426E00CA">
            <w:pPr>
              <w:spacing w:line="240" w:lineRule="auto"/>
              <w:jc w:val="center"/>
              <w:rPr>
                <w:rFonts w:cs="宋体"/>
                <w:color w:val="auto"/>
                <w:sz w:val="18"/>
                <w:szCs w:val="18"/>
              </w:rPr>
            </w:pPr>
          </w:p>
        </w:tc>
      </w:tr>
      <w:tr w14:paraId="4969BC4D">
        <w:tblPrEx>
          <w:tblCellMar>
            <w:top w:w="0" w:type="dxa"/>
            <w:left w:w="108" w:type="dxa"/>
            <w:bottom w:w="0" w:type="dxa"/>
            <w:right w:w="108" w:type="dxa"/>
          </w:tblCellMar>
        </w:tblPrEx>
        <w:trPr>
          <w:trHeight w:val="340" w:hRule="atLeast"/>
        </w:trPr>
        <w:tc>
          <w:tcPr>
            <w:tcW w:w="487" w:type="pct"/>
            <w:vMerge w:val="continue"/>
            <w:tcBorders>
              <w:left w:val="single" w:color="000000" w:sz="4" w:space="0"/>
              <w:bottom w:val="single" w:color="000000" w:sz="4" w:space="0"/>
              <w:right w:val="single" w:color="000000" w:sz="4" w:space="0"/>
            </w:tcBorders>
            <w:shd w:val="clear" w:color="auto" w:fill="auto"/>
            <w:vAlign w:val="center"/>
          </w:tcPr>
          <w:p w14:paraId="58213126">
            <w:pPr>
              <w:spacing w:line="240" w:lineRule="auto"/>
              <w:jc w:val="center"/>
              <w:rPr>
                <w:rFonts w:cs="宋体"/>
                <w:color w:val="auto"/>
                <w:sz w:val="18"/>
                <w:szCs w:val="18"/>
              </w:rPr>
            </w:pPr>
          </w:p>
        </w:tc>
        <w:tc>
          <w:tcPr>
            <w:tcW w:w="958" w:type="pct"/>
            <w:gridSpan w:val="2"/>
            <w:vMerge w:val="continue"/>
            <w:tcBorders>
              <w:left w:val="single" w:color="000000" w:sz="4" w:space="0"/>
              <w:bottom w:val="single" w:color="000000" w:sz="4" w:space="0"/>
              <w:right w:val="single" w:color="000000" w:sz="4" w:space="0"/>
            </w:tcBorders>
            <w:shd w:val="clear" w:color="auto" w:fill="auto"/>
            <w:vAlign w:val="center"/>
          </w:tcPr>
          <w:p w14:paraId="6423EF8E">
            <w:pPr>
              <w:spacing w:line="240" w:lineRule="auto"/>
              <w:jc w:val="center"/>
              <w:rPr>
                <w:rFonts w:cs="宋体"/>
                <w:color w:val="auto"/>
                <w:sz w:val="18"/>
                <w:szCs w:val="18"/>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3C177">
            <w:pPr>
              <w:widowControl/>
              <w:spacing w:line="240" w:lineRule="auto"/>
              <w:jc w:val="center"/>
              <w:textAlignment w:val="center"/>
              <w:rPr>
                <w:rFonts w:hint="default" w:eastAsia="宋体"/>
                <w:color w:val="auto"/>
                <w:kern w:val="0"/>
                <w:sz w:val="18"/>
                <w:szCs w:val="18"/>
                <w:lang w:val="en-US" w:eastAsia="zh-CN" w:bidi="ar"/>
              </w:rPr>
            </w:pPr>
            <w:r>
              <w:rPr>
                <w:rFonts w:hint="eastAsia"/>
                <w:color w:val="auto"/>
                <w:kern w:val="0"/>
                <w:sz w:val="18"/>
                <w:szCs w:val="18"/>
                <w:lang w:val="en-US" w:eastAsia="zh-CN" w:bidi="ar"/>
              </w:rPr>
              <w:t>动植物油</w:t>
            </w:r>
          </w:p>
        </w:tc>
        <w:tc>
          <w:tcPr>
            <w:tcW w:w="982" w:type="pct"/>
            <w:vMerge w:val="continue"/>
            <w:tcBorders>
              <w:left w:val="single" w:color="000000" w:sz="4" w:space="0"/>
              <w:bottom w:val="single" w:color="000000" w:sz="4" w:space="0"/>
              <w:right w:val="single" w:color="000000" w:sz="4" w:space="0"/>
            </w:tcBorders>
            <w:shd w:val="clear" w:color="auto" w:fill="auto"/>
            <w:vAlign w:val="center"/>
          </w:tcPr>
          <w:p w14:paraId="40F8793E">
            <w:pPr>
              <w:spacing w:line="240" w:lineRule="auto"/>
              <w:jc w:val="center"/>
              <w:rPr>
                <w:rFonts w:cs="宋体"/>
                <w:color w:val="auto"/>
                <w:sz w:val="18"/>
                <w:szCs w:val="18"/>
              </w:rPr>
            </w:pPr>
          </w:p>
        </w:tc>
        <w:tc>
          <w:tcPr>
            <w:tcW w:w="5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9DD7D">
            <w:pPr>
              <w:widowControl/>
              <w:spacing w:line="240" w:lineRule="auto"/>
              <w:jc w:val="center"/>
              <w:textAlignment w:val="center"/>
              <w:rPr>
                <w:rFonts w:hint="default"/>
                <w:color w:val="auto"/>
                <w:kern w:val="0"/>
                <w:sz w:val="18"/>
                <w:szCs w:val="18"/>
                <w:lang w:val="en-US" w:eastAsia="zh-CN" w:bidi="ar"/>
              </w:rPr>
            </w:pPr>
            <w:r>
              <w:rPr>
                <w:rFonts w:hint="eastAsia"/>
                <w:color w:val="auto"/>
                <w:kern w:val="0"/>
                <w:sz w:val="18"/>
                <w:szCs w:val="18"/>
                <w:lang w:val="en-US" w:eastAsia="zh-CN" w:bidi="ar"/>
              </w:rPr>
              <w:t>100</w:t>
            </w:r>
            <w:r>
              <w:rPr>
                <w:color w:val="auto"/>
                <w:kern w:val="0"/>
                <w:sz w:val="18"/>
                <w:szCs w:val="18"/>
                <w:lang w:bidi="ar"/>
              </w:rPr>
              <w:t>mg/L</w:t>
            </w:r>
          </w:p>
        </w:tc>
        <w:tc>
          <w:tcPr>
            <w:tcW w:w="1163" w:type="pct"/>
            <w:vMerge w:val="continue"/>
            <w:tcBorders>
              <w:left w:val="single" w:color="000000" w:sz="4" w:space="0"/>
              <w:bottom w:val="single" w:color="000000" w:sz="4" w:space="0"/>
              <w:right w:val="single" w:color="000000" w:sz="4" w:space="0"/>
            </w:tcBorders>
            <w:shd w:val="clear" w:color="auto" w:fill="auto"/>
            <w:vAlign w:val="center"/>
          </w:tcPr>
          <w:p w14:paraId="084569AC">
            <w:pPr>
              <w:spacing w:line="240" w:lineRule="auto"/>
              <w:jc w:val="center"/>
              <w:rPr>
                <w:rFonts w:cs="宋体"/>
                <w:color w:val="auto"/>
                <w:sz w:val="18"/>
                <w:szCs w:val="18"/>
              </w:rPr>
            </w:pPr>
          </w:p>
        </w:tc>
      </w:tr>
      <w:tr w14:paraId="0C973566">
        <w:tblPrEx>
          <w:tblCellMar>
            <w:top w:w="0" w:type="dxa"/>
            <w:left w:w="108" w:type="dxa"/>
            <w:bottom w:w="0" w:type="dxa"/>
            <w:right w:w="108" w:type="dxa"/>
          </w:tblCellMar>
        </w:tblPrEx>
        <w:trPr>
          <w:trHeight w:val="340" w:hRule="atLeast"/>
        </w:trPr>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763B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声环境</w:t>
            </w:r>
          </w:p>
        </w:tc>
        <w:tc>
          <w:tcPr>
            <w:tcW w:w="9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1E4045">
            <w:pPr>
              <w:widowControl/>
              <w:spacing w:line="240" w:lineRule="auto"/>
              <w:jc w:val="center"/>
              <w:textAlignment w:val="center"/>
              <w:rPr>
                <w:rFonts w:cs="宋体"/>
                <w:color w:val="auto"/>
                <w:sz w:val="18"/>
                <w:szCs w:val="18"/>
              </w:rPr>
            </w:pPr>
            <w:r>
              <w:rPr>
                <w:rFonts w:hint="eastAsia" w:cs="宋体"/>
                <w:color w:val="auto"/>
                <w:kern w:val="0"/>
                <w:sz w:val="18"/>
                <w:szCs w:val="18"/>
                <w:lang w:bidi="ar"/>
              </w:rPr>
              <w:t>车间设备</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A034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噪声</w:t>
            </w:r>
          </w:p>
        </w:tc>
        <w:tc>
          <w:tcPr>
            <w:tcW w:w="9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9E32">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减振、隔声</w:t>
            </w:r>
          </w:p>
        </w:tc>
        <w:tc>
          <w:tcPr>
            <w:tcW w:w="17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B1C21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满足《工业企业厂界环境噪声排放标准》（</w:t>
            </w:r>
            <w:r>
              <w:rPr>
                <w:color w:val="auto"/>
                <w:kern w:val="0"/>
                <w:sz w:val="18"/>
                <w:szCs w:val="18"/>
                <w:lang w:bidi="ar"/>
              </w:rPr>
              <w:t>GB12348-2008</w:t>
            </w:r>
            <w:r>
              <w:rPr>
                <w:rFonts w:hint="eastAsia" w:cs="宋体"/>
                <w:color w:val="auto"/>
                <w:kern w:val="0"/>
                <w:sz w:val="18"/>
                <w:szCs w:val="18"/>
                <w:lang w:bidi="ar"/>
              </w:rPr>
              <w:t>）中3类标准</w:t>
            </w:r>
          </w:p>
        </w:tc>
      </w:tr>
      <w:tr w14:paraId="29FA9A45">
        <w:tblPrEx>
          <w:tblCellMar>
            <w:top w:w="0" w:type="dxa"/>
            <w:left w:w="108" w:type="dxa"/>
            <w:bottom w:w="0" w:type="dxa"/>
            <w:right w:w="108" w:type="dxa"/>
          </w:tblCellMar>
        </w:tblPrEx>
        <w:trPr>
          <w:trHeight w:val="340" w:hRule="atLeast"/>
        </w:trPr>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4322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电磁辐射</w:t>
            </w:r>
          </w:p>
        </w:tc>
        <w:tc>
          <w:tcPr>
            <w:tcW w:w="451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9E3881">
            <w:pPr>
              <w:widowControl/>
              <w:spacing w:line="240" w:lineRule="auto"/>
              <w:jc w:val="center"/>
              <w:textAlignment w:val="center"/>
              <w:rPr>
                <w:color w:val="auto"/>
                <w:sz w:val="18"/>
                <w:szCs w:val="18"/>
              </w:rPr>
            </w:pPr>
            <w:r>
              <w:rPr>
                <w:color w:val="auto"/>
                <w:kern w:val="0"/>
                <w:sz w:val="18"/>
                <w:szCs w:val="18"/>
                <w:lang w:bidi="ar"/>
              </w:rPr>
              <w:t>/</w:t>
            </w:r>
          </w:p>
        </w:tc>
      </w:tr>
      <w:tr w14:paraId="59172F3B">
        <w:tblPrEx>
          <w:tblCellMar>
            <w:top w:w="0" w:type="dxa"/>
            <w:left w:w="108" w:type="dxa"/>
            <w:bottom w:w="0" w:type="dxa"/>
            <w:right w:w="108" w:type="dxa"/>
          </w:tblCellMar>
        </w:tblPrEx>
        <w:trPr>
          <w:trHeight w:val="340" w:hRule="atLeast"/>
        </w:trPr>
        <w:tc>
          <w:tcPr>
            <w:tcW w:w="487" w:type="pct"/>
            <w:vMerge w:val="restart"/>
            <w:tcBorders>
              <w:top w:val="single" w:color="000000" w:sz="4" w:space="0"/>
              <w:left w:val="single" w:color="000000" w:sz="4" w:space="0"/>
              <w:right w:val="single" w:color="auto" w:sz="4" w:space="0"/>
            </w:tcBorders>
            <w:shd w:val="clear" w:color="auto" w:fill="auto"/>
            <w:vAlign w:val="center"/>
          </w:tcPr>
          <w:p w14:paraId="1DD3563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固体废物</w:t>
            </w:r>
          </w:p>
        </w:tc>
        <w:tc>
          <w:tcPr>
            <w:tcW w:w="958" w:type="pct"/>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8F592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一般固废</w:t>
            </w:r>
          </w:p>
        </w:tc>
        <w:tc>
          <w:tcPr>
            <w:tcW w:w="848" w:type="pct"/>
            <w:tcBorders>
              <w:top w:val="single" w:color="000000" w:sz="4" w:space="0"/>
              <w:left w:val="single" w:color="auto" w:sz="4" w:space="0"/>
              <w:bottom w:val="single" w:color="000000" w:sz="4" w:space="0"/>
              <w:right w:val="single" w:color="000000" w:sz="4" w:space="0"/>
            </w:tcBorders>
            <w:shd w:val="clear" w:color="auto" w:fill="auto"/>
            <w:vAlign w:val="center"/>
          </w:tcPr>
          <w:p w14:paraId="391B2080">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边角料</w:t>
            </w:r>
          </w:p>
        </w:tc>
        <w:tc>
          <w:tcPr>
            <w:tcW w:w="982" w:type="pct"/>
            <w:vMerge w:val="restart"/>
            <w:tcBorders>
              <w:top w:val="single" w:color="000000" w:sz="4" w:space="0"/>
              <w:left w:val="single" w:color="000000" w:sz="4" w:space="0"/>
              <w:right w:val="single" w:color="000000" w:sz="4" w:space="0"/>
            </w:tcBorders>
            <w:shd w:val="clear" w:color="auto" w:fill="auto"/>
            <w:vAlign w:val="center"/>
          </w:tcPr>
          <w:p w14:paraId="74B0CBD3">
            <w:pPr>
              <w:widowControl/>
              <w:spacing w:line="240" w:lineRule="auto"/>
              <w:jc w:val="center"/>
              <w:textAlignment w:val="center"/>
              <w:rPr>
                <w:rFonts w:cs="宋体"/>
                <w:color w:val="auto"/>
                <w:kern w:val="0"/>
                <w:sz w:val="18"/>
                <w:szCs w:val="18"/>
                <w:lang w:bidi="ar"/>
              </w:rPr>
            </w:pPr>
            <w:r>
              <w:rPr>
                <w:rFonts w:hint="eastAsia" w:cs="宋体"/>
                <w:color w:val="auto"/>
                <w:kern w:val="0"/>
                <w:sz w:val="18"/>
                <w:szCs w:val="18"/>
                <w:lang w:bidi="ar"/>
              </w:rPr>
              <w:t>外售综合利用</w:t>
            </w:r>
          </w:p>
        </w:tc>
        <w:tc>
          <w:tcPr>
            <w:tcW w:w="1723" w:type="pct"/>
            <w:gridSpan w:val="2"/>
            <w:vMerge w:val="restart"/>
            <w:tcBorders>
              <w:top w:val="single" w:color="000000" w:sz="4" w:space="0"/>
              <w:left w:val="single" w:color="000000" w:sz="4" w:space="0"/>
              <w:right w:val="single" w:color="auto" w:sz="4" w:space="0"/>
            </w:tcBorders>
            <w:shd w:val="clear" w:color="auto" w:fill="auto"/>
            <w:vAlign w:val="center"/>
          </w:tcPr>
          <w:p w14:paraId="6567DA9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满足环保管理要求，综合处理率</w:t>
            </w:r>
            <w:r>
              <w:rPr>
                <w:color w:val="auto"/>
                <w:kern w:val="0"/>
                <w:sz w:val="18"/>
                <w:szCs w:val="18"/>
                <w:lang w:bidi="ar"/>
              </w:rPr>
              <w:t>100%</w:t>
            </w:r>
          </w:p>
        </w:tc>
      </w:tr>
      <w:tr w14:paraId="5EACD421">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auto" w:sz="4" w:space="0"/>
            </w:tcBorders>
            <w:shd w:val="clear" w:color="auto" w:fill="auto"/>
            <w:vAlign w:val="center"/>
          </w:tcPr>
          <w:p w14:paraId="5374297E">
            <w:pPr>
              <w:spacing w:line="240" w:lineRule="auto"/>
              <w:jc w:val="center"/>
              <w:rPr>
                <w:rFonts w:cs="宋体"/>
                <w:color w:val="auto"/>
                <w:sz w:val="18"/>
                <w:szCs w:val="18"/>
              </w:rPr>
            </w:pPr>
          </w:p>
        </w:tc>
        <w:tc>
          <w:tcPr>
            <w:tcW w:w="958" w:type="pct"/>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31BA33">
            <w:pPr>
              <w:spacing w:line="240" w:lineRule="auto"/>
              <w:jc w:val="center"/>
              <w:rPr>
                <w:rFonts w:cs="宋体"/>
                <w:color w:val="auto"/>
                <w:sz w:val="18"/>
                <w:szCs w:val="18"/>
              </w:rPr>
            </w:pPr>
          </w:p>
        </w:tc>
        <w:tc>
          <w:tcPr>
            <w:tcW w:w="848" w:type="pct"/>
            <w:tcBorders>
              <w:top w:val="single" w:color="000000" w:sz="4" w:space="0"/>
              <w:left w:val="single" w:color="auto" w:sz="4" w:space="0"/>
              <w:bottom w:val="single" w:color="000000" w:sz="4" w:space="0"/>
              <w:right w:val="single" w:color="000000" w:sz="4" w:space="0"/>
            </w:tcBorders>
            <w:shd w:val="clear" w:color="auto" w:fill="auto"/>
            <w:vAlign w:val="center"/>
          </w:tcPr>
          <w:p w14:paraId="19B83B7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不合格品</w:t>
            </w:r>
          </w:p>
        </w:tc>
        <w:tc>
          <w:tcPr>
            <w:tcW w:w="982" w:type="pct"/>
            <w:vMerge w:val="continue"/>
            <w:tcBorders>
              <w:left w:val="single" w:color="000000" w:sz="4" w:space="0"/>
              <w:right w:val="single" w:color="000000" w:sz="4" w:space="0"/>
            </w:tcBorders>
            <w:shd w:val="clear" w:color="auto" w:fill="auto"/>
            <w:vAlign w:val="center"/>
          </w:tcPr>
          <w:p w14:paraId="13E6CE6C">
            <w:pPr>
              <w:spacing w:line="240" w:lineRule="auto"/>
              <w:jc w:val="center"/>
              <w:rPr>
                <w:rFonts w:cs="宋体"/>
                <w:color w:val="auto"/>
                <w:sz w:val="18"/>
                <w:szCs w:val="18"/>
              </w:rPr>
            </w:pPr>
          </w:p>
        </w:tc>
        <w:tc>
          <w:tcPr>
            <w:tcW w:w="1723" w:type="pct"/>
            <w:gridSpan w:val="2"/>
            <w:vMerge w:val="continue"/>
            <w:tcBorders>
              <w:left w:val="single" w:color="000000" w:sz="4" w:space="0"/>
              <w:right w:val="single" w:color="auto" w:sz="4" w:space="0"/>
            </w:tcBorders>
            <w:shd w:val="clear" w:color="auto" w:fill="auto"/>
            <w:vAlign w:val="center"/>
          </w:tcPr>
          <w:p w14:paraId="77F9BA71">
            <w:pPr>
              <w:spacing w:line="240" w:lineRule="auto"/>
              <w:jc w:val="center"/>
              <w:rPr>
                <w:rFonts w:cs="宋体"/>
                <w:color w:val="auto"/>
                <w:sz w:val="18"/>
                <w:szCs w:val="18"/>
              </w:rPr>
            </w:pPr>
          </w:p>
        </w:tc>
      </w:tr>
      <w:tr w14:paraId="379BC824">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auto" w:sz="4" w:space="0"/>
            </w:tcBorders>
            <w:shd w:val="clear" w:color="auto" w:fill="auto"/>
            <w:vAlign w:val="center"/>
          </w:tcPr>
          <w:p w14:paraId="0C83E2D3">
            <w:pPr>
              <w:spacing w:line="240" w:lineRule="auto"/>
              <w:jc w:val="center"/>
              <w:rPr>
                <w:rFonts w:cs="宋体"/>
                <w:color w:val="auto"/>
                <w:sz w:val="18"/>
                <w:szCs w:val="18"/>
              </w:rPr>
            </w:pPr>
          </w:p>
        </w:tc>
        <w:tc>
          <w:tcPr>
            <w:tcW w:w="958" w:type="pct"/>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A26078">
            <w:pPr>
              <w:spacing w:line="240" w:lineRule="auto"/>
              <w:jc w:val="center"/>
              <w:rPr>
                <w:rFonts w:cs="宋体"/>
                <w:color w:val="auto"/>
                <w:sz w:val="18"/>
                <w:szCs w:val="18"/>
              </w:rPr>
            </w:pPr>
          </w:p>
        </w:tc>
        <w:tc>
          <w:tcPr>
            <w:tcW w:w="848" w:type="pct"/>
            <w:tcBorders>
              <w:top w:val="single" w:color="000000" w:sz="4" w:space="0"/>
              <w:left w:val="single" w:color="auto" w:sz="4" w:space="0"/>
              <w:bottom w:val="single" w:color="000000" w:sz="4" w:space="0"/>
              <w:right w:val="single" w:color="000000" w:sz="4" w:space="0"/>
            </w:tcBorders>
            <w:shd w:val="clear" w:color="auto" w:fill="auto"/>
            <w:vAlign w:val="center"/>
          </w:tcPr>
          <w:p w14:paraId="51909A69">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sz w:val="18"/>
                <w:szCs w:val="18"/>
                <w:lang w:val="en-US" w:eastAsia="zh-CN"/>
              </w:rPr>
              <w:t>废布袋</w:t>
            </w:r>
          </w:p>
        </w:tc>
        <w:tc>
          <w:tcPr>
            <w:tcW w:w="982" w:type="pct"/>
            <w:vMerge w:val="continue"/>
            <w:tcBorders>
              <w:left w:val="single" w:color="000000" w:sz="4" w:space="0"/>
              <w:bottom w:val="single" w:color="auto" w:sz="4" w:space="0"/>
              <w:right w:val="single" w:color="000000" w:sz="4" w:space="0"/>
            </w:tcBorders>
            <w:shd w:val="clear" w:color="auto" w:fill="auto"/>
            <w:vAlign w:val="center"/>
          </w:tcPr>
          <w:p w14:paraId="415A79E2">
            <w:pPr>
              <w:widowControl/>
              <w:spacing w:line="240" w:lineRule="auto"/>
              <w:jc w:val="center"/>
              <w:textAlignment w:val="center"/>
              <w:rPr>
                <w:rFonts w:cs="宋体"/>
                <w:color w:val="auto"/>
                <w:sz w:val="18"/>
                <w:szCs w:val="18"/>
              </w:rPr>
            </w:pPr>
          </w:p>
        </w:tc>
        <w:tc>
          <w:tcPr>
            <w:tcW w:w="1723" w:type="pct"/>
            <w:gridSpan w:val="2"/>
            <w:vMerge w:val="continue"/>
            <w:tcBorders>
              <w:left w:val="single" w:color="000000" w:sz="4" w:space="0"/>
              <w:right w:val="single" w:color="auto" w:sz="4" w:space="0"/>
            </w:tcBorders>
            <w:shd w:val="clear" w:color="auto" w:fill="auto"/>
            <w:vAlign w:val="center"/>
          </w:tcPr>
          <w:p w14:paraId="2D042612">
            <w:pPr>
              <w:spacing w:line="240" w:lineRule="auto"/>
              <w:jc w:val="center"/>
              <w:rPr>
                <w:rFonts w:cs="宋体"/>
                <w:color w:val="auto"/>
                <w:sz w:val="18"/>
                <w:szCs w:val="18"/>
              </w:rPr>
            </w:pPr>
          </w:p>
        </w:tc>
      </w:tr>
      <w:tr w14:paraId="0615E541">
        <w:tblPrEx>
          <w:tblCellMar>
            <w:top w:w="0" w:type="dxa"/>
            <w:left w:w="108" w:type="dxa"/>
            <w:bottom w:w="0" w:type="dxa"/>
            <w:right w:w="108" w:type="dxa"/>
          </w:tblCellMar>
        </w:tblPrEx>
        <w:trPr>
          <w:trHeight w:val="365" w:hRule="atLeast"/>
        </w:trPr>
        <w:tc>
          <w:tcPr>
            <w:tcW w:w="487" w:type="pct"/>
            <w:vMerge w:val="continue"/>
            <w:tcBorders>
              <w:left w:val="single" w:color="000000" w:sz="4" w:space="0"/>
              <w:right w:val="single" w:color="auto" w:sz="4" w:space="0"/>
            </w:tcBorders>
            <w:shd w:val="clear" w:color="auto" w:fill="auto"/>
            <w:vAlign w:val="center"/>
          </w:tcPr>
          <w:p w14:paraId="75DE5A13">
            <w:pPr>
              <w:spacing w:line="240" w:lineRule="auto"/>
              <w:jc w:val="center"/>
              <w:rPr>
                <w:rFonts w:cs="宋体"/>
                <w:color w:val="auto"/>
                <w:sz w:val="18"/>
                <w:szCs w:val="18"/>
              </w:rPr>
            </w:pPr>
          </w:p>
        </w:tc>
        <w:tc>
          <w:tcPr>
            <w:tcW w:w="95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83C5F7">
            <w:pPr>
              <w:spacing w:line="240" w:lineRule="auto"/>
              <w:jc w:val="center"/>
              <w:rPr>
                <w:rFonts w:hint="default" w:eastAsia="宋体" w:cs="宋体"/>
                <w:color w:val="auto"/>
                <w:sz w:val="18"/>
                <w:szCs w:val="18"/>
                <w:lang w:val="en-US" w:eastAsia="zh-CN"/>
              </w:rPr>
            </w:pPr>
            <w:bookmarkStart w:id="75" w:name="OLE_LINK45"/>
            <w:r>
              <w:rPr>
                <w:rFonts w:hint="eastAsia" w:cs="宋体"/>
                <w:color w:val="auto"/>
                <w:sz w:val="18"/>
                <w:szCs w:val="18"/>
                <w:lang w:val="en-US" w:eastAsia="zh-CN"/>
              </w:rPr>
              <w:t>生活垃圾</w:t>
            </w:r>
            <w:bookmarkEnd w:id="75"/>
          </w:p>
        </w:tc>
        <w:tc>
          <w:tcPr>
            <w:tcW w:w="848" w:type="pct"/>
            <w:tcBorders>
              <w:top w:val="single" w:color="000000" w:sz="4" w:space="0"/>
              <w:left w:val="single" w:color="auto" w:sz="4" w:space="0"/>
              <w:bottom w:val="single" w:color="000000" w:sz="4" w:space="0"/>
              <w:right w:val="single" w:color="auto" w:sz="4" w:space="0"/>
            </w:tcBorders>
            <w:shd w:val="clear" w:color="auto" w:fill="auto"/>
            <w:vAlign w:val="center"/>
          </w:tcPr>
          <w:p w14:paraId="1FBA6D38">
            <w:pPr>
              <w:widowControl/>
              <w:spacing w:line="240" w:lineRule="auto"/>
              <w:jc w:val="center"/>
              <w:textAlignment w:val="center"/>
              <w:rPr>
                <w:rFonts w:hint="eastAsia" w:cs="宋体"/>
                <w:color w:val="auto"/>
                <w:sz w:val="18"/>
                <w:szCs w:val="18"/>
                <w:lang w:val="en-US" w:eastAsia="zh-CN"/>
              </w:rPr>
            </w:pPr>
            <w:r>
              <w:rPr>
                <w:rFonts w:hint="eastAsia" w:cs="宋体"/>
                <w:color w:val="auto"/>
                <w:sz w:val="18"/>
                <w:szCs w:val="18"/>
                <w:lang w:val="en-US" w:eastAsia="zh-CN"/>
              </w:rPr>
              <w:t>生活垃圾</w:t>
            </w:r>
          </w:p>
        </w:tc>
        <w:tc>
          <w:tcPr>
            <w:tcW w:w="982" w:type="pct"/>
            <w:tcBorders>
              <w:top w:val="single" w:color="auto" w:sz="4" w:space="0"/>
              <w:left w:val="single" w:color="auto" w:sz="4" w:space="0"/>
              <w:bottom w:val="single" w:color="auto" w:sz="4" w:space="0"/>
              <w:right w:val="single" w:color="auto" w:sz="4" w:space="0"/>
            </w:tcBorders>
            <w:shd w:val="clear" w:color="auto" w:fill="auto"/>
            <w:vAlign w:val="center"/>
          </w:tcPr>
          <w:p w14:paraId="721D37E9">
            <w:pPr>
              <w:widowControl/>
              <w:spacing w:line="240" w:lineRule="auto"/>
              <w:jc w:val="center"/>
              <w:textAlignment w:val="center"/>
              <w:rPr>
                <w:rFonts w:hint="default" w:cs="宋体"/>
                <w:color w:val="auto"/>
                <w:kern w:val="0"/>
                <w:sz w:val="18"/>
                <w:szCs w:val="18"/>
                <w:lang w:val="en-US" w:eastAsia="zh-CN" w:bidi="ar"/>
              </w:rPr>
            </w:pPr>
            <w:r>
              <w:rPr>
                <w:rFonts w:hint="eastAsia" w:cs="宋体"/>
                <w:color w:val="auto"/>
                <w:kern w:val="0"/>
                <w:sz w:val="18"/>
                <w:szCs w:val="18"/>
                <w:lang w:val="en-US" w:eastAsia="zh-CN" w:bidi="ar"/>
              </w:rPr>
              <w:t>交由环卫处置</w:t>
            </w:r>
          </w:p>
        </w:tc>
        <w:tc>
          <w:tcPr>
            <w:tcW w:w="1723" w:type="pct"/>
            <w:gridSpan w:val="2"/>
            <w:vMerge w:val="continue"/>
            <w:tcBorders>
              <w:left w:val="single" w:color="000000" w:sz="4" w:space="0"/>
              <w:right w:val="single" w:color="auto" w:sz="4" w:space="0"/>
            </w:tcBorders>
            <w:shd w:val="clear" w:color="auto" w:fill="auto"/>
            <w:vAlign w:val="center"/>
          </w:tcPr>
          <w:p w14:paraId="66B47EDF">
            <w:pPr>
              <w:spacing w:line="240" w:lineRule="auto"/>
              <w:jc w:val="center"/>
              <w:rPr>
                <w:rFonts w:cs="宋体"/>
                <w:color w:val="auto"/>
                <w:sz w:val="18"/>
                <w:szCs w:val="18"/>
              </w:rPr>
            </w:pPr>
          </w:p>
        </w:tc>
      </w:tr>
      <w:tr w14:paraId="1EAD5D56">
        <w:tblPrEx>
          <w:tblCellMar>
            <w:top w:w="0" w:type="dxa"/>
            <w:left w:w="108" w:type="dxa"/>
            <w:bottom w:w="0" w:type="dxa"/>
            <w:right w:w="108" w:type="dxa"/>
          </w:tblCellMar>
        </w:tblPrEx>
        <w:trPr>
          <w:trHeight w:val="398" w:hRule="atLeast"/>
        </w:trPr>
        <w:tc>
          <w:tcPr>
            <w:tcW w:w="487" w:type="pct"/>
            <w:vMerge w:val="continue"/>
            <w:tcBorders>
              <w:left w:val="single" w:color="000000" w:sz="4" w:space="0"/>
              <w:right w:val="single" w:color="auto" w:sz="4" w:space="0"/>
            </w:tcBorders>
            <w:shd w:val="clear" w:color="auto" w:fill="auto"/>
            <w:vAlign w:val="center"/>
          </w:tcPr>
          <w:p w14:paraId="4502DD34">
            <w:pPr>
              <w:spacing w:line="240" w:lineRule="auto"/>
              <w:jc w:val="center"/>
              <w:rPr>
                <w:rFonts w:cs="宋体"/>
                <w:color w:val="auto"/>
                <w:sz w:val="18"/>
                <w:szCs w:val="18"/>
              </w:rPr>
            </w:pPr>
          </w:p>
        </w:tc>
        <w:tc>
          <w:tcPr>
            <w:tcW w:w="958" w:type="pct"/>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62604DF1">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危险废物</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2EEB2CDC">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铝灰渣</w:t>
            </w:r>
          </w:p>
        </w:tc>
        <w:tc>
          <w:tcPr>
            <w:tcW w:w="982" w:type="pct"/>
            <w:vMerge w:val="restart"/>
            <w:tcBorders>
              <w:top w:val="single" w:color="auto" w:sz="4" w:space="0"/>
              <w:left w:val="single" w:color="auto" w:sz="4" w:space="0"/>
              <w:right w:val="single" w:color="auto" w:sz="4" w:space="0"/>
            </w:tcBorders>
            <w:shd w:val="clear" w:color="auto" w:fill="auto"/>
            <w:vAlign w:val="center"/>
          </w:tcPr>
          <w:p w14:paraId="6C42809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分类收集后，暂存于危废库，委托有相应危废处置资质单位定期清运处置。</w:t>
            </w:r>
          </w:p>
        </w:tc>
        <w:tc>
          <w:tcPr>
            <w:tcW w:w="1723" w:type="pct"/>
            <w:gridSpan w:val="2"/>
            <w:vMerge w:val="continue"/>
            <w:tcBorders>
              <w:left w:val="single" w:color="000000" w:sz="4" w:space="0"/>
              <w:right w:val="single" w:color="auto" w:sz="4" w:space="0"/>
            </w:tcBorders>
            <w:shd w:val="clear" w:color="auto" w:fill="auto"/>
            <w:vAlign w:val="center"/>
          </w:tcPr>
          <w:p w14:paraId="4B1C8925">
            <w:pPr>
              <w:spacing w:line="240" w:lineRule="auto"/>
              <w:jc w:val="center"/>
              <w:rPr>
                <w:rFonts w:cs="宋体"/>
                <w:color w:val="auto"/>
                <w:sz w:val="18"/>
                <w:szCs w:val="18"/>
              </w:rPr>
            </w:pPr>
          </w:p>
        </w:tc>
      </w:tr>
      <w:tr w14:paraId="75858379">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auto" w:sz="4" w:space="0"/>
            </w:tcBorders>
            <w:shd w:val="clear" w:color="auto" w:fill="auto"/>
            <w:vAlign w:val="center"/>
          </w:tcPr>
          <w:p w14:paraId="5FB87F9B">
            <w:pPr>
              <w:spacing w:line="240" w:lineRule="auto"/>
              <w:jc w:val="center"/>
              <w:rPr>
                <w:rFonts w:cs="宋体"/>
                <w:color w:val="auto"/>
                <w:sz w:val="18"/>
                <w:szCs w:val="18"/>
              </w:rPr>
            </w:pPr>
          </w:p>
        </w:tc>
        <w:tc>
          <w:tcPr>
            <w:tcW w:w="958"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F0698EB">
            <w:pPr>
              <w:spacing w:line="240" w:lineRule="auto"/>
              <w:jc w:val="center"/>
              <w:rPr>
                <w:rFonts w:cs="宋体"/>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5DF95F3B">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铝熔炼烟尘</w:t>
            </w:r>
          </w:p>
        </w:tc>
        <w:tc>
          <w:tcPr>
            <w:tcW w:w="982" w:type="pct"/>
            <w:vMerge w:val="continue"/>
            <w:tcBorders>
              <w:left w:val="single" w:color="auto" w:sz="4" w:space="0"/>
              <w:right w:val="single" w:color="auto" w:sz="4" w:space="0"/>
            </w:tcBorders>
            <w:shd w:val="clear" w:color="auto" w:fill="auto"/>
            <w:vAlign w:val="center"/>
          </w:tcPr>
          <w:p w14:paraId="36646267">
            <w:pPr>
              <w:spacing w:line="240" w:lineRule="auto"/>
              <w:jc w:val="center"/>
              <w:rPr>
                <w:rFonts w:cs="宋体"/>
                <w:color w:val="auto"/>
                <w:sz w:val="18"/>
                <w:szCs w:val="18"/>
              </w:rPr>
            </w:pPr>
          </w:p>
        </w:tc>
        <w:tc>
          <w:tcPr>
            <w:tcW w:w="1723" w:type="pct"/>
            <w:gridSpan w:val="2"/>
            <w:vMerge w:val="continue"/>
            <w:tcBorders>
              <w:left w:val="single" w:color="000000" w:sz="4" w:space="0"/>
              <w:right w:val="single" w:color="auto" w:sz="4" w:space="0"/>
            </w:tcBorders>
            <w:shd w:val="clear" w:color="auto" w:fill="auto"/>
            <w:vAlign w:val="center"/>
          </w:tcPr>
          <w:p w14:paraId="6B9D9AE8">
            <w:pPr>
              <w:spacing w:line="240" w:lineRule="auto"/>
              <w:jc w:val="center"/>
              <w:rPr>
                <w:rFonts w:cs="宋体"/>
                <w:color w:val="auto"/>
                <w:sz w:val="18"/>
                <w:szCs w:val="18"/>
              </w:rPr>
            </w:pPr>
          </w:p>
        </w:tc>
      </w:tr>
      <w:tr w14:paraId="16E45B69">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auto" w:sz="4" w:space="0"/>
            </w:tcBorders>
            <w:shd w:val="clear" w:color="auto" w:fill="auto"/>
            <w:vAlign w:val="center"/>
          </w:tcPr>
          <w:p w14:paraId="0FF085F5">
            <w:pPr>
              <w:spacing w:line="240" w:lineRule="auto"/>
              <w:jc w:val="center"/>
              <w:rPr>
                <w:rFonts w:cs="宋体"/>
                <w:color w:val="auto"/>
                <w:sz w:val="18"/>
                <w:szCs w:val="18"/>
              </w:rPr>
            </w:pPr>
          </w:p>
        </w:tc>
        <w:tc>
          <w:tcPr>
            <w:tcW w:w="958"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1E43EBC">
            <w:pPr>
              <w:spacing w:line="240" w:lineRule="auto"/>
              <w:jc w:val="center"/>
              <w:rPr>
                <w:rFonts w:cs="宋体"/>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34187FF0">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废切削液</w:t>
            </w:r>
          </w:p>
        </w:tc>
        <w:tc>
          <w:tcPr>
            <w:tcW w:w="982" w:type="pct"/>
            <w:vMerge w:val="continue"/>
            <w:tcBorders>
              <w:left w:val="single" w:color="auto" w:sz="4" w:space="0"/>
              <w:right w:val="single" w:color="auto" w:sz="4" w:space="0"/>
            </w:tcBorders>
            <w:shd w:val="clear" w:color="auto" w:fill="auto"/>
            <w:vAlign w:val="center"/>
          </w:tcPr>
          <w:p w14:paraId="3F381C16">
            <w:pPr>
              <w:spacing w:line="240" w:lineRule="auto"/>
              <w:jc w:val="center"/>
              <w:rPr>
                <w:rFonts w:cs="宋体"/>
                <w:color w:val="auto"/>
                <w:sz w:val="18"/>
                <w:szCs w:val="18"/>
              </w:rPr>
            </w:pPr>
          </w:p>
        </w:tc>
        <w:tc>
          <w:tcPr>
            <w:tcW w:w="1723" w:type="pct"/>
            <w:gridSpan w:val="2"/>
            <w:vMerge w:val="continue"/>
            <w:tcBorders>
              <w:left w:val="single" w:color="000000" w:sz="4" w:space="0"/>
              <w:right w:val="single" w:color="auto" w:sz="4" w:space="0"/>
            </w:tcBorders>
            <w:shd w:val="clear" w:color="auto" w:fill="auto"/>
            <w:vAlign w:val="center"/>
          </w:tcPr>
          <w:p w14:paraId="7FA8A1A6">
            <w:pPr>
              <w:spacing w:line="240" w:lineRule="auto"/>
              <w:jc w:val="center"/>
              <w:rPr>
                <w:rFonts w:cs="宋体"/>
                <w:color w:val="auto"/>
                <w:sz w:val="18"/>
                <w:szCs w:val="18"/>
              </w:rPr>
            </w:pPr>
          </w:p>
        </w:tc>
      </w:tr>
      <w:tr w14:paraId="428D8219">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auto" w:sz="4" w:space="0"/>
            </w:tcBorders>
            <w:shd w:val="clear" w:color="auto" w:fill="auto"/>
            <w:vAlign w:val="center"/>
          </w:tcPr>
          <w:p w14:paraId="57B75DCF">
            <w:pPr>
              <w:spacing w:line="240" w:lineRule="auto"/>
              <w:jc w:val="center"/>
              <w:rPr>
                <w:rFonts w:cs="宋体"/>
                <w:color w:val="auto"/>
                <w:sz w:val="18"/>
                <w:szCs w:val="18"/>
              </w:rPr>
            </w:pPr>
          </w:p>
        </w:tc>
        <w:tc>
          <w:tcPr>
            <w:tcW w:w="958"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9D2C3B3">
            <w:pPr>
              <w:spacing w:line="240" w:lineRule="auto"/>
              <w:jc w:val="center"/>
              <w:rPr>
                <w:rFonts w:cs="宋体"/>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7594F9C3">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废润滑油</w:t>
            </w:r>
          </w:p>
        </w:tc>
        <w:tc>
          <w:tcPr>
            <w:tcW w:w="982" w:type="pct"/>
            <w:vMerge w:val="continue"/>
            <w:tcBorders>
              <w:left w:val="single" w:color="auto" w:sz="4" w:space="0"/>
              <w:right w:val="single" w:color="auto" w:sz="4" w:space="0"/>
            </w:tcBorders>
            <w:shd w:val="clear" w:color="auto" w:fill="auto"/>
            <w:vAlign w:val="center"/>
          </w:tcPr>
          <w:p w14:paraId="22A15FD7">
            <w:pPr>
              <w:spacing w:line="240" w:lineRule="auto"/>
              <w:jc w:val="center"/>
              <w:rPr>
                <w:rFonts w:cs="宋体"/>
                <w:color w:val="auto"/>
                <w:sz w:val="18"/>
                <w:szCs w:val="18"/>
              </w:rPr>
            </w:pPr>
          </w:p>
        </w:tc>
        <w:tc>
          <w:tcPr>
            <w:tcW w:w="1723" w:type="pct"/>
            <w:gridSpan w:val="2"/>
            <w:vMerge w:val="continue"/>
            <w:tcBorders>
              <w:left w:val="single" w:color="000000" w:sz="4" w:space="0"/>
              <w:right w:val="single" w:color="auto" w:sz="4" w:space="0"/>
            </w:tcBorders>
            <w:shd w:val="clear" w:color="auto" w:fill="auto"/>
            <w:vAlign w:val="center"/>
          </w:tcPr>
          <w:p w14:paraId="5C6EAB52">
            <w:pPr>
              <w:spacing w:line="240" w:lineRule="auto"/>
              <w:jc w:val="center"/>
              <w:rPr>
                <w:rFonts w:cs="宋体"/>
                <w:color w:val="auto"/>
                <w:sz w:val="18"/>
                <w:szCs w:val="18"/>
              </w:rPr>
            </w:pPr>
          </w:p>
        </w:tc>
      </w:tr>
      <w:tr w14:paraId="56A48723">
        <w:tblPrEx>
          <w:tblCellMar>
            <w:top w:w="0" w:type="dxa"/>
            <w:left w:w="108" w:type="dxa"/>
            <w:bottom w:w="0" w:type="dxa"/>
            <w:right w:w="108" w:type="dxa"/>
          </w:tblCellMar>
        </w:tblPrEx>
        <w:trPr>
          <w:trHeight w:val="340" w:hRule="atLeast"/>
        </w:trPr>
        <w:tc>
          <w:tcPr>
            <w:tcW w:w="487" w:type="pct"/>
            <w:vMerge w:val="continue"/>
            <w:tcBorders>
              <w:left w:val="single" w:color="000000" w:sz="4" w:space="0"/>
              <w:right w:val="single" w:color="auto" w:sz="4" w:space="0"/>
            </w:tcBorders>
            <w:shd w:val="clear" w:color="auto" w:fill="auto"/>
            <w:vAlign w:val="center"/>
          </w:tcPr>
          <w:p w14:paraId="36C4D463">
            <w:pPr>
              <w:spacing w:line="240" w:lineRule="auto"/>
              <w:jc w:val="center"/>
              <w:rPr>
                <w:rFonts w:cs="宋体"/>
                <w:color w:val="auto"/>
                <w:sz w:val="18"/>
                <w:szCs w:val="18"/>
              </w:rPr>
            </w:pPr>
          </w:p>
        </w:tc>
        <w:tc>
          <w:tcPr>
            <w:tcW w:w="958" w:type="pct"/>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84984BA">
            <w:pPr>
              <w:spacing w:line="240" w:lineRule="auto"/>
              <w:jc w:val="center"/>
              <w:rPr>
                <w:rFonts w:cs="宋体"/>
                <w:color w:val="auto"/>
                <w:sz w:val="18"/>
                <w:szCs w:val="18"/>
              </w:rPr>
            </w:pP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19B10399">
            <w:pPr>
              <w:widowControl/>
              <w:spacing w:line="240" w:lineRule="auto"/>
              <w:jc w:val="center"/>
              <w:textAlignment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废包装桶</w:t>
            </w:r>
          </w:p>
        </w:tc>
        <w:tc>
          <w:tcPr>
            <w:tcW w:w="982" w:type="pct"/>
            <w:vMerge w:val="continue"/>
            <w:tcBorders>
              <w:left w:val="single" w:color="auto" w:sz="4" w:space="0"/>
              <w:bottom w:val="single" w:color="auto" w:sz="4" w:space="0"/>
              <w:right w:val="single" w:color="auto" w:sz="4" w:space="0"/>
            </w:tcBorders>
            <w:shd w:val="clear" w:color="auto" w:fill="auto"/>
            <w:vAlign w:val="center"/>
          </w:tcPr>
          <w:p w14:paraId="2C64239A">
            <w:pPr>
              <w:spacing w:line="240" w:lineRule="auto"/>
              <w:jc w:val="center"/>
              <w:rPr>
                <w:rFonts w:cs="宋体"/>
                <w:color w:val="auto"/>
                <w:sz w:val="18"/>
                <w:szCs w:val="18"/>
              </w:rPr>
            </w:pPr>
          </w:p>
        </w:tc>
        <w:tc>
          <w:tcPr>
            <w:tcW w:w="1723" w:type="pct"/>
            <w:gridSpan w:val="2"/>
            <w:vMerge w:val="continue"/>
            <w:tcBorders>
              <w:left w:val="single" w:color="000000" w:sz="4" w:space="0"/>
              <w:bottom w:val="single" w:color="auto" w:sz="4" w:space="0"/>
              <w:right w:val="single" w:color="auto" w:sz="4" w:space="0"/>
            </w:tcBorders>
            <w:shd w:val="clear" w:color="auto" w:fill="auto"/>
            <w:vAlign w:val="center"/>
          </w:tcPr>
          <w:p w14:paraId="092D697E">
            <w:pPr>
              <w:spacing w:line="240" w:lineRule="auto"/>
              <w:jc w:val="center"/>
              <w:rPr>
                <w:rFonts w:cs="宋体"/>
                <w:color w:val="auto"/>
                <w:sz w:val="18"/>
                <w:szCs w:val="18"/>
              </w:rPr>
            </w:pPr>
          </w:p>
        </w:tc>
      </w:tr>
      <w:tr w14:paraId="575C2EFB">
        <w:tblPrEx>
          <w:tblCellMar>
            <w:top w:w="0" w:type="dxa"/>
            <w:left w:w="108" w:type="dxa"/>
            <w:bottom w:w="0" w:type="dxa"/>
            <w:right w:w="108" w:type="dxa"/>
          </w:tblCellMar>
        </w:tblPrEx>
        <w:trPr>
          <w:trHeight w:val="340" w:hRule="atLeast"/>
        </w:trPr>
        <w:tc>
          <w:tcPr>
            <w:tcW w:w="487" w:type="pct"/>
            <w:tcBorders>
              <w:top w:val="single" w:color="000000" w:sz="4" w:space="0"/>
              <w:left w:val="single" w:color="000000" w:sz="4" w:space="0"/>
              <w:bottom w:val="single" w:color="000000" w:sz="4" w:space="0"/>
              <w:right w:val="single" w:color="auto" w:sz="4" w:space="0"/>
            </w:tcBorders>
            <w:shd w:val="clear" w:color="auto" w:fill="auto"/>
            <w:vAlign w:val="center"/>
          </w:tcPr>
          <w:p w14:paraId="68E5426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土壤及地下水污染防治措施</w:t>
            </w:r>
          </w:p>
        </w:tc>
        <w:tc>
          <w:tcPr>
            <w:tcW w:w="4512"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020FDA08">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危废库、</w:t>
            </w:r>
            <w:r>
              <w:rPr>
                <w:rFonts w:hint="eastAsia" w:cs="宋体"/>
                <w:color w:val="auto"/>
                <w:kern w:val="0"/>
                <w:sz w:val="18"/>
                <w:szCs w:val="18"/>
                <w:lang w:val="en-US" w:eastAsia="zh-CN" w:bidi="ar"/>
              </w:rPr>
              <w:t>污水处理站</w:t>
            </w:r>
            <w:r>
              <w:rPr>
                <w:rFonts w:hint="eastAsia" w:cs="宋体"/>
                <w:color w:val="auto"/>
                <w:kern w:val="0"/>
                <w:sz w:val="18"/>
                <w:szCs w:val="18"/>
                <w:lang w:bidi="ar"/>
              </w:rPr>
              <w:t>等重点防渗区域满足等效黏土防渗层</w:t>
            </w:r>
            <w:r>
              <w:rPr>
                <w:color w:val="auto"/>
                <w:kern w:val="0"/>
                <w:sz w:val="18"/>
                <w:szCs w:val="18"/>
                <w:lang w:bidi="ar"/>
              </w:rPr>
              <w:t>Mb≥6.0m</w:t>
            </w:r>
            <w:r>
              <w:rPr>
                <w:rFonts w:hint="eastAsia" w:cs="宋体"/>
                <w:color w:val="auto"/>
                <w:kern w:val="0"/>
                <w:sz w:val="18"/>
                <w:szCs w:val="18"/>
                <w:lang w:bidi="ar"/>
              </w:rPr>
              <w:t>，</w:t>
            </w:r>
            <w:r>
              <w:rPr>
                <w:color w:val="auto"/>
                <w:kern w:val="0"/>
                <w:sz w:val="18"/>
                <w:szCs w:val="18"/>
                <w:lang w:bidi="ar"/>
              </w:rPr>
              <w:t>K≤10</w:t>
            </w:r>
            <w:r>
              <w:rPr>
                <w:color w:val="auto"/>
                <w:kern w:val="0"/>
                <w:sz w:val="18"/>
                <w:szCs w:val="18"/>
                <w:vertAlign w:val="superscript"/>
                <w:lang w:bidi="ar"/>
              </w:rPr>
              <w:t>-</w:t>
            </w:r>
            <w:r>
              <w:rPr>
                <w:rFonts w:hint="eastAsia"/>
                <w:color w:val="auto"/>
                <w:kern w:val="0"/>
                <w:sz w:val="18"/>
                <w:szCs w:val="18"/>
                <w:vertAlign w:val="superscript"/>
                <w:lang w:val="en-US" w:eastAsia="zh-CN" w:bidi="ar"/>
              </w:rPr>
              <w:t>10</w:t>
            </w:r>
            <w:r>
              <w:rPr>
                <w:color w:val="auto"/>
                <w:kern w:val="0"/>
                <w:sz w:val="18"/>
                <w:szCs w:val="18"/>
                <w:lang w:bidi="ar"/>
              </w:rPr>
              <w:t>cm/s</w:t>
            </w:r>
            <w:r>
              <w:rPr>
                <w:rFonts w:hint="eastAsia" w:cs="宋体"/>
                <w:color w:val="auto"/>
                <w:kern w:val="0"/>
                <w:sz w:val="18"/>
                <w:szCs w:val="18"/>
                <w:lang w:bidi="ar"/>
              </w:rPr>
              <w:t>要求；</w:t>
            </w:r>
            <w:r>
              <w:rPr>
                <w:rFonts w:hint="eastAsia" w:cs="宋体"/>
                <w:color w:val="auto"/>
                <w:kern w:val="0"/>
                <w:sz w:val="18"/>
                <w:szCs w:val="18"/>
                <w:lang w:val="en-US" w:eastAsia="zh-CN" w:bidi="ar"/>
              </w:rPr>
              <w:t>本项目精加工、熔炼、浇铸区、打包区等</w:t>
            </w:r>
            <w:r>
              <w:rPr>
                <w:rFonts w:hint="eastAsia" w:cs="宋体"/>
                <w:color w:val="auto"/>
                <w:kern w:val="0"/>
                <w:sz w:val="18"/>
                <w:szCs w:val="18"/>
                <w:lang w:bidi="ar"/>
              </w:rPr>
              <w:t>一般防渗区域</w:t>
            </w:r>
            <w:r>
              <w:rPr>
                <w:rFonts w:hint="eastAsia" w:cs="宋体"/>
                <w:color w:val="auto"/>
                <w:kern w:val="0"/>
                <w:sz w:val="18"/>
                <w:szCs w:val="18"/>
                <w:lang w:val="en-US" w:eastAsia="zh-CN" w:bidi="ar"/>
              </w:rPr>
              <w:t>依托现有厂房，</w:t>
            </w:r>
            <w:r>
              <w:rPr>
                <w:rFonts w:hint="eastAsia" w:cs="宋体"/>
                <w:color w:val="auto"/>
                <w:kern w:val="0"/>
                <w:sz w:val="18"/>
                <w:szCs w:val="18"/>
                <w:lang w:bidi="ar"/>
              </w:rPr>
              <w:t>满足等效黏土防渗层</w:t>
            </w:r>
            <w:r>
              <w:rPr>
                <w:color w:val="auto"/>
                <w:kern w:val="0"/>
                <w:sz w:val="18"/>
                <w:szCs w:val="18"/>
                <w:lang w:bidi="ar"/>
              </w:rPr>
              <w:t>Mb≥1.5m</w:t>
            </w:r>
            <w:r>
              <w:rPr>
                <w:rFonts w:hint="eastAsia" w:cs="宋体"/>
                <w:color w:val="auto"/>
                <w:kern w:val="0"/>
                <w:sz w:val="18"/>
                <w:szCs w:val="18"/>
                <w:lang w:bidi="ar"/>
              </w:rPr>
              <w:t>，</w:t>
            </w:r>
            <w:r>
              <w:rPr>
                <w:color w:val="auto"/>
                <w:kern w:val="0"/>
                <w:sz w:val="18"/>
                <w:szCs w:val="18"/>
                <w:lang w:bidi="ar"/>
              </w:rPr>
              <w:t>K≤10</w:t>
            </w:r>
            <w:r>
              <w:rPr>
                <w:color w:val="auto"/>
                <w:kern w:val="0"/>
                <w:sz w:val="18"/>
                <w:szCs w:val="18"/>
                <w:vertAlign w:val="superscript"/>
                <w:lang w:bidi="ar"/>
              </w:rPr>
              <w:t>-7</w:t>
            </w:r>
            <w:r>
              <w:rPr>
                <w:color w:val="auto"/>
                <w:kern w:val="0"/>
                <w:sz w:val="18"/>
                <w:szCs w:val="18"/>
                <w:lang w:bidi="ar"/>
              </w:rPr>
              <w:t>cm/s</w:t>
            </w:r>
            <w:r>
              <w:rPr>
                <w:rFonts w:hint="eastAsia" w:cs="宋体"/>
                <w:color w:val="auto"/>
                <w:kern w:val="0"/>
                <w:sz w:val="18"/>
                <w:szCs w:val="18"/>
                <w:lang w:bidi="ar"/>
              </w:rPr>
              <w:t>要求；</w:t>
            </w:r>
          </w:p>
        </w:tc>
      </w:tr>
      <w:tr w14:paraId="20B8629C">
        <w:tblPrEx>
          <w:tblCellMar>
            <w:top w:w="0" w:type="dxa"/>
            <w:left w:w="108" w:type="dxa"/>
            <w:bottom w:w="0" w:type="dxa"/>
            <w:right w:w="108" w:type="dxa"/>
          </w:tblCellMar>
        </w:tblPrEx>
        <w:trPr>
          <w:trHeight w:val="340" w:hRule="atLeast"/>
        </w:trPr>
        <w:tc>
          <w:tcPr>
            <w:tcW w:w="487" w:type="pct"/>
            <w:tcBorders>
              <w:top w:val="single" w:color="000000" w:sz="4" w:space="0"/>
              <w:left w:val="single" w:color="000000" w:sz="4" w:space="0"/>
              <w:bottom w:val="single" w:color="000000" w:sz="4" w:space="0"/>
              <w:right w:val="single" w:color="auto" w:sz="4" w:space="0"/>
            </w:tcBorders>
            <w:shd w:val="clear" w:color="auto" w:fill="auto"/>
            <w:vAlign w:val="center"/>
          </w:tcPr>
          <w:p w14:paraId="0588F6D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生态保护措施</w:t>
            </w:r>
          </w:p>
        </w:tc>
        <w:tc>
          <w:tcPr>
            <w:tcW w:w="4512"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41E37875">
            <w:pPr>
              <w:widowControl/>
              <w:spacing w:line="240" w:lineRule="auto"/>
              <w:jc w:val="center"/>
              <w:textAlignment w:val="center"/>
              <w:rPr>
                <w:color w:val="auto"/>
                <w:sz w:val="18"/>
                <w:szCs w:val="18"/>
              </w:rPr>
            </w:pPr>
            <w:r>
              <w:rPr>
                <w:color w:val="auto"/>
                <w:kern w:val="0"/>
                <w:sz w:val="18"/>
                <w:szCs w:val="18"/>
                <w:lang w:bidi="ar"/>
              </w:rPr>
              <w:t>/</w:t>
            </w:r>
          </w:p>
        </w:tc>
      </w:tr>
      <w:tr w14:paraId="120383D3">
        <w:tblPrEx>
          <w:tblCellMar>
            <w:top w:w="0" w:type="dxa"/>
            <w:left w:w="108" w:type="dxa"/>
            <w:bottom w:w="0" w:type="dxa"/>
            <w:right w:w="108" w:type="dxa"/>
          </w:tblCellMar>
        </w:tblPrEx>
        <w:trPr>
          <w:trHeight w:val="340" w:hRule="atLeast"/>
        </w:trPr>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E305E">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环境风险防范措施</w:t>
            </w:r>
          </w:p>
        </w:tc>
        <w:tc>
          <w:tcPr>
            <w:tcW w:w="4512" w:type="pct"/>
            <w:gridSpan w:val="6"/>
            <w:tcBorders>
              <w:top w:val="single" w:color="auto" w:sz="4" w:space="0"/>
              <w:left w:val="single" w:color="000000" w:sz="4" w:space="0"/>
              <w:bottom w:val="single" w:color="000000" w:sz="4" w:space="0"/>
              <w:right w:val="single" w:color="000000" w:sz="4" w:space="0"/>
            </w:tcBorders>
            <w:shd w:val="clear" w:color="auto" w:fill="auto"/>
            <w:vAlign w:val="center"/>
          </w:tcPr>
          <w:p w14:paraId="03885014">
            <w:pPr>
              <w:widowControl/>
              <w:spacing w:line="240" w:lineRule="auto"/>
              <w:jc w:val="center"/>
              <w:textAlignment w:val="center"/>
              <w:rPr>
                <w:rFonts w:hint="default"/>
                <w:color w:val="auto"/>
                <w:vertAlign w:val="baseline"/>
                <w:lang w:val="en-US" w:eastAsia="zh-CN"/>
              </w:rPr>
            </w:pPr>
            <w:r>
              <w:rPr>
                <w:rFonts w:hint="eastAsia" w:cs="宋体"/>
                <w:color w:val="auto"/>
                <w:kern w:val="0"/>
                <w:sz w:val="18"/>
                <w:szCs w:val="18"/>
                <w:lang w:bidi="ar"/>
              </w:rPr>
              <w:t>（1）火灾风险防范措施：如车间配备灭火器材和消防装备、厂区制定巡查制度、加强火源管理；</w:t>
            </w:r>
            <w:r>
              <w:rPr>
                <w:rFonts w:hint="eastAsia" w:cs="宋体"/>
                <w:color w:val="auto"/>
                <w:kern w:val="0"/>
                <w:sz w:val="18"/>
                <w:szCs w:val="18"/>
                <w:lang w:val="en-US" w:eastAsia="zh-CN" w:bidi="ar"/>
              </w:rPr>
              <w:t>厂区已设置270m</w:t>
            </w:r>
            <w:r>
              <w:rPr>
                <w:rFonts w:hint="eastAsia" w:cs="宋体"/>
                <w:color w:val="auto"/>
                <w:kern w:val="0"/>
                <w:sz w:val="18"/>
                <w:szCs w:val="18"/>
                <w:vertAlign w:val="superscript"/>
                <w:lang w:val="en-US" w:eastAsia="zh-CN" w:bidi="ar"/>
              </w:rPr>
              <w:t>3</w:t>
            </w:r>
            <w:r>
              <w:rPr>
                <w:rFonts w:hint="eastAsia" w:cs="宋体"/>
                <w:color w:val="auto"/>
                <w:kern w:val="0"/>
                <w:sz w:val="18"/>
                <w:szCs w:val="18"/>
                <w:vertAlign w:val="baseline"/>
                <w:lang w:val="en-US" w:eastAsia="zh-CN" w:bidi="ar"/>
              </w:rPr>
              <w:t>事故池。</w:t>
            </w:r>
          </w:p>
          <w:p w14:paraId="794F72D0">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（2）废气处理系统事故预防措施：如生产运行阶段，每月对设备全面检修一次，查找事故存在隐患；</w:t>
            </w:r>
          </w:p>
          <w:p w14:paraId="01EF5604">
            <w:pPr>
              <w:widowControl/>
              <w:spacing w:line="240" w:lineRule="auto"/>
              <w:jc w:val="center"/>
              <w:textAlignment w:val="center"/>
              <w:rPr>
                <w:rFonts w:hint="eastAsia" w:cs="宋体"/>
                <w:color w:val="auto"/>
                <w:kern w:val="0"/>
                <w:sz w:val="18"/>
                <w:szCs w:val="18"/>
                <w:lang w:bidi="ar"/>
              </w:rPr>
            </w:pPr>
            <w:r>
              <w:rPr>
                <w:rFonts w:hint="eastAsia" w:cs="宋体"/>
                <w:color w:val="auto"/>
                <w:kern w:val="0"/>
                <w:sz w:val="18"/>
                <w:szCs w:val="18"/>
                <w:lang w:bidi="ar"/>
              </w:rPr>
              <w:t>（3）危废暂存环境风险防控措施：如危废暂存间按《危险废物贮存污染控制标准》（GB18597-2023）要求规范化建设，并加强固废仓库的规范管理，制定危废管理台账等；</w:t>
            </w:r>
          </w:p>
          <w:p w14:paraId="1C6FDCE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（4）防火措施：厂区配置一定数量的消防器材等。</w:t>
            </w:r>
          </w:p>
        </w:tc>
      </w:tr>
      <w:tr w14:paraId="6566E470">
        <w:tblPrEx>
          <w:tblCellMar>
            <w:top w:w="0" w:type="dxa"/>
            <w:left w:w="108" w:type="dxa"/>
            <w:bottom w:w="0" w:type="dxa"/>
            <w:right w:w="108" w:type="dxa"/>
          </w:tblCellMar>
        </w:tblPrEx>
        <w:trPr>
          <w:trHeight w:val="340" w:hRule="atLeast"/>
        </w:trPr>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E1B0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其他环境管理要求</w:t>
            </w:r>
          </w:p>
        </w:tc>
        <w:tc>
          <w:tcPr>
            <w:tcW w:w="451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1E3ECE0">
            <w:pPr>
              <w:widowControl/>
              <w:spacing w:line="240" w:lineRule="auto"/>
              <w:jc w:val="center"/>
              <w:textAlignment w:val="center"/>
              <w:rPr>
                <w:rFonts w:hint="eastAsia"/>
                <w:color w:val="auto"/>
                <w:kern w:val="0"/>
                <w:sz w:val="18"/>
                <w:szCs w:val="18"/>
                <w:lang w:eastAsia="zh-CN" w:bidi="ar"/>
              </w:rPr>
            </w:pPr>
            <w:r>
              <w:rPr>
                <w:rFonts w:hint="eastAsia"/>
                <w:color w:val="auto"/>
                <w:kern w:val="0"/>
                <w:sz w:val="18"/>
                <w:szCs w:val="18"/>
                <w:lang w:bidi="ar"/>
              </w:rPr>
              <w:t>要求建设单位按照《关于开展排放口规范化整治工作的通知》（环发〔1999〕24 号）和《排污口规范化整治技术要求（试行）》（环监〔1996〕470 号）等文件要求，进行排污口规范化设置工作，落实排污口的设立、监测、标识等要求</w:t>
            </w:r>
            <w:r>
              <w:rPr>
                <w:rFonts w:hint="eastAsia"/>
                <w:color w:val="auto"/>
                <w:kern w:val="0"/>
                <w:sz w:val="18"/>
                <w:szCs w:val="18"/>
                <w:lang w:eastAsia="zh-CN" w:bidi="ar"/>
              </w:rPr>
              <w:t>。</w:t>
            </w:r>
          </w:p>
          <w:p w14:paraId="15EFF519">
            <w:pPr>
              <w:widowControl/>
              <w:spacing w:line="240" w:lineRule="auto"/>
              <w:jc w:val="center"/>
              <w:textAlignment w:val="center"/>
              <w:rPr>
                <w:rFonts w:hint="eastAsia" w:eastAsia="宋体"/>
                <w:color w:val="auto"/>
                <w:sz w:val="18"/>
                <w:szCs w:val="18"/>
                <w:lang w:eastAsia="zh-CN"/>
              </w:rPr>
            </w:pPr>
            <w:r>
              <w:rPr>
                <w:rFonts w:hint="eastAsia"/>
                <w:color w:val="auto"/>
                <w:kern w:val="0"/>
                <w:sz w:val="18"/>
                <w:szCs w:val="18"/>
                <w:lang w:eastAsia="zh-CN" w:bidi="ar"/>
              </w:rPr>
              <w:t>（2）按《固定污染源排污许可分类管理名录（2019 年版）》进行判定，可知：本项目排污许可填报“管理类别”应为“</w:t>
            </w:r>
            <w:r>
              <w:rPr>
                <w:rFonts w:hint="eastAsia" w:cs="宋体"/>
                <w:color w:val="auto"/>
                <w:kern w:val="0"/>
                <w:sz w:val="18"/>
                <w:szCs w:val="18"/>
                <w:lang w:val="en-US" w:eastAsia="zh-CN" w:bidi="ar"/>
              </w:rPr>
              <w:t>简化</w:t>
            </w:r>
            <w:r>
              <w:rPr>
                <w:rFonts w:hint="eastAsia"/>
                <w:color w:val="auto"/>
                <w:kern w:val="0"/>
                <w:sz w:val="18"/>
                <w:szCs w:val="18"/>
                <w:lang w:eastAsia="zh-CN" w:bidi="ar"/>
              </w:rPr>
              <w:t>管理”。建设单位及时完善排污许可</w:t>
            </w:r>
            <w:r>
              <w:rPr>
                <w:rFonts w:hint="eastAsia" w:cs="宋体"/>
                <w:color w:val="auto"/>
                <w:kern w:val="0"/>
                <w:sz w:val="18"/>
                <w:szCs w:val="18"/>
                <w:lang w:val="en-US" w:eastAsia="zh-CN" w:bidi="ar"/>
              </w:rPr>
              <w:t>申请</w:t>
            </w:r>
            <w:r>
              <w:rPr>
                <w:rFonts w:hint="eastAsia"/>
                <w:color w:val="auto"/>
                <w:kern w:val="0"/>
                <w:sz w:val="18"/>
                <w:szCs w:val="18"/>
                <w:lang w:val="en-US" w:eastAsia="zh-CN" w:bidi="ar"/>
              </w:rPr>
              <w:t>事项</w:t>
            </w:r>
            <w:r>
              <w:rPr>
                <w:rFonts w:hint="eastAsia"/>
                <w:color w:val="auto"/>
                <w:kern w:val="0"/>
                <w:sz w:val="18"/>
                <w:szCs w:val="18"/>
                <w:lang w:eastAsia="zh-CN" w:bidi="ar"/>
              </w:rPr>
              <w:t>。</w:t>
            </w:r>
          </w:p>
        </w:tc>
      </w:tr>
    </w:tbl>
    <w:p w14:paraId="1A0F27C5">
      <w:pPr>
        <w:rPr>
          <w:color w:val="auto"/>
        </w:rPr>
        <w:sectPr>
          <w:headerReference r:id="rId11" w:type="default"/>
          <w:pgSz w:w="11906" w:h="16838"/>
          <w:pgMar w:top="1247" w:right="1134" w:bottom="1134" w:left="1247" w:header="680" w:footer="680" w:gutter="0"/>
          <w:cols w:space="720" w:num="1"/>
          <w:docGrid w:linePitch="326" w:charSpace="0"/>
        </w:sectPr>
      </w:pPr>
    </w:p>
    <w:p w14:paraId="483911B3">
      <w:pPr>
        <w:jc w:val="center"/>
        <w:outlineLvl w:val="0"/>
        <w:rPr>
          <w:b/>
          <w:color w:val="auto"/>
          <w:sz w:val="32"/>
          <w:szCs w:val="32"/>
        </w:rPr>
      </w:pPr>
      <w:bookmarkStart w:id="76" w:name="_Toc22627"/>
      <w:r>
        <w:rPr>
          <w:rFonts w:hint="eastAsia"/>
          <w:b/>
          <w:color w:val="auto"/>
          <w:sz w:val="32"/>
          <w:szCs w:val="32"/>
        </w:rPr>
        <w:t>六、</w:t>
      </w:r>
      <w:r>
        <w:rPr>
          <w:b/>
          <w:color w:val="auto"/>
          <w:sz w:val="32"/>
          <w:szCs w:val="32"/>
        </w:rPr>
        <w:t>结论</w:t>
      </w:r>
      <w:bookmarkEnd w:id="76"/>
    </w:p>
    <w:tbl>
      <w:tblPr>
        <w:tblStyle w:val="69"/>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6"/>
      </w:tblGrid>
      <w:tr w14:paraId="61F8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1" w:hRule="atLeast"/>
          <w:jc w:val="center"/>
        </w:trPr>
        <w:tc>
          <w:tcPr>
            <w:tcW w:w="9516" w:type="dxa"/>
          </w:tcPr>
          <w:p w14:paraId="540BDD2E">
            <w:pPr>
              <w:ind w:firstLine="480" w:firstLineChars="200"/>
              <w:rPr>
                <w:snapToGrid w:val="0"/>
                <w:color w:val="auto"/>
              </w:rPr>
            </w:pPr>
            <w:r>
              <w:rPr>
                <w:rFonts w:hint="eastAsia"/>
                <w:snapToGrid w:val="0"/>
                <w:color w:val="auto"/>
              </w:rPr>
              <w:t>从环境影响角度分析论证，建设项目环境影响可行。</w:t>
            </w:r>
          </w:p>
          <w:p w14:paraId="10483DCD">
            <w:pPr>
              <w:ind w:firstLine="480" w:firstLineChars="200"/>
              <w:rPr>
                <w:snapToGrid w:val="0"/>
                <w:color w:val="auto"/>
              </w:rPr>
            </w:pPr>
          </w:p>
          <w:p w14:paraId="0F69AC41">
            <w:pPr>
              <w:ind w:firstLine="480" w:firstLineChars="200"/>
              <w:rPr>
                <w:snapToGrid w:val="0"/>
                <w:color w:val="auto"/>
              </w:rPr>
            </w:pPr>
          </w:p>
          <w:p w14:paraId="63F0A7A8">
            <w:pPr>
              <w:ind w:firstLine="480" w:firstLineChars="200"/>
              <w:rPr>
                <w:snapToGrid w:val="0"/>
                <w:color w:val="auto"/>
              </w:rPr>
            </w:pPr>
          </w:p>
          <w:p w14:paraId="1EB5D91F">
            <w:pPr>
              <w:ind w:firstLine="480" w:firstLineChars="200"/>
              <w:rPr>
                <w:snapToGrid w:val="0"/>
                <w:color w:val="auto"/>
              </w:rPr>
            </w:pPr>
          </w:p>
          <w:p w14:paraId="292DA0A4">
            <w:pPr>
              <w:ind w:firstLine="480" w:firstLineChars="200"/>
              <w:rPr>
                <w:snapToGrid w:val="0"/>
                <w:color w:val="auto"/>
              </w:rPr>
            </w:pPr>
          </w:p>
          <w:p w14:paraId="3D43AAD1">
            <w:pPr>
              <w:ind w:firstLine="480" w:firstLineChars="200"/>
              <w:rPr>
                <w:snapToGrid w:val="0"/>
                <w:color w:val="auto"/>
              </w:rPr>
            </w:pPr>
          </w:p>
          <w:p w14:paraId="78AD18C8">
            <w:pPr>
              <w:ind w:firstLine="480" w:firstLineChars="200"/>
              <w:rPr>
                <w:snapToGrid w:val="0"/>
                <w:color w:val="auto"/>
              </w:rPr>
            </w:pPr>
          </w:p>
          <w:p w14:paraId="3EC5FCCE">
            <w:pPr>
              <w:ind w:firstLine="480" w:firstLineChars="200"/>
              <w:rPr>
                <w:snapToGrid w:val="0"/>
                <w:color w:val="auto"/>
              </w:rPr>
            </w:pPr>
          </w:p>
          <w:p w14:paraId="09F64CDD">
            <w:pPr>
              <w:ind w:firstLine="480" w:firstLineChars="200"/>
              <w:rPr>
                <w:snapToGrid w:val="0"/>
                <w:color w:val="auto"/>
              </w:rPr>
            </w:pPr>
          </w:p>
          <w:p w14:paraId="28F6FECF">
            <w:pPr>
              <w:ind w:firstLine="480" w:firstLineChars="200"/>
              <w:rPr>
                <w:snapToGrid w:val="0"/>
                <w:color w:val="auto"/>
              </w:rPr>
            </w:pPr>
          </w:p>
          <w:p w14:paraId="316E5F3D">
            <w:pPr>
              <w:ind w:firstLine="480" w:firstLineChars="200"/>
              <w:rPr>
                <w:snapToGrid w:val="0"/>
                <w:color w:val="auto"/>
              </w:rPr>
            </w:pPr>
          </w:p>
          <w:p w14:paraId="0AE7A8DE">
            <w:pPr>
              <w:ind w:firstLine="480" w:firstLineChars="200"/>
              <w:rPr>
                <w:snapToGrid w:val="0"/>
                <w:color w:val="auto"/>
              </w:rPr>
            </w:pPr>
          </w:p>
          <w:p w14:paraId="6104C5A8">
            <w:pPr>
              <w:ind w:firstLine="480" w:firstLineChars="200"/>
              <w:rPr>
                <w:snapToGrid w:val="0"/>
                <w:color w:val="auto"/>
              </w:rPr>
            </w:pPr>
          </w:p>
          <w:p w14:paraId="31508D41">
            <w:pPr>
              <w:ind w:firstLine="480" w:firstLineChars="200"/>
              <w:rPr>
                <w:snapToGrid w:val="0"/>
                <w:color w:val="auto"/>
              </w:rPr>
            </w:pPr>
          </w:p>
          <w:p w14:paraId="3FA6FB01">
            <w:pPr>
              <w:ind w:firstLine="480" w:firstLineChars="200"/>
              <w:rPr>
                <w:snapToGrid w:val="0"/>
                <w:color w:val="auto"/>
              </w:rPr>
            </w:pPr>
          </w:p>
          <w:p w14:paraId="707CCC01">
            <w:pPr>
              <w:ind w:firstLine="480" w:firstLineChars="200"/>
              <w:rPr>
                <w:snapToGrid w:val="0"/>
                <w:color w:val="auto"/>
              </w:rPr>
            </w:pPr>
          </w:p>
          <w:p w14:paraId="226E45AC">
            <w:pPr>
              <w:ind w:firstLine="480" w:firstLineChars="200"/>
              <w:rPr>
                <w:snapToGrid w:val="0"/>
                <w:color w:val="auto"/>
              </w:rPr>
            </w:pPr>
          </w:p>
          <w:p w14:paraId="20165887">
            <w:pPr>
              <w:ind w:firstLine="480" w:firstLineChars="200"/>
              <w:rPr>
                <w:snapToGrid w:val="0"/>
                <w:color w:val="auto"/>
              </w:rPr>
            </w:pPr>
          </w:p>
          <w:p w14:paraId="2E51FBDD">
            <w:pPr>
              <w:ind w:firstLine="480" w:firstLineChars="200"/>
              <w:rPr>
                <w:snapToGrid w:val="0"/>
                <w:color w:val="auto"/>
              </w:rPr>
            </w:pPr>
          </w:p>
          <w:p w14:paraId="7F2B62CE">
            <w:pPr>
              <w:ind w:firstLine="480" w:firstLineChars="200"/>
              <w:rPr>
                <w:snapToGrid w:val="0"/>
                <w:color w:val="auto"/>
              </w:rPr>
            </w:pPr>
          </w:p>
          <w:p w14:paraId="5FC68186">
            <w:pPr>
              <w:ind w:firstLine="480" w:firstLineChars="200"/>
              <w:rPr>
                <w:snapToGrid w:val="0"/>
                <w:color w:val="auto"/>
              </w:rPr>
            </w:pPr>
          </w:p>
          <w:p w14:paraId="14F9968E">
            <w:pPr>
              <w:ind w:firstLine="480" w:firstLineChars="200"/>
              <w:rPr>
                <w:snapToGrid w:val="0"/>
                <w:color w:val="auto"/>
              </w:rPr>
            </w:pPr>
          </w:p>
          <w:p w14:paraId="14FFAB24">
            <w:pPr>
              <w:ind w:firstLine="480" w:firstLineChars="200"/>
              <w:rPr>
                <w:snapToGrid w:val="0"/>
                <w:color w:val="auto"/>
              </w:rPr>
            </w:pPr>
          </w:p>
          <w:p w14:paraId="75E79AFB">
            <w:pPr>
              <w:ind w:firstLine="480" w:firstLineChars="200"/>
              <w:rPr>
                <w:snapToGrid w:val="0"/>
                <w:color w:val="auto"/>
              </w:rPr>
            </w:pPr>
          </w:p>
          <w:p w14:paraId="2D9D9CBE">
            <w:pPr>
              <w:ind w:firstLine="480" w:firstLineChars="200"/>
              <w:rPr>
                <w:snapToGrid w:val="0"/>
                <w:color w:val="auto"/>
              </w:rPr>
            </w:pPr>
          </w:p>
          <w:p w14:paraId="4ED93953">
            <w:pPr>
              <w:ind w:firstLine="480" w:firstLineChars="200"/>
              <w:rPr>
                <w:snapToGrid w:val="0"/>
                <w:color w:val="auto"/>
              </w:rPr>
            </w:pPr>
          </w:p>
          <w:p w14:paraId="024EA91F">
            <w:pPr>
              <w:rPr>
                <w:snapToGrid w:val="0"/>
                <w:color w:val="auto"/>
              </w:rPr>
            </w:pPr>
          </w:p>
        </w:tc>
      </w:tr>
    </w:tbl>
    <w:p w14:paraId="689C633E">
      <w:pPr>
        <w:ind w:firstLine="480" w:firstLineChars="200"/>
        <w:rPr>
          <w:color w:val="auto"/>
        </w:rPr>
        <w:sectPr>
          <w:pgSz w:w="11906" w:h="16838"/>
          <w:pgMar w:top="1247" w:right="1134" w:bottom="1134" w:left="1247" w:header="680" w:footer="680" w:gutter="0"/>
          <w:cols w:space="720" w:num="1"/>
          <w:docGrid w:linePitch="326" w:charSpace="0"/>
        </w:sectPr>
      </w:pPr>
    </w:p>
    <w:p w14:paraId="39D1A4F9">
      <w:pPr>
        <w:pStyle w:val="3"/>
        <w:spacing w:before="120" w:after="120"/>
        <w:jc w:val="left"/>
        <w:rPr>
          <w:color w:val="auto"/>
        </w:rPr>
      </w:pPr>
      <w:bookmarkStart w:id="77" w:name="_Toc2783"/>
      <w:bookmarkStart w:id="78" w:name="_Toc18324"/>
      <w:r>
        <w:rPr>
          <w:rFonts w:hint="eastAsia"/>
          <w:color w:val="auto"/>
        </w:rPr>
        <w:t>附表</w:t>
      </w:r>
      <w:bookmarkEnd w:id="77"/>
      <w:bookmarkEnd w:id="78"/>
    </w:p>
    <w:p w14:paraId="6DC59A31">
      <w:pPr>
        <w:pStyle w:val="4"/>
        <w:spacing w:before="120"/>
        <w:rPr>
          <w:rFonts w:hint="eastAsia" w:ascii="黑体" w:hAnsi="黑体" w:eastAsia="黑体"/>
          <w:color w:val="auto"/>
          <w:sz w:val="24"/>
          <w:szCs w:val="24"/>
        </w:rPr>
      </w:pPr>
      <w:bookmarkStart w:id="79" w:name="_Toc2993"/>
      <w:r>
        <w:rPr>
          <w:rFonts w:hint="eastAsia" w:ascii="黑体" w:hAnsi="黑体" w:eastAsia="黑体"/>
          <w:color w:val="auto"/>
          <w:sz w:val="24"/>
          <w:szCs w:val="24"/>
        </w:rPr>
        <w:t>附表</w:t>
      </w:r>
      <w:r>
        <w:rPr>
          <w:rFonts w:eastAsia="黑体"/>
          <w:color w:val="auto"/>
          <w:sz w:val="24"/>
          <w:szCs w:val="24"/>
        </w:rPr>
        <w:t>1</w:t>
      </w:r>
      <w:r>
        <w:rPr>
          <w:rFonts w:hint="eastAsia" w:ascii="黑体" w:hAnsi="黑体" w:eastAsia="黑体"/>
          <w:color w:val="auto"/>
          <w:sz w:val="24"/>
          <w:szCs w:val="24"/>
        </w:rPr>
        <w:t xml:space="preserve"> </w:t>
      </w:r>
      <w:r>
        <w:rPr>
          <w:rFonts w:ascii="黑体" w:hAnsi="黑体" w:eastAsia="黑体"/>
          <w:color w:val="auto"/>
          <w:sz w:val="24"/>
          <w:szCs w:val="24"/>
        </w:rPr>
        <w:t xml:space="preserve"> </w:t>
      </w:r>
      <w:r>
        <w:rPr>
          <w:rFonts w:hint="eastAsia" w:ascii="黑体" w:hAnsi="黑体" w:eastAsia="黑体"/>
          <w:color w:val="auto"/>
          <w:sz w:val="24"/>
          <w:szCs w:val="24"/>
        </w:rPr>
        <w:t>建设项目污染物排放量汇总表（</w:t>
      </w:r>
      <w:r>
        <w:rPr>
          <w:rFonts w:eastAsia="黑体" w:cs="Times New Roman"/>
          <w:color w:val="auto"/>
          <w:sz w:val="24"/>
          <w:szCs w:val="24"/>
        </w:rPr>
        <w:t>t/a</w:t>
      </w:r>
      <w:r>
        <w:rPr>
          <w:rFonts w:hint="eastAsia" w:ascii="黑体" w:hAnsi="黑体" w:eastAsia="黑体"/>
          <w:color w:val="auto"/>
          <w:sz w:val="24"/>
          <w:szCs w:val="24"/>
        </w:rPr>
        <w:t>）</w:t>
      </w:r>
      <w:bookmarkEnd w:id="79"/>
    </w:p>
    <w:tbl>
      <w:tblPr>
        <w:tblStyle w:val="69"/>
        <w:tblW w:w="4992" w:type="pct"/>
        <w:tblInd w:w="0" w:type="dxa"/>
        <w:tblLayout w:type="autofit"/>
        <w:tblCellMar>
          <w:top w:w="0" w:type="dxa"/>
          <w:left w:w="108" w:type="dxa"/>
          <w:bottom w:w="0" w:type="dxa"/>
          <w:right w:w="108" w:type="dxa"/>
        </w:tblCellMar>
      </w:tblPr>
      <w:tblGrid>
        <w:gridCol w:w="1343"/>
        <w:gridCol w:w="1147"/>
        <w:gridCol w:w="1551"/>
        <w:gridCol w:w="1346"/>
        <w:gridCol w:w="1346"/>
        <w:gridCol w:w="1346"/>
        <w:gridCol w:w="2073"/>
        <w:gridCol w:w="1346"/>
        <w:gridCol w:w="1806"/>
        <w:gridCol w:w="1346"/>
      </w:tblGrid>
      <w:tr w14:paraId="433340FF">
        <w:tblPrEx>
          <w:tblCellMar>
            <w:top w:w="0" w:type="dxa"/>
            <w:left w:w="108" w:type="dxa"/>
            <w:bottom w:w="0" w:type="dxa"/>
            <w:right w:w="108" w:type="dxa"/>
          </w:tblCellMar>
        </w:tblPrEx>
        <w:trPr>
          <w:trHeight w:val="340" w:hRule="atLeast"/>
        </w:trPr>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3556C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污染物类别</w:t>
            </w:r>
          </w:p>
        </w:tc>
        <w:tc>
          <w:tcPr>
            <w:tcW w:w="920"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22F737">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污染物名称</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EAE5E4">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现有工程排放量（固体废物产生量）①</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FDB8E6">
            <w:pPr>
              <w:widowControl/>
              <w:spacing w:line="240" w:lineRule="auto"/>
              <w:jc w:val="center"/>
              <w:textAlignment w:val="center"/>
              <w:rPr>
                <w:rFonts w:cs="宋体"/>
                <w:color w:val="auto"/>
                <w:sz w:val="18"/>
                <w:szCs w:val="18"/>
              </w:rPr>
            </w:pPr>
            <w:r>
              <w:rPr>
                <w:rFonts w:hint="eastAsia" w:cs="宋体"/>
                <w:color w:val="auto"/>
                <w:kern w:val="0"/>
                <w:sz w:val="18"/>
                <w:szCs w:val="18"/>
                <w:lang w:bidi="ar"/>
              </w:rPr>
              <w:t>现有工程许可排放量②</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D1781C">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在建工程排放量（固体废物产生量）③</w:t>
            </w: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C416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本项目排放量（固体废物产生量）④</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EE38B9">
            <w:pPr>
              <w:widowControl/>
              <w:spacing w:line="240" w:lineRule="auto"/>
              <w:jc w:val="center"/>
              <w:textAlignment w:val="center"/>
              <w:rPr>
                <w:rFonts w:cs="宋体"/>
                <w:color w:val="auto"/>
                <w:sz w:val="18"/>
                <w:szCs w:val="18"/>
              </w:rPr>
            </w:pPr>
            <w:r>
              <w:rPr>
                <w:rFonts w:hint="eastAsia" w:cs="宋体"/>
                <w:color w:val="auto"/>
                <w:kern w:val="0"/>
                <w:sz w:val="18"/>
                <w:szCs w:val="18"/>
                <w:lang w:bidi="ar"/>
              </w:rPr>
              <w:t>以新带老消减量（新建项目不填）⑤</w:t>
            </w:r>
          </w:p>
        </w:tc>
        <w:tc>
          <w:tcPr>
            <w:tcW w:w="6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372BF">
            <w:pPr>
              <w:widowControl/>
              <w:spacing w:line="240" w:lineRule="auto"/>
              <w:jc w:val="center"/>
              <w:textAlignment w:val="center"/>
              <w:rPr>
                <w:rFonts w:cs="宋体"/>
                <w:color w:val="auto"/>
                <w:sz w:val="18"/>
                <w:szCs w:val="18"/>
              </w:rPr>
            </w:pPr>
            <w:r>
              <w:rPr>
                <w:rFonts w:hint="eastAsia" w:cs="宋体"/>
                <w:color w:val="auto"/>
                <w:kern w:val="0"/>
                <w:sz w:val="18"/>
                <w:szCs w:val="18"/>
                <w:lang w:bidi="ar"/>
              </w:rPr>
              <w:t>本项目建成后全厂排放量（固体废物产生量）⑥</w:t>
            </w:r>
          </w:p>
        </w:tc>
        <w:tc>
          <w:tcPr>
            <w:tcW w:w="4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4F1ED">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变化量⑦</w:t>
            </w:r>
          </w:p>
        </w:tc>
      </w:tr>
      <w:tr w14:paraId="29881341">
        <w:tblPrEx>
          <w:tblCellMar>
            <w:top w:w="0" w:type="dxa"/>
            <w:left w:w="108" w:type="dxa"/>
            <w:bottom w:w="0" w:type="dxa"/>
            <w:right w:w="108" w:type="dxa"/>
          </w:tblCellMar>
        </w:tblPrEx>
        <w:trPr>
          <w:trHeight w:val="340" w:hRule="atLeast"/>
        </w:trPr>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201BA">
            <w:pPr>
              <w:widowControl/>
              <w:spacing w:line="240" w:lineRule="auto"/>
              <w:jc w:val="center"/>
              <w:rPr>
                <w:rFonts w:cs="宋体"/>
                <w:color w:val="auto"/>
                <w:sz w:val="18"/>
                <w:szCs w:val="18"/>
              </w:rPr>
            </w:pPr>
          </w:p>
        </w:tc>
        <w:tc>
          <w:tcPr>
            <w:tcW w:w="92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963F0">
            <w:pPr>
              <w:widowControl/>
              <w:spacing w:line="240" w:lineRule="auto"/>
              <w:jc w:val="center"/>
              <w:rPr>
                <w:rFonts w:cs="宋体"/>
                <w:color w:val="auto"/>
                <w:sz w:val="18"/>
                <w:szCs w:val="18"/>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C6531">
            <w:pPr>
              <w:widowControl/>
              <w:spacing w:line="240" w:lineRule="auto"/>
              <w:jc w:val="center"/>
              <w:rPr>
                <w:rFonts w:cs="宋体"/>
                <w:color w:val="auto"/>
                <w:sz w:val="18"/>
                <w:szCs w:val="18"/>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20C7C">
            <w:pPr>
              <w:widowControl/>
              <w:spacing w:line="240" w:lineRule="auto"/>
              <w:jc w:val="center"/>
              <w:rPr>
                <w:rFonts w:cs="宋体"/>
                <w:color w:val="auto"/>
                <w:sz w:val="18"/>
                <w:szCs w:val="18"/>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074A7">
            <w:pPr>
              <w:widowControl/>
              <w:spacing w:line="240" w:lineRule="auto"/>
              <w:jc w:val="center"/>
              <w:rPr>
                <w:rFonts w:cs="宋体"/>
                <w:color w:val="auto"/>
                <w:sz w:val="18"/>
                <w:szCs w:val="18"/>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6AED9">
            <w:pPr>
              <w:widowControl/>
              <w:spacing w:line="240" w:lineRule="auto"/>
              <w:jc w:val="center"/>
              <w:rPr>
                <w:rFonts w:cs="宋体"/>
                <w:color w:val="auto"/>
                <w:sz w:val="18"/>
                <w:szCs w:val="18"/>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F8AA6">
            <w:pPr>
              <w:widowControl/>
              <w:spacing w:line="240" w:lineRule="auto"/>
              <w:jc w:val="center"/>
              <w:rPr>
                <w:rFonts w:cs="宋体"/>
                <w:color w:val="auto"/>
                <w:sz w:val="18"/>
                <w:szCs w:val="18"/>
              </w:rPr>
            </w:pPr>
          </w:p>
        </w:tc>
        <w:tc>
          <w:tcPr>
            <w:tcW w:w="6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79CD2">
            <w:pPr>
              <w:widowControl/>
              <w:spacing w:line="240" w:lineRule="auto"/>
              <w:jc w:val="center"/>
              <w:rPr>
                <w:rFonts w:cs="宋体"/>
                <w:color w:val="auto"/>
                <w:sz w:val="18"/>
                <w:szCs w:val="18"/>
              </w:rPr>
            </w:pPr>
          </w:p>
        </w:tc>
        <w:tc>
          <w:tcPr>
            <w:tcW w:w="4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A9EBC">
            <w:pPr>
              <w:widowControl/>
              <w:spacing w:line="240" w:lineRule="auto"/>
              <w:jc w:val="center"/>
              <w:rPr>
                <w:rFonts w:cs="宋体"/>
                <w:color w:val="auto"/>
                <w:sz w:val="18"/>
                <w:szCs w:val="18"/>
              </w:rPr>
            </w:pPr>
          </w:p>
        </w:tc>
      </w:tr>
      <w:tr w14:paraId="09344891">
        <w:tblPrEx>
          <w:tblCellMar>
            <w:top w:w="0" w:type="dxa"/>
            <w:left w:w="108" w:type="dxa"/>
            <w:bottom w:w="0" w:type="dxa"/>
            <w:right w:w="108" w:type="dxa"/>
          </w:tblCellMar>
        </w:tblPrEx>
        <w:trPr>
          <w:trHeight w:val="340" w:hRule="atLeast"/>
        </w:trPr>
        <w:tc>
          <w:tcPr>
            <w:tcW w:w="458" w:type="pct"/>
            <w:vMerge w:val="restart"/>
            <w:tcBorders>
              <w:top w:val="single" w:color="000000" w:sz="4" w:space="0"/>
              <w:left w:val="single" w:color="000000" w:sz="4" w:space="0"/>
              <w:right w:val="single" w:color="000000" w:sz="4" w:space="0"/>
            </w:tcBorders>
            <w:shd w:val="clear" w:color="auto" w:fill="auto"/>
            <w:vAlign w:val="center"/>
          </w:tcPr>
          <w:p w14:paraId="71D89490">
            <w:pPr>
              <w:widowControl/>
              <w:spacing w:line="240" w:lineRule="auto"/>
              <w:jc w:val="center"/>
              <w:textAlignment w:val="center"/>
              <w:rPr>
                <w:rFonts w:cs="宋体"/>
                <w:color w:val="auto"/>
                <w:sz w:val="18"/>
                <w:szCs w:val="18"/>
              </w:rPr>
            </w:pPr>
            <w:r>
              <w:rPr>
                <w:rFonts w:hint="eastAsia" w:cs="宋体"/>
                <w:color w:val="auto"/>
                <w:kern w:val="0"/>
                <w:sz w:val="18"/>
                <w:szCs w:val="18"/>
                <w:lang w:bidi="ar"/>
              </w:rPr>
              <w:t>废气</w:t>
            </w:r>
          </w:p>
        </w:tc>
        <w:tc>
          <w:tcPr>
            <w:tcW w:w="391" w:type="pct"/>
            <w:vMerge w:val="restart"/>
            <w:tcBorders>
              <w:top w:val="single" w:color="000000" w:sz="4" w:space="0"/>
              <w:left w:val="single" w:color="000000" w:sz="4" w:space="0"/>
              <w:right w:val="single" w:color="000000" w:sz="4" w:space="0"/>
            </w:tcBorders>
            <w:shd w:val="clear" w:color="auto" w:fill="auto"/>
            <w:vAlign w:val="center"/>
          </w:tcPr>
          <w:p w14:paraId="0F6F96C0">
            <w:pPr>
              <w:widowControl/>
              <w:spacing w:line="240" w:lineRule="auto"/>
              <w:jc w:val="center"/>
              <w:textAlignment w:val="center"/>
              <w:rPr>
                <w:rFonts w:cs="宋体"/>
                <w:color w:val="auto"/>
                <w:sz w:val="18"/>
                <w:szCs w:val="18"/>
              </w:rPr>
            </w:pPr>
            <w:r>
              <w:rPr>
                <w:rFonts w:hint="eastAsia" w:cs="宋体"/>
                <w:color w:val="auto"/>
                <w:sz w:val="18"/>
                <w:szCs w:val="18"/>
              </w:rPr>
              <w:t>有组织</w:t>
            </w: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23C60">
            <w:pPr>
              <w:widowControl/>
              <w:spacing w:line="240" w:lineRule="auto"/>
              <w:jc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颗粒物</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0B20">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1.0564</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52F6B">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288F">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3.5996</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F0D2B">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0.130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C1F7B">
            <w:pPr>
              <w:widowControl/>
              <w:spacing w:line="240" w:lineRule="auto"/>
              <w:jc w:val="center"/>
              <w:rPr>
                <w:rFonts w:hint="eastAsia" w:ascii="Times New Roman" w:hAnsi="Times New Roman" w:eastAsia="宋体" w:cs="宋体"/>
                <w:color w:val="auto"/>
                <w:kern w:val="2"/>
                <w:sz w:val="18"/>
                <w:szCs w:val="18"/>
                <w:lang w:val="en-US" w:eastAsia="zh-CN" w:bidi="ar-SA"/>
              </w:rPr>
            </w:pPr>
            <w:r>
              <w:rPr>
                <w:rFonts w:hint="eastAsia" w:eastAsia="宋体" w:cs="宋体"/>
                <w:color w:val="auto"/>
                <w:sz w:val="18"/>
                <w:szCs w:val="18"/>
                <w:lang w:val="en-US" w:eastAsia="zh-CN"/>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C230E">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4.786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6D2F8">
            <w:pPr>
              <w:widowControl/>
              <w:spacing w:line="240" w:lineRule="auto"/>
              <w:jc w:val="center"/>
              <w:rPr>
                <w:rFonts w:hint="default" w:eastAsia="宋体" w:cs="宋体"/>
                <w:color w:val="auto"/>
                <w:sz w:val="18"/>
                <w:szCs w:val="18"/>
                <w:lang w:val="en-US" w:eastAsia="zh-CN"/>
              </w:rPr>
            </w:pPr>
            <w:r>
              <w:rPr>
                <w:rFonts w:hint="eastAsia"/>
                <w:color w:val="auto"/>
                <w:sz w:val="18"/>
                <w:szCs w:val="18"/>
              </w:rPr>
              <w:t>+</w:t>
            </w:r>
            <w:r>
              <w:rPr>
                <w:rFonts w:hint="eastAsia"/>
                <w:color w:val="auto"/>
                <w:sz w:val="18"/>
                <w:szCs w:val="18"/>
                <w:lang w:val="en-US" w:eastAsia="zh-CN"/>
              </w:rPr>
              <w:t>0.130</w:t>
            </w:r>
          </w:p>
        </w:tc>
      </w:tr>
      <w:tr w14:paraId="7B875289">
        <w:tblPrEx>
          <w:tblCellMar>
            <w:top w:w="0" w:type="dxa"/>
            <w:left w:w="108" w:type="dxa"/>
            <w:bottom w:w="0" w:type="dxa"/>
            <w:right w:w="108" w:type="dxa"/>
          </w:tblCellMar>
        </w:tblPrEx>
        <w:trPr>
          <w:trHeight w:val="340" w:hRule="atLeast"/>
        </w:trPr>
        <w:tc>
          <w:tcPr>
            <w:tcW w:w="458" w:type="pct"/>
            <w:vMerge w:val="continue"/>
            <w:tcBorders>
              <w:left w:val="single" w:color="000000" w:sz="4" w:space="0"/>
              <w:right w:val="single" w:color="000000" w:sz="4" w:space="0"/>
            </w:tcBorders>
            <w:shd w:val="clear" w:color="auto" w:fill="auto"/>
            <w:vAlign w:val="center"/>
          </w:tcPr>
          <w:p w14:paraId="6A6E0C21">
            <w:pPr>
              <w:widowControl/>
              <w:spacing w:line="240" w:lineRule="auto"/>
              <w:jc w:val="center"/>
              <w:textAlignment w:val="center"/>
              <w:rPr>
                <w:rFonts w:hint="eastAsia" w:cs="宋体"/>
                <w:color w:val="auto"/>
                <w:kern w:val="0"/>
                <w:sz w:val="18"/>
                <w:szCs w:val="18"/>
                <w:lang w:bidi="ar"/>
              </w:rPr>
            </w:pPr>
          </w:p>
        </w:tc>
        <w:tc>
          <w:tcPr>
            <w:tcW w:w="391" w:type="pct"/>
            <w:vMerge w:val="continue"/>
            <w:tcBorders>
              <w:left w:val="single" w:color="000000" w:sz="4" w:space="0"/>
              <w:right w:val="single" w:color="000000" w:sz="4" w:space="0"/>
            </w:tcBorders>
            <w:shd w:val="clear" w:color="auto" w:fill="auto"/>
            <w:vAlign w:val="center"/>
          </w:tcPr>
          <w:p w14:paraId="05B4BFA6">
            <w:pPr>
              <w:widowControl/>
              <w:spacing w:line="240" w:lineRule="auto"/>
              <w:jc w:val="center"/>
              <w:textAlignment w:val="center"/>
              <w:rPr>
                <w:rFonts w:hint="eastAsia" w:cs="宋体"/>
                <w:color w:val="auto"/>
                <w:sz w:val="18"/>
                <w:szCs w:val="18"/>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0C544">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二氧化硫</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BA319">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0.</w:t>
            </w:r>
            <w:r>
              <w:rPr>
                <w:rFonts w:hint="eastAsia" w:cs="Times New Roman"/>
                <w:color w:val="auto"/>
                <w:kern w:val="0"/>
                <w:sz w:val="18"/>
                <w:szCs w:val="18"/>
                <w:lang w:val="en-US" w:eastAsia="zh-CN" w:bidi="ar"/>
              </w:rPr>
              <w:t>259</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C36A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B8507">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1.036</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DA782">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BFCF7">
            <w:pPr>
              <w:widowControl/>
              <w:spacing w:line="240" w:lineRule="auto"/>
              <w:jc w:val="center"/>
              <w:rPr>
                <w:rFonts w:hint="eastAsia" w:eastAsia="宋体"/>
                <w:color w:val="auto"/>
                <w:kern w:val="0"/>
                <w:sz w:val="18"/>
                <w:szCs w:val="18"/>
                <w:lang w:val="en-US" w:eastAsia="zh-CN" w:bidi="ar"/>
              </w:rPr>
            </w:pPr>
            <w:r>
              <w:rPr>
                <w:rFonts w:hint="eastAsia" w:eastAsia="宋体" w:cs="宋体"/>
                <w:color w:val="auto"/>
                <w:sz w:val="18"/>
                <w:szCs w:val="18"/>
                <w:lang w:val="en-US" w:eastAsia="zh-CN"/>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F5061">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1.295</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748DA">
            <w:pPr>
              <w:widowControl/>
              <w:spacing w:line="240" w:lineRule="auto"/>
              <w:jc w:val="center"/>
              <w:rPr>
                <w:rFonts w:hint="default" w:eastAsia="宋体"/>
                <w:color w:val="auto"/>
                <w:sz w:val="18"/>
                <w:szCs w:val="18"/>
                <w:lang w:val="en-US" w:eastAsia="zh-CN"/>
              </w:rPr>
            </w:pPr>
            <w:r>
              <w:rPr>
                <w:rFonts w:hint="eastAsia"/>
                <w:color w:val="auto"/>
                <w:sz w:val="18"/>
                <w:szCs w:val="18"/>
                <w:lang w:val="en-US" w:eastAsia="zh-CN"/>
              </w:rPr>
              <w:t>0</w:t>
            </w:r>
          </w:p>
        </w:tc>
      </w:tr>
      <w:tr w14:paraId="6A2B4CD9">
        <w:tblPrEx>
          <w:tblCellMar>
            <w:top w:w="0" w:type="dxa"/>
            <w:left w:w="108" w:type="dxa"/>
            <w:bottom w:w="0" w:type="dxa"/>
            <w:right w:w="108" w:type="dxa"/>
          </w:tblCellMar>
        </w:tblPrEx>
        <w:trPr>
          <w:trHeight w:val="340" w:hRule="atLeast"/>
        </w:trPr>
        <w:tc>
          <w:tcPr>
            <w:tcW w:w="458" w:type="pct"/>
            <w:vMerge w:val="continue"/>
            <w:tcBorders>
              <w:left w:val="single" w:color="000000" w:sz="4" w:space="0"/>
              <w:right w:val="single" w:color="000000" w:sz="4" w:space="0"/>
            </w:tcBorders>
            <w:shd w:val="clear" w:color="auto" w:fill="auto"/>
            <w:vAlign w:val="center"/>
          </w:tcPr>
          <w:p w14:paraId="3EBFCEFB">
            <w:pPr>
              <w:widowControl/>
              <w:spacing w:line="240" w:lineRule="auto"/>
              <w:jc w:val="center"/>
              <w:textAlignment w:val="center"/>
              <w:rPr>
                <w:rFonts w:hint="eastAsia" w:cs="宋体"/>
                <w:color w:val="auto"/>
                <w:kern w:val="0"/>
                <w:sz w:val="18"/>
                <w:szCs w:val="18"/>
                <w:lang w:bidi="ar"/>
              </w:rPr>
            </w:pPr>
          </w:p>
        </w:tc>
        <w:tc>
          <w:tcPr>
            <w:tcW w:w="391" w:type="pct"/>
            <w:vMerge w:val="continue"/>
            <w:tcBorders>
              <w:left w:val="single" w:color="000000" w:sz="4" w:space="0"/>
              <w:right w:val="single" w:color="000000" w:sz="4" w:space="0"/>
            </w:tcBorders>
            <w:shd w:val="clear" w:color="auto" w:fill="auto"/>
            <w:vAlign w:val="center"/>
          </w:tcPr>
          <w:p w14:paraId="1280EA11">
            <w:pPr>
              <w:widowControl/>
              <w:spacing w:line="240" w:lineRule="auto"/>
              <w:jc w:val="center"/>
              <w:textAlignment w:val="center"/>
              <w:rPr>
                <w:rFonts w:hint="eastAsia" w:cs="宋体"/>
                <w:color w:val="auto"/>
                <w:sz w:val="18"/>
                <w:szCs w:val="18"/>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11488">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氮氧化物</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F6E72">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1.4646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A2AA0">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42C7">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4.6524</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EF9C3">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50143">
            <w:pPr>
              <w:widowControl/>
              <w:spacing w:line="240" w:lineRule="auto"/>
              <w:jc w:val="center"/>
              <w:rPr>
                <w:rFonts w:hint="eastAsia" w:eastAsia="宋体"/>
                <w:color w:val="auto"/>
                <w:kern w:val="0"/>
                <w:sz w:val="18"/>
                <w:szCs w:val="18"/>
                <w:lang w:val="en-US" w:eastAsia="zh-CN" w:bidi="ar"/>
              </w:rPr>
            </w:pPr>
            <w:r>
              <w:rPr>
                <w:rFonts w:hint="eastAsia" w:eastAsia="宋体" w:cs="宋体"/>
                <w:color w:val="auto"/>
                <w:sz w:val="18"/>
                <w:szCs w:val="18"/>
                <w:lang w:val="en-US" w:eastAsia="zh-CN"/>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FD433">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6.117</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68D8E">
            <w:pPr>
              <w:widowControl/>
              <w:spacing w:line="240" w:lineRule="auto"/>
              <w:jc w:val="center"/>
              <w:rPr>
                <w:rFonts w:hint="default" w:eastAsia="宋体"/>
                <w:color w:val="auto"/>
                <w:sz w:val="18"/>
                <w:szCs w:val="18"/>
                <w:lang w:val="en-US" w:eastAsia="zh-CN"/>
              </w:rPr>
            </w:pPr>
            <w:r>
              <w:rPr>
                <w:rFonts w:hint="eastAsia"/>
                <w:color w:val="auto"/>
                <w:sz w:val="18"/>
                <w:szCs w:val="18"/>
                <w:lang w:val="en-US" w:eastAsia="zh-CN"/>
              </w:rPr>
              <w:t>0</w:t>
            </w:r>
          </w:p>
        </w:tc>
      </w:tr>
      <w:tr w14:paraId="1F690E66">
        <w:tblPrEx>
          <w:tblCellMar>
            <w:top w:w="0" w:type="dxa"/>
            <w:left w:w="108" w:type="dxa"/>
            <w:bottom w:w="0" w:type="dxa"/>
            <w:right w:w="108" w:type="dxa"/>
          </w:tblCellMar>
        </w:tblPrEx>
        <w:trPr>
          <w:trHeight w:val="340" w:hRule="atLeast"/>
        </w:trPr>
        <w:tc>
          <w:tcPr>
            <w:tcW w:w="458" w:type="pct"/>
            <w:vMerge w:val="continue"/>
            <w:tcBorders>
              <w:left w:val="single" w:color="000000" w:sz="4" w:space="0"/>
              <w:right w:val="single" w:color="000000" w:sz="4" w:space="0"/>
            </w:tcBorders>
            <w:shd w:val="clear" w:color="auto" w:fill="auto"/>
            <w:vAlign w:val="center"/>
          </w:tcPr>
          <w:p w14:paraId="40C21B97">
            <w:pPr>
              <w:widowControl/>
              <w:spacing w:line="240" w:lineRule="auto"/>
              <w:jc w:val="center"/>
              <w:textAlignment w:val="center"/>
              <w:rPr>
                <w:rFonts w:hint="eastAsia" w:cs="宋体"/>
                <w:color w:val="auto"/>
                <w:kern w:val="0"/>
                <w:sz w:val="18"/>
                <w:szCs w:val="18"/>
                <w:lang w:bidi="ar"/>
              </w:rPr>
            </w:pPr>
          </w:p>
        </w:tc>
        <w:tc>
          <w:tcPr>
            <w:tcW w:w="391" w:type="pct"/>
            <w:vMerge w:val="continue"/>
            <w:tcBorders>
              <w:left w:val="single" w:color="000000" w:sz="4" w:space="0"/>
              <w:right w:val="single" w:color="000000" w:sz="4" w:space="0"/>
            </w:tcBorders>
            <w:shd w:val="clear" w:color="auto" w:fill="auto"/>
            <w:vAlign w:val="center"/>
          </w:tcPr>
          <w:p w14:paraId="2814AD7F">
            <w:pPr>
              <w:widowControl/>
              <w:spacing w:line="240" w:lineRule="auto"/>
              <w:jc w:val="center"/>
              <w:textAlignment w:val="center"/>
              <w:rPr>
                <w:rFonts w:hint="eastAsia" w:cs="宋体"/>
                <w:color w:val="auto"/>
                <w:sz w:val="18"/>
                <w:szCs w:val="18"/>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A1DBB">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氯化氢</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D705B">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0.034</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90C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13F72">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2E8A0">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0.002</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21E4E">
            <w:pPr>
              <w:widowControl/>
              <w:spacing w:line="240" w:lineRule="auto"/>
              <w:jc w:val="center"/>
              <w:rPr>
                <w:rFonts w:hint="eastAsia" w:eastAsia="宋体"/>
                <w:color w:val="auto"/>
                <w:kern w:val="0"/>
                <w:sz w:val="18"/>
                <w:szCs w:val="18"/>
                <w:lang w:val="en-US" w:eastAsia="zh-CN" w:bidi="ar"/>
              </w:rPr>
            </w:pPr>
            <w:r>
              <w:rPr>
                <w:rFonts w:hint="eastAsia" w:eastAsia="宋体" w:cs="宋体"/>
                <w:color w:val="auto"/>
                <w:sz w:val="18"/>
                <w:szCs w:val="18"/>
                <w:lang w:val="en-US" w:eastAsia="zh-CN"/>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AB380">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0.036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4C7E">
            <w:pPr>
              <w:widowControl/>
              <w:spacing w:line="240" w:lineRule="auto"/>
              <w:jc w:val="center"/>
              <w:rPr>
                <w:rFonts w:hint="default" w:eastAsia="宋体"/>
                <w:color w:val="auto"/>
                <w:sz w:val="18"/>
                <w:szCs w:val="18"/>
                <w:lang w:val="en-US" w:eastAsia="zh-CN"/>
              </w:rPr>
            </w:pPr>
            <w:r>
              <w:rPr>
                <w:rFonts w:hint="eastAsia"/>
                <w:color w:val="auto"/>
                <w:sz w:val="18"/>
                <w:szCs w:val="18"/>
                <w:lang w:val="en-US" w:eastAsia="zh-CN"/>
              </w:rPr>
              <w:t>+0.002</w:t>
            </w:r>
          </w:p>
        </w:tc>
      </w:tr>
      <w:tr w14:paraId="7074E46C">
        <w:tblPrEx>
          <w:tblCellMar>
            <w:top w:w="0" w:type="dxa"/>
            <w:left w:w="108" w:type="dxa"/>
            <w:bottom w:w="0" w:type="dxa"/>
            <w:right w:w="108" w:type="dxa"/>
          </w:tblCellMar>
        </w:tblPrEx>
        <w:trPr>
          <w:trHeight w:val="340" w:hRule="atLeast"/>
        </w:trPr>
        <w:tc>
          <w:tcPr>
            <w:tcW w:w="458" w:type="pct"/>
            <w:vMerge w:val="continue"/>
            <w:tcBorders>
              <w:left w:val="single" w:color="000000" w:sz="4" w:space="0"/>
              <w:right w:val="single" w:color="000000" w:sz="4" w:space="0"/>
            </w:tcBorders>
            <w:shd w:val="clear" w:color="auto" w:fill="auto"/>
            <w:vAlign w:val="center"/>
          </w:tcPr>
          <w:p w14:paraId="3C9A1985">
            <w:pPr>
              <w:widowControl/>
              <w:spacing w:line="240" w:lineRule="auto"/>
              <w:jc w:val="center"/>
              <w:textAlignment w:val="center"/>
              <w:rPr>
                <w:rFonts w:hint="eastAsia" w:cs="宋体"/>
                <w:color w:val="auto"/>
                <w:kern w:val="0"/>
                <w:sz w:val="18"/>
                <w:szCs w:val="18"/>
                <w:lang w:bidi="ar"/>
              </w:rPr>
            </w:pPr>
          </w:p>
        </w:tc>
        <w:tc>
          <w:tcPr>
            <w:tcW w:w="391" w:type="pct"/>
            <w:vMerge w:val="continue"/>
            <w:tcBorders>
              <w:left w:val="single" w:color="000000" w:sz="4" w:space="0"/>
              <w:right w:val="single" w:color="000000" w:sz="4" w:space="0"/>
            </w:tcBorders>
            <w:shd w:val="clear" w:color="auto" w:fill="auto"/>
            <w:vAlign w:val="center"/>
          </w:tcPr>
          <w:p w14:paraId="19295DA6">
            <w:pPr>
              <w:widowControl/>
              <w:spacing w:line="240" w:lineRule="auto"/>
              <w:jc w:val="center"/>
              <w:textAlignment w:val="center"/>
              <w:rPr>
                <w:rFonts w:hint="eastAsia" w:cs="宋体"/>
                <w:color w:val="auto"/>
                <w:sz w:val="18"/>
                <w:szCs w:val="18"/>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36DB1">
            <w:pPr>
              <w:widowControl/>
              <w:spacing w:line="240" w:lineRule="auto"/>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氟化物</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2528A">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0</w:t>
            </w:r>
            <w:r>
              <w:rPr>
                <w:rFonts w:hint="eastAsia" w:cs="Times New Roman"/>
                <w:color w:val="auto"/>
                <w:kern w:val="0"/>
                <w:sz w:val="18"/>
                <w:szCs w:val="18"/>
                <w:lang w:val="en-US" w:eastAsia="zh-CN" w:bidi="ar"/>
              </w:rPr>
              <w:t>.073</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2D99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3DDE3">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02F5E">
            <w:pPr>
              <w:widowControl/>
              <w:spacing w:line="240" w:lineRule="auto"/>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0.003</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C2AE3">
            <w:pPr>
              <w:widowControl/>
              <w:spacing w:line="240" w:lineRule="auto"/>
              <w:jc w:val="center"/>
              <w:rPr>
                <w:rFonts w:hint="eastAsia" w:eastAsia="宋体"/>
                <w:color w:val="auto"/>
                <w:kern w:val="0"/>
                <w:sz w:val="18"/>
                <w:szCs w:val="18"/>
                <w:lang w:val="en-US" w:eastAsia="zh-CN" w:bidi="ar"/>
              </w:rPr>
            </w:pPr>
            <w:r>
              <w:rPr>
                <w:rFonts w:hint="eastAsia" w:eastAsia="宋体" w:cs="宋体"/>
                <w:color w:val="auto"/>
                <w:sz w:val="18"/>
                <w:szCs w:val="18"/>
                <w:lang w:val="en-US" w:eastAsia="zh-CN"/>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01ED5">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076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040AE">
            <w:pPr>
              <w:widowControl/>
              <w:spacing w:line="240" w:lineRule="auto"/>
              <w:jc w:val="center"/>
              <w:rPr>
                <w:rFonts w:hint="default" w:eastAsia="宋体"/>
                <w:color w:val="auto"/>
                <w:sz w:val="18"/>
                <w:szCs w:val="18"/>
                <w:lang w:val="en-US" w:eastAsia="zh-CN"/>
              </w:rPr>
            </w:pPr>
            <w:r>
              <w:rPr>
                <w:rFonts w:hint="eastAsia"/>
                <w:color w:val="auto"/>
                <w:sz w:val="18"/>
                <w:szCs w:val="18"/>
                <w:lang w:val="en-US" w:eastAsia="zh-CN"/>
              </w:rPr>
              <w:t>+0.003</w:t>
            </w:r>
          </w:p>
        </w:tc>
      </w:tr>
      <w:tr w14:paraId="1DB636DB">
        <w:tblPrEx>
          <w:tblCellMar>
            <w:top w:w="0" w:type="dxa"/>
            <w:left w:w="108" w:type="dxa"/>
            <w:bottom w:w="0" w:type="dxa"/>
            <w:right w:w="108" w:type="dxa"/>
          </w:tblCellMar>
        </w:tblPrEx>
        <w:trPr>
          <w:trHeight w:val="340" w:hRule="atLeast"/>
        </w:trPr>
        <w:tc>
          <w:tcPr>
            <w:tcW w:w="458" w:type="pct"/>
            <w:vMerge w:val="continue"/>
            <w:tcBorders>
              <w:left w:val="single" w:color="000000" w:sz="4" w:space="0"/>
              <w:bottom w:val="single" w:color="auto" w:sz="4" w:space="0"/>
              <w:right w:val="single" w:color="000000" w:sz="4" w:space="0"/>
            </w:tcBorders>
            <w:shd w:val="clear" w:color="auto" w:fill="auto"/>
            <w:vAlign w:val="center"/>
          </w:tcPr>
          <w:p w14:paraId="6F583E38">
            <w:pPr>
              <w:widowControl/>
              <w:spacing w:line="240" w:lineRule="auto"/>
              <w:jc w:val="center"/>
              <w:textAlignment w:val="center"/>
              <w:rPr>
                <w:rFonts w:hint="eastAsia" w:cs="宋体"/>
                <w:color w:val="auto"/>
                <w:kern w:val="0"/>
                <w:sz w:val="18"/>
                <w:szCs w:val="18"/>
                <w:lang w:bidi="ar"/>
              </w:rPr>
            </w:pPr>
          </w:p>
        </w:tc>
        <w:tc>
          <w:tcPr>
            <w:tcW w:w="391" w:type="pct"/>
            <w:vMerge w:val="continue"/>
            <w:tcBorders>
              <w:left w:val="single" w:color="000000" w:sz="4" w:space="0"/>
              <w:bottom w:val="single" w:color="auto" w:sz="4" w:space="0"/>
              <w:right w:val="single" w:color="000000" w:sz="4" w:space="0"/>
            </w:tcBorders>
            <w:shd w:val="clear" w:color="auto" w:fill="auto"/>
            <w:vAlign w:val="center"/>
          </w:tcPr>
          <w:p w14:paraId="1DD4B0E3">
            <w:pPr>
              <w:widowControl/>
              <w:spacing w:line="240" w:lineRule="auto"/>
              <w:jc w:val="center"/>
              <w:textAlignment w:val="center"/>
              <w:rPr>
                <w:rFonts w:hint="eastAsia" w:cs="宋体"/>
                <w:color w:val="auto"/>
                <w:sz w:val="18"/>
                <w:szCs w:val="18"/>
              </w:rPr>
            </w:pPr>
          </w:p>
        </w:tc>
        <w:tc>
          <w:tcPr>
            <w:tcW w:w="529" w:type="pct"/>
            <w:tcBorders>
              <w:top w:val="single" w:color="000000" w:sz="4" w:space="0"/>
              <w:left w:val="single" w:color="000000" w:sz="4" w:space="0"/>
              <w:bottom w:val="single" w:color="auto" w:sz="4" w:space="0"/>
              <w:right w:val="single" w:color="000000" w:sz="4" w:space="0"/>
            </w:tcBorders>
            <w:shd w:val="clear" w:color="auto" w:fill="auto"/>
            <w:vAlign w:val="center"/>
          </w:tcPr>
          <w:p w14:paraId="0D9F6F44">
            <w:pPr>
              <w:widowControl/>
              <w:spacing w:line="240" w:lineRule="auto"/>
              <w:jc w:val="center"/>
              <w:rPr>
                <w:rFonts w:hint="eastAsia" w:ascii="Times New Roman" w:hAnsi="Times New Roman" w:eastAsia="宋体" w:cs="宋体"/>
                <w:color w:val="auto"/>
                <w:kern w:val="2"/>
                <w:sz w:val="18"/>
                <w:szCs w:val="18"/>
                <w:lang w:val="en-US" w:eastAsia="zh-CN" w:bidi="ar-SA"/>
              </w:rPr>
            </w:pPr>
            <w:r>
              <w:rPr>
                <w:rFonts w:hint="eastAsia" w:cs="宋体"/>
                <w:color w:val="auto"/>
                <w:sz w:val="18"/>
                <w:szCs w:val="18"/>
                <w:lang w:val="en-US" w:eastAsia="zh-CN"/>
              </w:rPr>
              <w:t>硫酸雾</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25758E51">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default" w:ascii="Times New Roman" w:hAnsi="Times New Roman" w:eastAsia="宋体" w:cs="Times New Roman"/>
                <w:color w:val="auto"/>
                <w:kern w:val="0"/>
                <w:sz w:val="18"/>
                <w:szCs w:val="18"/>
                <w:lang w:val="en-US" w:eastAsia="zh-CN" w:bidi="ar"/>
              </w:rPr>
              <w:t>0.</w:t>
            </w:r>
            <w:r>
              <w:rPr>
                <w:rFonts w:hint="eastAsia" w:cs="Times New Roman"/>
                <w:color w:val="auto"/>
                <w:kern w:val="0"/>
                <w:sz w:val="18"/>
                <w:szCs w:val="18"/>
                <w:lang w:val="en-US" w:eastAsia="zh-CN" w:bidi="ar"/>
              </w:rPr>
              <w:t>7816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7CF5A">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626F">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6E25C">
            <w:pPr>
              <w:widowControl/>
              <w:spacing w:line="240" w:lineRule="auto"/>
              <w:jc w:val="center"/>
              <w:rPr>
                <w:rFonts w:hint="eastAsia" w:ascii="Times New Roman" w:hAnsi="Times New Roman" w:eastAsia="宋体" w:cs="宋体"/>
                <w:color w:val="auto"/>
                <w:kern w:val="2"/>
                <w:sz w:val="18"/>
                <w:szCs w:val="18"/>
                <w:lang w:val="en-US" w:eastAsia="zh-CN" w:bidi="ar-SA"/>
              </w:rPr>
            </w:pPr>
            <w:r>
              <w:rPr>
                <w:rFonts w:hint="eastAsia" w:eastAsia="宋体" w:cs="宋体"/>
                <w:color w:val="auto"/>
                <w:sz w:val="18"/>
                <w:szCs w:val="18"/>
                <w:lang w:val="en-US" w:eastAsia="zh-CN"/>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89F2F">
            <w:pPr>
              <w:widowControl/>
              <w:spacing w:line="240" w:lineRule="auto"/>
              <w:jc w:val="center"/>
              <w:rPr>
                <w:color w:val="auto"/>
                <w:kern w:val="0"/>
                <w:sz w:val="18"/>
                <w:szCs w:val="18"/>
                <w:lang w:bidi="ar"/>
              </w:rPr>
            </w:pPr>
            <w:r>
              <w:rPr>
                <w:rFonts w:hint="eastAsia" w:eastAsia="宋体" w:cs="宋体"/>
                <w:color w:val="auto"/>
                <w:sz w:val="18"/>
                <w:szCs w:val="18"/>
                <w:lang w:val="en-US" w:eastAsia="zh-CN"/>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4B404">
            <w:pPr>
              <w:widowControl/>
              <w:spacing w:line="240" w:lineRule="auto"/>
              <w:jc w:val="center"/>
              <w:textAlignment w:val="center"/>
              <w:rPr>
                <w:rFonts w:hint="default" w:ascii="Times New Roman" w:hAnsi="Times New Roman" w:eastAsia="宋体" w:cs="宋体"/>
                <w:color w:val="auto"/>
                <w:kern w:val="0"/>
                <w:sz w:val="18"/>
                <w:szCs w:val="18"/>
                <w:highlight w:val="none"/>
                <w:lang w:val="en-US" w:eastAsia="zh-CN" w:bidi="ar"/>
              </w:rPr>
            </w:pPr>
            <w:r>
              <w:rPr>
                <w:rFonts w:hint="eastAsia" w:ascii="Times New Roman" w:hAnsi="Times New Roman" w:eastAsia="宋体" w:cs="宋体"/>
                <w:color w:val="auto"/>
                <w:kern w:val="0"/>
                <w:sz w:val="18"/>
                <w:szCs w:val="18"/>
                <w:highlight w:val="none"/>
                <w:lang w:val="en-US" w:eastAsia="zh-CN" w:bidi="ar"/>
              </w:rPr>
              <w:t>0.</w:t>
            </w:r>
            <w:r>
              <w:rPr>
                <w:rFonts w:hint="eastAsia" w:cs="宋体"/>
                <w:color w:val="auto"/>
                <w:kern w:val="0"/>
                <w:sz w:val="18"/>
                <w:szCs w:val="18"/>
                <w:highlight w:val="none"/>
                <w:lang w:val="en-US" w:eastAsia="zh-CN" w:bidi="ar"/>
              </w:rPr>
              <w:t>7816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94428">
            <w:pPr>
              <w:widowControl/>
              <w:spacing w:line="240" w:lineRule="auto"/>
              <w:jc w:val="center"/>
              <w:rPr>
                <w:rFonts w:hint="eastAsia" w:eastAsia="宋体"/>
                <w:color w:val="auto"/>
                <w:sz w:val="18"/>
                <w:szCs w:val="18"/>
                <w:lang w:val="en-US" w:eastAsia="zh-CN"/>
              </w:rPr>
            </w:pPr>
            <w:r>
              <w:rPr>
                <w:rFonts w:hint="eastAsia"/>
                <w:color w:val="auto"/>
                <w:sz w:val="18"/>
                <w:szCs w:val="18"/>
                <w:lang w:val="en-US" w:eastAsia="zh-CN"/>
              </w:rPr>
              <w:t>0</w:t>
            </w:r>
          </w:p>
        </w:tc>
      </w:tr>
      <w:tr w14:paraId="3DEF6A4A">
        <w:tblPrEx>
          <w:tblCellMar>
            <w:top w:w="0" w:type="dxa"/>
            <w:left w:w="108" w:type="dxa"/>
            <w:bottom w:w="0" w:type="dxa"/>
            <w:right w:w="108" w:type="dxa"/>
          </w:tblCellMar>
        </w:tblPrEx>
        <w:trPr>
          <w:trHeight w:val="340" w:hRule="atLeast"/>
        </w:trPr>
        <w:tc>
          <w:tcPr>
            <w:tcW w:w="4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D77079">
            <w:pPr>
              <w:widowControl/>
              <w:spacing w:line="240" w:lineRule="auto"/>
              <w:jc w:val="center"/>
              <w:textAlignment w:val="center"/>
              <w:rPr>
                <w:rFonts w:hint="eastAsia" w:eastAsia="宋体" w:cs="宋体"/>
                <w:color w:val="auto"/>
                <w:sz w:val="18"/>
                <w:szCs w:val="18"/>
                <w:lang w:eastAsia="zh-CN"/>
              </w:rPr>
            </w:pPr>
            <w:r>
              <w:rPr>
                <w:rFonts w:hint="eastAsia" w:cs="宋体"/>
                <w:color w:val="auto"/>
                <w:kern w:val="0"/>
                <w:sz w:val="18"/>
                <w:szCs w:val="18"/>
                <w:lang w:bidi="ar"/>
              </w:rPr>
              <w:t>废水</w:t>
            </w:r>
            <w:r>
              <w:rPr>
                <w:rFonts w:hint="eastAsia" w:cs="宋体"/>
                <w:color w:val="auto"/>
                <w:kern w:val="0"/>
                <w:sz w:val="18"/>
                <w:szCs w:val="18"/>
                <w:lang w:eastAsia="zh-CN" w:bidi="ar"/>
              </w:rPr>
              <w:t>（</w:t>
            </w:r>
            <w:r>
              <w:rPr>
                <w:rFonts w:hint="eastAsia" w:cs="宋体"/>
                <w:color w:val="auto"/>
                <w:kern w:val="0"/>
                <w:sz w:val="18"/>
                <w:szCs w:val="18"/>
                <w:lang w:val="en-US" w:eastAsia="zh-CN" w:bidi="ar"/>
              </w:rPr>
              <w:t>接管量</w:t>
            </w:r>
            <w:r>
              <w:rPr>
                <w:rFonts w:hint="eastAsia" w:cs="宋体"/>
                <w:color w:val="auto"/>
                <w:kern w:val="0"/>
                <w:sz w:val="18"/>
                <w:szCs w:val="18"/>
                <w:lang w:eastAsia="zh-CN" w:bidi="ar"/>
              </w:rPr>
              <w:t>）</w:t>
            </w: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50EA41">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en-US"/>
              </w:rPr>
              <w:t>COD</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E58D563">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91.56</w:t>
            </w:r>
          </w:p>
        </w:tc>
        <w:tc>
          <w:tcPr>
            <w:tcW w:w="459" w:type="pct"/>
            <w:tcBorders>
              <w:top w:val="single" w:color="000000" w:sz="4" w:space="0"/>
              <w:left w:val="single" w:color="auto" w:sz="4" w:space="0"/>
              <w:bottom w:val="single" w:color="000000" w:sz="4" w:space="0"/>
              <w:right w:val="single" w:color="000000" w:sz="4" w:space="0"/>
            </w:tcBorders>
            <w:shd w:val="clear" w:color="auto" w:fill="auto"/>
            <w:vAlign w:val="center"/>
          </w:tcPr>
          <w:p w14:paraId="668D3BC4">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6B545">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6AEA3">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eastAsia="宋体"/>
                <w:color w:val="auto"/>
                <w:sz w:val="18"/>
                <w:szCs w:val="18"/>
                <w:lang w:val="en-US" w:eastAsia="zh-CN"/>
              </w:rPr>
              <w:t>0.16</w:t>
            </w:r>
            <w:r>
              <w:rPr>
                <w:rFonts w:hint="eastAsia"/>
                <w:color w:val="auto"/>
                <w:sz w:val="18"/>
                <w:szCs w:val="18"/>
                <w:lang w:val="en-US" w:eastAsia="zh-CN"/>
              </w:rPr>
              <w:t>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E5E87">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eastAsia="宋体"/>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4184">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91.726</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6144B">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r>
              <w:rPr>
                <w:rFonts w:hint="eastAsia" w:cs="Times New Roman"/>
                <w:color w:val="auto"/>
                <w:sz w:val="18"/>
                <w:szCs w:val="18"/>
                <w:lang w:val="en-US" w:eastAsia="zh-CN"/>
              </w:rPr>
              <w:t>0.166</w:t>
            </w:r>
          </w:p>
        </w:tc>
      </w:tr>
      <w:tr w14:paraId="0B23C4DC">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F582E3">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880634">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BOD</w:t>
            </w:r>
            <w:r>
              <w:rPr>
                <w:rFonts w:hint="eastAsia" w:ascii="Times New Roman" w:hAnsi="Times New Roman" w:eastAsia="宋体" w:cs="Times New Roman"/>
                <w:color w:val="auto"/>
                <w:sz w:val="18"/>
                <w:szCs w:val="18"/>
                <w:vertAlign w:val="subscript"/>
                <w:lang w:val="en-US" w:eastAsia="zh-CN"/>
              </w:rPr>
              <w:t>5</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286108FE">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default" w:ascii="Times New Roman" w:hAnsi="Times New Roman" w:eastAsia="宋体" w:cs="Times New Roman"/>
                <w:color w:val="auto"/>
                <w:kern w:val="0"/>
                <w:sz w:val="18"/>
                <w:szCs w:val="18"/>
                <w:lang w:val="en-US" w:eastAsia="zh-CN" w:bidi="ar"/>
              </w:rPr>
              <w:t>30.838</w:t>
            </w:r>
          </w:p>
        </w:tc>
        <w:tc>
          <w:tcPr>
            <w:tcW w:w="459" w:type="pct"/>
            <w:tcBorders>
              <w:top w:val="single" w:color="000000" w:sz="4" w:space="0"/>
              <w:left w:val="single" w:color="auto" w:sz="4" w:space="0"/>
              <w:bottom w:val="single" w:color="000000" w:sz="4" w:space="0"/>
              <w:right w:val="single" w:color="000000" w:sz="4" w:space="0"/>
            </w:tcBorders>
            <w:shd w:val="clear" w:color="auto" w:fill="auto"/>
            <w:vAlign w:val="center"/>
          </w:tcPr>
          <w:p w14:paraId="7C33FC27">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6D38C">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72B12">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0.09</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B8E3E">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7D9A1">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30.928</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78E7C">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+0.09</w:t>
            </w:r>
          </w:p>
        </w:tc>
      </w:tr>
      <w:tr w14:paraId="4FA9B841">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7E1488">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291452">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en-US"/>
              </w:rPr>
              <w:t>SS</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5C38EED">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58.86</w:t>
            </w:r>
          </w:p>
        </w:tc>
        <w:tc>
          <w:tcPr>
            <w:tcW w:w="459" w:type="pct"/>
            <w:tcBorders>
              <w:top w:val="single" w:color="000000" w:sz="4" w:space="0"/>
              <w:left w:val="single" w:color="auto" w:sz="4" w:space="0"/>
              <w:bottom w:val="single" w:color="000000" w:sz="4" w:space="0"/>
              <w:right w:val="single" w:color="000000" w:sz="4" w:space="0"/>
            </w:tcBorders>
            <w:shd w:val="clear" w:color="auto" w:fill="auto"/>
            <w:vAlign w:val="center"/>
          </w:tcPr>
          <w:p w14:paraId="2105A84D">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6A20D">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18BF">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0.06</w:t>
            </w:r>
            <w:r>
              <w:rPr>
                <w:rFonts w:hint="eastAsia" w:cs="Times New Roman"/>
                <w:color w:val="auto"/>
                <w:sz w:val="18"/>
                <w:szCs w:val="18"/>
                <w:lang w:val="en-US" w:eastAsia="zh-CN"/>
              </w:rPr>
              <w:t>3</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947B9">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C3D94">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58.923</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34D6">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r>
              <w:rPr>
                <w:rFonts w:hint="eastAsia" w:cs="Times New Roman"/>
                <w:color w:val="auto"/>
                <w:sz w:val="18"/>
                <w:szCs w:val="18"/>
                <w:lang w:val="en-US" w:eastAsia="zh-CN"/>
              </w:rPr>
              <w:t>0</w:t>
            </w:r>
            <w:r>
              <w:rPr>
                <w:rFonts w:hint="eastAsia" w:ascii="Times New Roman" w:hAnsi="Times New Roman" w:eastAsia="宋体" w:cs="Times New Roman"/>
                <w:color w:val="auto"/>
                <w:sz w:val="18"/>
                <w:szCs w:val="18"/>
                <w:lang w:val="en-US" w:eastAsia="zh-CN"/>
              </w:rPr>
              <w:t>.0</w:t>
            </w:r>
            <w:r>
              <w:rPr>
                <w:rFonts w:hint="eastAsia" w:cs="Times New Roman"/>
                <w:color w:val="auto"/>
                <w:sz w:val="18"/>
                <w:szCs w:val="18"/>
                <w:lang w:val="en-US" w:eastAsia="zh-CN"/>
              </w:rPr>
              <w:t>63</w:t>
            </w:r>
          </w:p>
        </w:tc>
      </w:tr>
      <w:tr w14:paraId="0983C8B0">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866F9B">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A38E97">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en-US"/>
              </w:rPr>
              <w:t>Al</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5D9473C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1.226</w:t>
            </w:r>
          </w:p>
        </w:tc>
        <w:tc>
          <w:tcPr>
            <w:tcW w:w="459" w:type="pct"/>
            <w:tcBorders>
              <w:top w:val="single" w:color="000000" w:sz="4" w:space="0"/>
              <w:left w:val="single" w:color="auto" w:sz="4" w:space="0"/>
              <w:bottom w:val="single" w:color="000000" w:sz="4" w:space="0"/>
              <w:right w:val="single" w:color="000000" w:sz="4" w:space="0"/>
            </w:tcBorders>
            <w:shd w:val="clear" w:color="auto" w:fill="auto"/>
            <w:vAlign w:val="center"/>
          </w:tcPr>
          <w:p w14:paraId="4FD2C39E">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D4011">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6013F">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7BA82">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A792">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1.226</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FA914">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r>
      <w:tr w14:paraId="75D55F36">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A76A02">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2639E2">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en-US"/>
              </w:rPr>
              <w:t>TP</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55DB2BAA">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2.241</w:t>
            </w:r>
          </w:p>
        </w:tc>
        <w:tc>
          <w:tcPr>
            <w:tcW w:w="459" w:type="pct"/>
            <w:tcBorders>
              <w:top w:val="single" w:color="000000" w:sz="4" w:space="0"/>
              <w:left w:val="single" w:color="auto" w:sz="4" w:space="0"/>
              <w:bottom w:val="single" w:color="auto" w:sz="4" w:space="0"/>
              <w:right w:val="single" w:color="000000" w:sz="4" w:space="0"/>
            </w:tcBorders>
            <w:shd w:val="clear" w:color="auto" w:fill="auto"/>
            <w:vAlign w:val="center"/>
          </w:tcPr>
          <w:p w14:paraId="057F53BB">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62FE8CC7">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3D66D">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EF74D">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E136">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2.241</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6AB7B">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0</w:t>
            </w:r>
          </w:p>
        </w:tc>
      </w:tr>
      <w:tr w14:paraId="2341E3C9">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DC28AE">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C61545">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石油类</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6671329">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3.527</w:t>
            </w:r>
          </w:p>
        </w:tc>
        <w:tc>
          <w:tcPr>
            <w:tcW w:w="459" w:type="pct"/>
            <w:tcBorders>
              <w:top w:val="single" w:color="000000" w:sz="4" w:space="0"/>
              <w:left w:val="single" w:color="auto" w:sz="4" w:space="0"/>
              <w:bottom w:val="single" w:color="auto" w:sz="4" w:space="0"/>
              <w:right w:val="single" w:color="000000" w:sz="4" w:space="0"/>
            </w:tcBorders>
            <w:shd w:val="clear" w:color="auto" w:fill="auto"/>
            <w:vAlign w:val="center"/>
          </w:tcPr>
          <w:p w14:paraId="2AC283C6">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2A4ABE67">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A680F">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9C47C">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D9A5">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3.527</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FEA0">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r>
      <w:tr w14:paraId="1651529B">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39A066">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86E143">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氟化物</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32B73AB">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kern w:val="0"/>
                <w:sz w:val="18"/>
                <w:szCs w:val="18"/>
                <w:lang w:val="en-US" w:eastAsia="zh-CN" w:bidi="ar"/>
              </w:rPr>
              <w:t>5.393</w:t>
            </w:r>
          </w:p>
        </w:tc>
        <w:tc>
          <w:tcPr>
            <w:tcW w:w="459" w:type="pct"/>
            <w:tcBorders>
              <w:top w:val="single" w:color="000000" w:sz="4" w:space="0"/>
              <w:left w:val="single" w:color="auto" w:sz="4" w:space="0"/>
              <w:bottom w:val="single" w:color="auto" w:sz="4" w:space="0"/>
              <w:right w:val="single" w:color="000000" w:sz="4" w:space="0"/>
            </w:tcBorders>
            <w:shd w:val="clear" w:color="auto" w:fill="auto"/>
            <w:vAlign w:val="center"/>
          </w:tcPr>
          <w:p w14:paraId="61C97D66">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75F3DC0F">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F466C">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8E4C2">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8954">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5.393</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0D3A">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r>
      <w:tr w14:paraId="05813162">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562753">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C68317">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氨氮</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3C0D9628">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14.306</w:t>
            </w:r>
          </w:p>
        </w:tc>
        <w:tc>
          <w:tcPr>
            <w:tcW w:w="459" w:type="pct"/>
            <w:tcBorders>
              <w:top w:val="single" w:color="000000" w:sz="4" w:space="0"/>
              <w:left w:val="single" w:color="auto" w:sz="4" w:space="0"/>
              <w:bottom w:val="single" w:color="auto" w:sz="4" w:space="0"/>
              <w:right w:val="single" w:color="000000" w:sz="4" w:space="0"/>
            </w:tcBorders>
            <w:shd w:val="clear" w:color="auto" w:fill="auto"/>
            <w:vAlign w:val="center"/>
          </w:tcPr>
          <w:p w14:paraId="284881D1">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3C0B9E3D">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0"/>
                <w:sz w:val="18"/>
                <w:szCs w:val="18"/>
                <w:lang w:val="en-US" w:eastAsia="zh-CN" w:bidi="ar"/>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760E">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0.018</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DBC27">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53CC">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14.324</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94DED">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+0.018</w:t>
            </w:r>
          </w:p>
        </w:tc>
      </w:tr>
      <w:tr w14:paraId="7BED556B">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2B8748">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6D1557">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动植物油</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341728F6">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default" w:ascii="Times New Roman" w:hAnsi="Times New Roman" w:eastAsia="宋体" w:cs="Times New Roman"/>
                <w:color w:val="auto"/>
                <w:kern w:val="0"/>
                <w:sz w:val="18"/>
                <w:szCs w:val="18"/>
                <w:lang w:val="en-US" w:eastAsia="zh-CN" w:bidi="ar"/>
              </w:rPr>
              <w:t>0.051</w:t>
            </w:r>
          </w:p>
        </w:tc>
        <w:tc>
          <w:tcPr>
            <w:tcW w:w="459" w:type="pct"/>
            <w:tcBorders>
              <w:top w:val="single" w:color="000000" w:sz="4" w:space="0"/>
              <w:left w:val="single" w:color="auto" w:sz="4" w:space="0"/>
              <w:bottom w:val="single" w:color="auto" w:sz="4" w:space="0"/>
              <w:right w:val="single" w:color="000000" w:sz="4" w:space="0"/>
            </w:tcBorders>
            <w:shd w:val="clear" w:color="auto" w:fill="auto"/>
            <w:vAlign w:val="center"/>
          </w:tcPr>
          <w:p w14:paraId="2A564C10">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78473CE7">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7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D28F">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0.001</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77EF3">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C9F2C">
            <w:pPr>
              <w:widowControl/>
              <w:spacing w:line="240" w:lineRule="auto"/>
              <w:jc w:val="center"/>
              <w:textAlignment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0.052</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EDC8">
            <w:pPr>
              <w:widowControl/>
              <w:spacing w:line="240" w:lineRule="auto"/>
              <w:jc w:val="center"/>
              <w:textAlignment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+0.001</w:t>
            </w:r>
          </w:p>
        </w:tc>
      </w:tr>
      <w:tr w14:paraId="1EF31D7E">
        <w:tblPrEx>
          <w:tblCellMar>
            <w:top w:w="0" w:type="dxa"/>
            <w:left w:w="108" w:type="dxa"/>
            <w:bottom w:w="0" w:type="dxa"/>
            <w:right w:w="108" w:type="dxa"/>
          </w:tblCellMar>
        </w:tblPrEx>
        <w:trPr>
          <w:trHeight w:val="340" w:hRule="atLeast"/>
        </w:trPr>
        <w:tc>
          <w:tcPr>
            <w:tcW w:w="45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65D57BD">
            <w:pPr>
              <w:widowControl/>
              <w:spacing w:line="240" w:lineRule="auto"/>
              <w:jc w:val="center"/>
              <w:rPr>
                <w:rFonts w:hint="eastAsia" w:eastAsia="宋体" w:cs="宋体"/>
                <w:color w:val="auto"/>
                <w:sz w:val="18"/>
                <w:szCs w:val="18"/>
                <w:lang w:val="en-US" w:eastAsia="zh-CN"/>
              </w:rPr>
            </w:pPr>
            <w:r>
              <w:rPr>
                <w:rFonts w:hint="eastAsia" w:cs="宋体"/>
                <w:color w:val="auto"/>
                <w:sz w:val="18"/>
                <w:szCs w:val="18"/>
                <w:lang w:val="en-US" w:eastAsia="zh-CN"/>
              </w:rPr>
              <w:t>固体废物</w:t>
            </w: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18D29C">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一般固废</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731D3888">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7452.584</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35F44590">
            <w:pPr>
              <w:widowControl/>
              <w:spacing w:line="240" w:lineRule="auto"/>
              <w:jc w:val="center"/>
              <w:textAlignment w:val="center"/>
              <w:rPr>
                <w:color w:val="auto"/>
                <w:kern w:val="0"/>
                <w:sz w:val="18"/>
                <w:szCs w:val="18"/>
                <w:lang w:bidi="ar"/>
              </w:rPr>
            </w:pPr>
            <w:r>
              <w:rPr>
                <w:rFonts w:hint="eastAsia" w:ascii="Times New Roman" w:hAnsi="Times New Roman" w:eastAsia="宋体" w:cs="Times New Roman"/>
                <w:color w:val="auto"/>
                <w:sz w:val="18"/>
                <w:szCs w:val="18"/>
                <w:lang w:val="en-US" w:eastAsia="zh-CN"/>
              </w:rPr>
              <w:t>/</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32436331">
            <w:pPr>
              <w:widowControl/>
              <w:spacing w:line="240" w:lineRule="auto"/>
              <w:jc w:val="center"/>
              <w:textAlignment w:val="center"/>
              <w:rPr>
                <w:color w:val="auto"/>
                <w:kern w:val="0"/>
                <w:sz w:val="18"/>
                <w:szCs w:val="18"/>
                <w:lang w:bidi="ar"/>
              </w:rPr>
            </w:pPr>
            <w:r>
              <w:rPr>
                <w:color w:val="auto"/>
                <w:kern w:val="0"/>
                <w:sz w:val="18"/>
                <w:szCs w:val="18"/>
                <w:lang w:bidi="ar"/>
              </w:rPr>
              <w:t>0</w:t>
            </w:r>
          </w:p>
        </w:tc>
        <w:tc>
          <w:tcPr>
            <w:tcW w:w="707" w:type="pct"/>
            <w:tcBorders>
              <w:top w:val="single" w:color="000000" w:sz="4" w:space="0"/>
              <w:left w:val="single" w:color="auto" w:sz="4" w:space="0"/>
              <w:bottom w:val="single" w:color="000000" w:sz="4" w:space="0"/>
              <w:right w:val="single" w:color="000000" w:sz="4" w:space="0"/>
            </w:tcBorders>
            <w:shd w:val="clear" w:color="auto" w:fill="auto"/>
            <w:vAlign w:val="center"/>
          </w:tcPr>
          <w:p w14:paraId="1310613C">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256.05</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A8C22">
            <w:pPr>
              <w:widowControl/>
              <w:spacing w:line="240" w:lineRule="auto"/>
              <w:jc w:val="center"/>
              <w:textAlignment w:val="center"/>
              <w:rPr>
                <w:rFonts w:ascii="Times New Roman" w:hAnsi="Times New Roman" w:eastAsia="宋体" w:cs="Times New Roman"/>
                <w:color w:val="auto"/>
                <w:kern w:val="0"/>
                <w:sz w:val="18"/>
                <w:szCs w:val="18"/>
                <w:lang w:val="en-US" w:eastAsia="zh-CN" w:bidi="ar"/>
              </w:rPr>
            </w:pPr>
            <w:r>
              <w:rPr>
                <w:color w:val="auto"/>
                <w:kern w:val="0"/>
                <w:sz w:val="18"/>
                <w:szCs w:val="18"/>
                <w:lang w:bidi="ar"/>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281B4">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7708.634</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778CD">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w:t>
            </w:r>
            <w:r>
              <w:rPr>
                <w:rFonts w:hint="eastAsia"/>
                <w:color w:val="auto"/>
                <w:sz w:val="18"/>
                <w:szCs w:val="18"/>
                <w:lang w:val="en-US" w:eastAsia="zh-CN"/>
              </w:rPr>
              <w:t>256.05</w:t>
            </w:r>
          </w:p>
        </w:tc>
      </w:tr>
      <w:tr w14:paraId="400D1C0C">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CDC0E5">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E629CE">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危险废物</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2BD85A17">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166.204</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6BF6C491">
            <w:pPr>
              <w:widowControl/>
              <w:spacing w:line="240" w:lineRule="auto"/>
              <w:jc w:val="center"/>
              <w:textAlignment w:val="center"/>
              <w:rPr>
                <w:rFonts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sz w:val="18"/>
                <w:szCs w:val="18"/>
                <w:lang w:val="en-US" w:eastAsia="zh-CN"/>
              </w:rPr>
              <w:t>/</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30092C57">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s="Times New Roman"/>
                <w:color w:val="auto"/>
                <w:kern w:val="0"/>
                <w:sz w:val="18"/>
                <w:szCs w:val="18"/>
                <w:lang w:val="en-US" w:eastAsia="zh-CN" w:bidi="ar"/>
              </w:rPr>
              <w:t>0</w:t>
            </w:r>
          </w:p>
        </w:tc>
        <w:tc>
          <w:tcPr>
            <w:tcW w:w="707" w:type="pct"/>
            <w:tcBorders>
              <w:top w:val="single" w:color="000000" w:sz="4" w:space="0"/>
              <w:left w:val="single" w:color="auto" w:sz="4" w:space="0"/>
              <w:bottom w:val="single" w:color="000000" w:sz="4" w:space="0"/>
              <w:right w:val="single" w:color="000000" w:sz="4" w:space="0"/>
            </w:tcBorders>
            <w:shd w:val="clear" w:color="auto" w:fill="auto"/>
            <w:vAlign w:val="center"/>
          </w:tcPr>
          <w:p w14:paraId="6111B49F">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lang w:val="en-US" w:eastAsia="zh-CN"/>
              </w:rPr>
              <w:t>126.9</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7A1BC">
            <w:pPr>
              <w:widowControl/>
              <w:spacing w:line="240" w:lineRule="auto"/>
              <w:jc w:val="center"/>
              <w:textAlignment w:val="center"/>
              <w:rPr>
                <w:rFonts w:hint="eastAsia"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053E0">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293.104</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2D815">
            <w:pPr>
              <w:widowControl/>
              <w:spacing w:line="240" w:lineRule="auto"/>
              <w:jc w:val="center"/>
              <w:textAlignment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w:t>
            </w:r>
            <w:r>
              <w:rPr>
                <w:rFonts w:hint="eastAsia"/>
                <w:color w:val="auto"/>
                <w:sz w:val="18"/>
                <w:szCs w:val="18"/>
                <w:lang w:val="en-US" w:eastAsia="zh-CN"/>
              </w:rPr>
              <w:t>126.9</w:t>
            </w:r>
          </w:p>
        </w:tc>
      </w:tr>
      <w:tr w14:paraId="33BCFC8D">
        <w:tblPrEx>
          <w:tblCellMar>
            <w:top w:w="0" w:type="dxa"/>
            <w:left w:w="108" w:type="dxa"/>
            <w:bottom w:w="0" w:type="dxa"/>
            <w:right w:w="108" w:type="dxa"/>
          </w:tblCellMar>
        </w:tblPrEx>
        <w:trPr>
          <w:trHeight w:val="340" w:hRule="atLeast"/>
        </w:trPr>
        <w:tc>
          <w:tcPr>
            <w:tcW w:w="45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B77CA7">
            <w:pPr>
              <w:widowControl/>
              <w:spacing w:line="240" w:lineRule="auto"/>
              <w:jc w:val="center"/>
              <w:rPr>
                <w:rFonts w:cs="宋体"/>
                <w:color w:val="auto"/>
                <w:sz w:val="18"/>
                <w:szCs w:val="18"/>
              </w:rPr>
            </w:pPr>
          </w:p>
        </w:tc>
        <w:tc>
          <w:tcPr>
            <w:tcW w:w="92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4B399E">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生活垃圾</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7BA49301">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kern w:val="0"/>
                <w:sz w:val="18"/>
                <w:szCs w:val="18"/>
                <w:lang w:val="en-US" w:eastAsia="zh-CN" w:bidi="ar"/>
              </w:rPr>
              <w:t>215</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22EB24FC">
            <w:pPr>
              <w:widowControl/>
              <w:spacing w:line="240" w:lineRule="auto"/>
              <w:jc w:val="center"/>
              <w:textAlignment w:val="center"/>
              <w:rPr>
                <w:color w:val="auto"/>
                <w:sz w:val="18"/>
                <w:szCs w:val="18"/>
              </w:rPr>
            </w:pPr>
            <w:r>
              <w:rPr>
                <w:rFonts w:hint="eastAsia" w:ascii="Times New Roman" w:hAnsi="Times New Roman" w:eastAsia="宋体" w:cs="Times New Roman"/>
                <w:color w:val="auto"/>
                <w:sz w:val="18"/>
                <w:szCs w:val="18"/>
                <w:lang w:val="en-US" w:eastAsia="zh-CN"/>
              </w:rPr>
              <w:t>/</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1190CB2D">
            <w:pPr>
              <w:widowControl/>
              <w:spacing w:line="240" w:lineRule="auto"/>
              <w:jc w:val="center"/>
              <w:textAlignment w:val="center"/>
              <w:rPr>
                <w:rFonts w:hint="default" w:eastAsia="宋体"/>
                <w:color w:val="auto"/>
                <w:sz w:val="18"/>
                <w:szCs w:val="18"/>
                <w:lang w:val="en-US" w:eastAsia="zh-CN"/>
              </w:rPr>
            </w:pPr>
            <w:r>
              <w:rPr>
                <w:rFonts w:hint="eastAsia"/>
                <w:color w:val="auto"/>
                <w:sz w:val="18"/>
                <w:szCs w:val="18"/>
                <w:lang w:val="en-US" w:eastAsia="zh-CN"/>
              </w:rPr>
              <w:t>0</w:t>
            </w:r>
          </w:p>
        </w:tc>
        <w:tc>
          <w:tcPr>
            <w:tcW w:w="707" w:type="pct"/>
            <w:tcBorders>
              <w:top w:val="single" w:color="000000" w:sz="4" w:space="0"/>
              <w:left w:val="single" w:color="auto" w:sz="4" w:space="0"/>
              <w:bottom w:val="single" w:color="000000" w:sz="4" w:space="0"/>
              <w:right w:val="single" w:color="000000" w:sz="4" w:space="0"/>
            </w:tcBorders>
            <w:shd w:val="clear" w:color="auto" w:fill="auto"/>
            <w:vAlign w:val="center"/>
          </w:tcPr>
          <w:p w14:paraId="2A37C761">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color w:val="auto"/>
                <w:kern w:val="0"/>
                <w:sz w:val="18"/>
                <w:szCs w:val="18"/>
                <w:lang w:val="en-US" w:eastAsia="zh-CN" w:bidi="ar"/>
              </w:rPr>
              <w:t>4.5</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61C2">
            <w:pPr>
              <w:widowControl/>
              <w:spacing w:line="240" w:lineRule="auto"/>
              <w:jc w:val="center"/>
              <w:textAlignment w:val="center"/>
              <w:rPr>
                <w:rFonts w:ascii="Times New Roman" w:hAnsi="Times New Roman" w:eastAsia="宋体" w:cs="Times New Roman"/>
                <w:color w:val="auto"/>
                <w:kern w:val="2"/>
                <w:sz w:val="18"/>
                <w:szCs w:val="18"/>
                <w:lang w:val="en-US" w:eastAsia="zh-CN" w:bidi="ar-SA"/>
              </w:rPr>
            </w:pPr>
            <w:r>
              <w:rPr>
                <w:color w:val="auto"/>
                <w:kern w:val="0"/>
                <w:sz w:val="18"/>
                <w:szCs w:val="18"/>
                <w:lang w:bidi="ar"/>
              </w:rPr>
              <w:t>0</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8CAF6">
            <w:pPr>
              <w:widowControl/>
              <w:spacing w:line="240" w:lineRule="auto"/>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219.5</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530D4">
            <w:pPr>
              <w:widowControl/>
              <w:spacing w:line="240" w:lineRule="auto"/>
              <w:jc w:val="center"/>
              <w:textAlignment w:val="center"/>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s="Times New Roman"/>
                <w:color w:val="auto"/>
                <w:sz w:val="18"/>
                <w:szCs w:val="18"/>
                <w:lang w:val="en-US" w:eastAsia="zh-CN"/>
              </w:rPr>
              <w:t>+</w:t>
            </w:r>
            <w:r>
              <w:rPr>
                <w:rFonts w:hint="eastAsia"/>
                <w:color w:val="auto"/>
                <w:kern w:val="0"/>
                <w:sz w:val="18"/>
                <w:szCs w:val="18"/>
                <w:lang w:val="en-US" w:eastAsia="zh-CN" w:bidi="ar"/>
              </w:rPr>
              <w:t>4.5</w:t>
            </w:r>
          </w:p>
        </w:tc>
      </w:tr>
    </w:tbl>
    <w:p w14:paraId="6457ACEE">
      <w:pPr>
        <w:ind w:firstLine="480"/>
        <w:rPr>
          <w:b/>
          <w:bCs/>
          <w:color w:val="auto"/>
        </w:rPr>
      </w:pPr>
      <w:r>
        <w:rPr>
          <w:rFonts w:hint="eastAsia"/>
          <w:color w:val="auto"/>
          <w:sz w:val="22"/>
          <w:szCs w:val="20"/>
        </w:rPr>
        <w:t>注：</w:t>
      </w:r>
      <w:r>
        <w:rPr>
          <w:color w:val="auto"/>
          <w:sz w:val="22"/>
          <w:szCs w:val="20"/>
        </w:rPr>
        <w:fldChar w:fldCharType="begin"/>
      </w:r>
      <w:r>
        <w:rPr>
          <w:color w:val="auto"/>
          <w:sz w:val="22"/>
          <w:szCs w:val="20"/>
        </w:rPr>
        <w:instrText xml:space="preserve"> = 6 \* GB3 \* MERGEFORMAT </w:instrText>
      </w:r>
      <w:r>
        <w:rPr>
          <w:color w:val="auto"/>
          <w:sz w:val="22"/>
          <w:szCs w:val="20"/>
        </w:rPr>
        <w:fldChar w:fldCharType="separate"/>
      </w:r>
      <w:r>
        <w:rPr>
          <w:rFonts w:hint="eastAsia"/>
          <w:color w:val="auto"/>
          <w:sz w:val="22"/>
          <w:szCs w:val="20"/>
        </w:rPr>
        <w:t>⑥</w:t>
      </w:r>
      <w:r>
        <w:rPr>
          <w:color w:val="auto"/>
          <w:sz w:val="22"/>
          <w:szCs w:val="20"/>
        </w:rPr>
        <w:fldChar w:fldCharType="end"/>
      </w:r>
      <w:r>
        <w:rPr>
          <w:color w:val="auto"/>
          <w:sz w:val="22"/>
          <w:szCs w:val="20"/>
        </w:rPr>
        <w:t>=</w:t>
      </w:r>
      <w:r>
        <w:rPr>
          <w:color w:val="auto"/>
          <w:sz w:val="22"/>
          <w:szCs w:val="20"/>
        </w:rPr>
        <w:fldChar w:fldCharType="begin"/>
      </w:r>
      <w:r>
        <w:rPr>
          <w:color w:val="auto"/>
          <w:sz w:val="22"/>
          <w:szCs w:val="20"/>
        </w:rPr>
        <w:instrText xml:space="preserve"> = 1 \* GB3 \* MERGEFORMAT </w:instrText>
      </w:r>
      <w:r>
        <w:rPr>
          <w:color w:val="auto"/>
          <w:sz w:val="22"/>
          <w:szCs w:val="20"/>
        </w:rPr>
        <w:fldChar w:fldCharType="separate"/>
      </w:r>
      <w:r>
        <w:rPr>
          <w:rFonts w:hint="eastAsia"/>
          <w:color w:val="auto"/>
          <w:sz w:val="22"/>
          <w:szCs w:val="20"/>
        </w:rPr>
        <w:t>①</w:t>
      </w:r>
      <w:r>
        <w:rPr>
          <w:color w:val="auto"/>
          <w:sz w:val="22"/>
          <w:szCs w:val="20"/>
        </w:rPr>
        <w:fldChar w:fldCharType="end"/>
      </w:r>
      <w:r>
        <w:rPr>
          <w:color w:val="auto"/>
          <w:sz w:val="22"/>
          <w:szCs w:val="20"/>
        </w:rPr>
        <w:t>+</w:t>
      </w:r>
      <w:r>
        <w:rPr>
          <w:color w:val="auto"/>
          <w:sz w:val="22"/>
          <w:szCs w:val="20"/>
        </w:rPr>
        <w:fldChar w:fldCharType="begin"/>
      </w:r>
      <w:r>
        <w:rPr>
          <w:color w:val="auto"/>
          <w:sz w:val="22"/>
          <w:szCs w:val="20"/>
        </w:rPr>
        <w:instrText xml:space="preserve"> = 3 \* GB3 \* MERGEFORMAT </w:instrText>
      </w:r>
      <w:r>
        <w:rPr>
          <w:color w:val="auto"/>
          <w:sz w:val="22"/>
          <w:szCs w:val="20"/>
        </w:rPr>
        <w:fldChar w:fldCharType="separate"/>
      </w:r>
      <w:r>
        <w:rPr>
          <w:rFonts w:hint="eastAsia"/>
          <w:color w:val="auto"/>
          <w:sz w:val="22"/>
          <w:szCs w:val="20"/>
        </w:rPr>
        <w:t>③</w:t>
      </w:r>
      <w:r>
        <w:rPr>
          <w:color w:val="auto"/>
          <w:sz w:val="22"/>
          <w:szCs w:val="20"/>
        </w:rPr>
        <w:fldChar w:fldCharType="end"/>
      </w:r>
      <w:r>
        <w:rPr>
          <w:color w:val="auto"/>
          <w:sz w:val="22"/>
          <w:szCs w:val="20"/>
        </w:rPr>
        <w:t>+</w:t>
      </w:r>
      <w:r>
        <w:rPr>
          <w:color w:val="auto"/>
          <w:sz w:val="22"/>
          <w:szCs w:val="20"/>
        </w:rPr>
        <w:fldChar w:fldCharType="begin"/>
      </w:r>
      <w:r>
        <w:rPr>
          <w:color w:val="auto"/>
          <w:sz w:val="22"/>
          <w:szCs w:val="20"/>
        </w:rPr>
        <w:instrText xml:space="preserve"> = 4 \* GB3 \* MERGEFORMAT </w:instrText>
      </w:r>
      <w:r>
        <w:rPr>
          <w:color w:val="auto"/>
          <w:sz w:val="22"/>
          <w:szCs w:val="20"/>
        </w:rPr>
        <w:fldChar w:fldCharType="separate"/>
      </w:r>
      <w:r>
        <w:rPr>
          <w:rFonts w:hint="eastAsia"/>
          <w:color w:val="auto"/>
          <w:sz w:val="22"/>
          <w:szCs w:val="20"/>
        </w:rPr>
        <w:t>④</w:t>
      </w:r>
      <w:r>
        <w:rPr>
          <w:color w:val="auto"/>
          <w:sz w:val="22"/>
          <w:szCs w:val="20"/>
        </w:rPr>
        <w:fldChar w:fldCharType="end"/>
      </w:r>
      <w:r>
        <w:rPr>
          <w:color w:val="auto"/>
          <w:sz w:val="22"/>
          <w:szCs w:val="20"/>
        </w:rPr>
        <w:t>-</w:t>
      </w:r>
      <w:r>
        <w:rPr>
          <w:color w:val="auto"/>
          <w:sz w:val="22"/>
          <w:szCs w:val="20"/>
        </w:rPr>
        <w:fldChar w:fldCharType="begin"/>
      </w:r>
      <w:r>
        <w:rPr>
          <w:color w:val="auto"/>
          <w:sz w:val="22"/>
          <w:szCs w:val="20"/>
        </w:rPr>
        <w:instrText xml:space="preserve"> = 5 \* GB3 \* MERGEFORMAT </w:instrText>
      </w:r>
      <w:r>
        <w:rPr>
          <w:color w:val="auto"/>
          <w:sz w:val="22"/>
          <w:szCs w:val="20"/>
        </w:rPr>
        <w:fldChar w:fldCharType="separate"/>
      </w:r>
      <w:r>
        <w:rPr>
          <w:rFonts w:hint="eastAsia"/>
          <w:color w:val="auto"/>
          <w:sz w:val="22"/>
          <w:szCs w:val="20"/>
        </w:rPr>
        <w:t>⑤</w:t>
      </w:r>
      <w:r>
        <w:rPr>
          <w:color w:val="auto"/>
          <w:sz w:val="22"/>
          <w:szCs w:val="20"/>
        </w:rPr>
        <w:fldChar w:fldCharType="end"/>
      </w:r>
      <w:r>
        <w:rPr>
          <w:rFonts w:hint="eastAsia"/>
          <w:color w:val="auto"/>
          <w:sz w:val="22"/>
          <w:szCs w:val="20"/>
        </w:rPr>
        <w:t>；</w:t>
      </w:r>
      <w:r>
        <w:rPr>
          <w:color w:val="auto"/>
          <w:sz w:val="22"/>
          <w:szCs w:val="20"/>
        </w:rPr>
        <w:fldChar w:fldCharType="begin"/>
      </w:r>
      <w:r>
        <w:rPr>
          <w:color w:val="auto"/>
          <w:sz w:val="22"/>
          <w:szCs w:val="20"/>
        </w:rPr>
        <w:instrText xml:space="preserve"> = 7 \* GB3 \* MERGEFORMAT </w:instrText>
      </w:r>
      <w:r>
        <w:rPr>
          <w:color w:val="auto"/>
          <w:sz w:val="22"/>
          <w:szCs w:val="20"/>
        </w:rPr>
        <w:fldChar w:fldCharType="separate"/>
      </w:r>
      <w:r>
        <w:rPr>
          <w:rFonts w:hint="eastAsia"/>
          <w:color w:val="auto"/>
          <w:sz w:val="22"/>
          <w:szCs w:val="20"/>
        </w:rPr>
        <w:t>⑦</w:t>
      </w:r>
      <w:r>
        <w:rPr>
          <w:color w:val="auto"/>
          <w:sz w:val="22"/>
          <w:szCs w:val="20"/>
        </w:rPr>
        <w:fldChar w:fldCharType="end"/>
      </w:r>
      <w:r>
        <w:rPr>
          <w:color w:val="auto"/>
          <w:sz w:val="22"/>
          <w:szCs w:val="20"/>
        </w:rPr>
        <w:t>=</w:t>
      </w:r>
      <w:r>
        <w:rPr>
          <w:color w:val="auto"/>
          <w:sz w:val="22"/>
          <w:szCs w:val="20"/>
        </w:rPr>
        <w:fldChar w:fldCharType="begin"/>
      </w:r>
      <w:r>
        <w:rPr>
          <w:color w:val="auto"/>
          <w:sz w:val="22"/>
          <w:szCs w:val="20"/>
        </w:rPr>
        <w:instrText xml:space="preserve"> = 6 \* GB3 \* MERGEFORMAT </w:instrText>
      </w:r>
      <w:r>
        <w:rPr>
          <w:color w:val="auto"/>
          <w:sz w:val="22"/>
          <w:szCs w:val="20"/>
        </w:rPr>
        <w:fldChar w:fldCharType="separate"/>
      </w:r>
      <w:r>
        <w:rPr>
          <w:rFonts w:hint="eastAsia"/>
          <w:color w:val="auto"/>
          <w:sz w:val="22"/>
          <w:szCs w:val="20"/>
        </w:rPr>
        <w:t>⑥</w:t>
      </w:r>
      <w:r>
        <w:rPr>
          <w:color w:val="auto"/>
          <w:sz w:val="22"/>
          <w:szCs w:val="20"/>
        </w:rPr>
        <w:fldChar w:fldCharType="end"/>
      </w:r>
      <w:r>
        <w:rPr>
          <w:color w:val="auto"/>
          <w:sz w:val="22"/>
          <w:szCs w:val="20"/>
        </w:rPr>
        <w:t>-</w:t>
      </w:r>
      <w:r>
        <w:rPr>
          <w:color w:val="auto"/>
          <w:sz w:val="22"/>
          <w:szCs w:val="20"/>
        </w:rPr>
        <w:fldChar w:fldCharType="begin"/>
      </w:r>
      <w:r>
        <w:rPr>
          <w:color w:val="auto"/>
          <w:sz w:val="22"/>
          <w:szCs w:val="20"/>
        </w:rPr>
        <w:instrText xml:space="preserve"> = 1 \* GB3 \* MERGEFORMAT </w:instrText>
      </w:r>
      <w:r>
        <w:rPr>
          <w:color w:val="auto"/>
          <w:sz w:val="22"/>
          <w:szCs w:val="20"/>
        </w:rPr>
        <w:fldChar w:fldCharType="separate"/>
      </w:r>
      <w:r>
        <w:rPr>
          <w:rFonts w:hint="eastAsia"/>
          <w:color w:val="auto"/>
          <w:sz w:val="22"/>
          <w:szCs w:val="20"/>
        </w:rPr>
        <w:t>①</w:t>
      </w:r>
      <w:r>
        <w:rPr>
          <w:color w:val="auto"/>
          <w:sz w:val="22"/>
          <w:szCs w:val="20"/>
        </w:rPr>
        <w:fldChar w:fldCharType="end"/>
      </w:r>
      <w:r>
        <w:rPr>
          <w:rFonts w:hint="eastAsia"/>
          <w:color w:val="auto"/>
          <w:sz w:val="22"/>
          <w:szCs w:val="20"/>
        </w:rPr>
        <w:t>；本次废水排放量填写的均为排放至污水处理厂的总量。</w:t>
      </w:r>
    </w:p>
    <w:p w14:paraId="42C46346">
      <w:pPr>
        <w:rPr>
          <w:color w:val="auto"/>
        </w:rPr>
      </w:pPr>
    </w:p>
    <w:sectPr>
      <w:footerReference r:id="rId12" w:type="default"/>
      <w:pgSz w:w="16838" w:h="11906" w:orient="landscape"/>
      <w:pgMar w:top="1247" w:right="1247" w:bottom="1134" w:left="1134" w:header="680" w:footer="680"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Arial Black">
    <w:panose1 w:val="020B0A04020102020204"/>
    <w:charset w:val="00"/>
    <w:family w:val="swiss"/>
    <w:pitch w:val="default"/>
    <w:sig w:usb0="A00002AF" w:usb1="400078FB" w:usb2="00000000" w:usb3="00000000" w:csb0="6000009F" w:csb1="DFD70000"/>
  </w:font>
  <w:font w:name="楷体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文鼎粗行楷简">
    <w:altName w:val="宋体"/>
    <w:panose1 w:val="00000000000000000000"/>
    <w:charset w:val="86"/>
    <w:family w:val="modern"/>
    <w:pitch w:val="default"/>
    <w:sig w:usb0="00000000" w:usb1="00000000" w:usb2="00000000" w:usb3="00000000" w:csb0="00000000" w:csb1="00000000"/>
  </w:font>
  <w:font w:name="创艺简老宋">
    <w:altName w:val="黑体"/>
    <w:panose1 w:val="00000000000000000000"/>
    <w:charset w:val="86"/>
    <w:family w:val="auto"/>
    <w:pitch w:val="default"/>
    <w:sig w:usb0="00000000" w:usb1="00000000" w:usb2="00000010" w:usb3="00000000" w:csb0="00040000" w:csb1="00000000"/>
  </w:font>
  <w:font w:name="方正魏碑简体">
    <w:panose1 w:val="03000509000000000000"/>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汉仪仿宋简">
    <w:panose1 w:val="02010600000101010101"/>
    <w:charset w:val="86"/>
    <w:family w:val="auto"/>
    <w:pitch w:val="default"/>
    <w:sig w:usb0="800002BF" w:usb1="184F6CF8" w:usb2="00000012" w:usb3="00000000" w:csb0="00020001" w:csb1="00000000"/>
  </w:font>
  <w:font w:name="汉仪大宋简">
    <w:altName w:val="宋体"/>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Verdana">
    <w:panose1 w:val="020B0604030504040204"/>
    <w:charset w:val="00"/>
    <w:family w:val="swiss"/>
    <w:pitch w:val="default"/>
    <w:sig w:usb0="A00006FF" w:usb1="4000205B" w:usb2="00000010" w:usb3="00000000" w:csb0="2000019F" w:csb1="00000000"/>
  </w:font>
  <w:font w:name="幼圆">
    <w:panose1 w:val="02010509060101010101"/>
    <w:charset w:val="86"/>
    <w:family w:val="modern"/>
    <w:pitch w:val="default"/>
    <w:sig w:usb0="00000001" w:usb1="080E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长城楷体">
    <w:altName w:val="黑体"/>
    <w:panose1 w:val="00000000000000000000"/>
    <w:charset w:val="86"/>
    <w:family w:val="modern"/>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8A190">
    <w:pPr>
      <w:pStyle w:val="46"/>
      <w:tabs>
        <w:tab w:val="left" w:pos="2715"/>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71326">
    <w:pPr>
      <w:pStyle w:val="46"/>
      <w:tabs>
        <w:tab w:val="left" w:pos="2715"/>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A970">
    <w:pPr>
      <w:pStyle w:val="46"/>
      <w:tabs>
        <w:tab w:val="left" w:pos="2715"/>
      </w:tabs>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439726">
                          <w:pPr>
                            <w:pStyle w:val="4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2439726">
                    <w:pPr>
                      <w:pStyle w:val="4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7D382">
    <w:pPr>
      <w:pStyle w:val="46"/>
      <w:tabs>
        <w:tab w:val="left" w:pos="2715"/>
      </w:tabs>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52EA0">
                          <w:pPr>
                            <w:pStyle w:val="46"/>
                            <w:tabs>
                              <w:tab w:val="left" w:pos="2715"/>
                            </w:tabs>
                            <w:jc w:val="center"/>
                          </w:pPr>
                          <w:r>
                            <w:fldChar w:fldCharType="begin"/>
                          </w:r>
                          <w:r>
                            <w:instrText xml:space="preserve">PAGE   \* MERGEFORMAT</w:instrText>
                          </w:r>
                          <w:r>
                            <w:fldChar w:fldCharType="separate"/>
                          </w:r>
                          <w:r>
                            <w:rPr>
                              <w:lang w:val="en-US"/>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8C52EA0">
                    <w:pPr>
                      <w:pStyle w:val="46"/>
                      <w:tabs>
                        <w:tab w:val="left" w:pos="2715"/>
                      </w:tabs>
                      <w:jc w:val="center"/>
                    </w:pPr>
                    <w:r>
                      <w:fldChar w:fldCharType="begin"/>
                    </w:r>
                    <w:r>
                      <w:instrText xml:space="preserve">PAGE   \* MERGEFORMAT</w:instrText>
                    </w:r>
                    <w:r>
                      <w:fldChar w:fldCharType="separate"/>
                    </w:r>
                    <w:r>
                      <w:rPr>
                        <w:lang w:val="en-US"/>
                      </w:rP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C53B">
    <w:pPr>
      <w:jc w:val="center"/>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8E87D">
                          <w:pPr>
                            <w:jc w:val="center"/>
                          </w:pPr>
                          <w:r>
                            <w:rPr>
                              <w:sz w:val="18"/>
                              <w:szCs w:val="18"/>
                            </w:rPr>
                            <w:fldChar w:fldCharType="begin"/>
                          </w:r>
                          <w:r>
                            <w:rPr>
                              <w:sz w:val="18"/>
                              <w:szCs w:val="18"/>
                            </w:rPr>
                            <w:instrText xml:space="preserve">PAGE   \* MERGEFORMAT</w:instrText>
                          </w:r>
                          <w:r>
                            <w:rPr>
                              <w:sz w:val="18"/>
                              <w:szCs w:val="18"/>
                            </w:rPr>
                            <w:fldChar w:fldCharType="separate"/>
                          </w:r>
                          <w:r>
                            <w:rPr>
                              <w:sz w:val="18"/>
                              <w:szCs w:val="18"/>
                            </w:rPr>
                            <w:t>20</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598E87D">
                    <w:pPr>
                      <w:jc w:val="center"/>
                    </w:pPr>
                    <w:r>
                      <w:rPr>
                        <w:sz w:val="18"/>
                        <w:szCs w:val="18"/>
                      </w:rPr>
                      <w:fldChar w:fldCharType="begin"/>
                    </w:r>
                    <w:r>
                      <w:rPr>
                        <w:sz w:val="18"/>
                        <w:szCs w:val="18"/>
                      </w:rPr>
                      <w:instrText xml:space="preserve">PAGE   \* MERGEFORMAT</w:instrText>
                    </w:r>
                    <w:r>
                      <w:rPr>
                        <w:sz w:val="18"/>
                        <w:szCs w:val="18"/>
                      </w:rPr>
                      <w:fldChar w:fldCharType="separate"/>
                    </w:r>
                    <w:r>
                      <w:rPr>
                        <w:sz w:val="18"/>
                        <w:szCs w:val="18"/>
                      </w:rPr>
                      <w:t>20</w:t>
                    </w:r>
                    <w:r>
                      <w:rPr>
                        <w:sz w:val="18"/>
                        <w:szCs w:val="1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7D54D">
    <w:pPr>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624B9">
                          <w:pPr>
                            <w:pStyle w:val="4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26624B9">
                    <w:pPr>
                      <w:pStyle w:val="46"/>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D8D08">
    <w:pPr>
      <w:pStyle w:val="4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EDA7">
    <w:pPr>
      <w:pStyle w:val="4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5CE14B"/>
    <w:multiLevelType w:val="singleLevel"/>
    <w:tmpl w:val="985CE14B"/>
    <w:lvl w:ilvl="0" w:tentative="0">
      <w:start w:val="2"/>
      <w:numFmt w:val="decimal"/>
      <w:suff w:val="nothing"/>
      <w:lvlText w:val="（%1）"/>
      <w:lvlJc w:val="left"/>
    </w:lvl>
  </w:abstractNum>
  <w:abstractNum w:abstractNumId="1">
    <w:nsid w:val="9895C8BE"/>
    <w:multiLevelType w:val="singleLevel"/>
    <w:tmpl w:val="9895C8BE"/>
    <w:lvl w:ilvl="0" w:tentative="0">
      <w:start w:val="1"/>
      <w:numFmt w:val="decimal"/>
      <w:suff w:val="nothing"/>
      <w:lvlText w:val="（%1）"/>
      <w:lvlJc w:val="left"/>
    </w:lvl>
  </w:abstractNum>
  <w:abstractNum w:abstractNumId="2">
    <w:nsid w:val="9B0BC69D"/>
    <w:multiLevelType w:val="singleLevel"/>
    <w:tmpl w:val="9B0BC69D"/>
    <w:lvl w:ilvl="0" w:tentative="0">
      <w:start w:val="4"/>
      <w:numFmt w:val="decimal"/>
      <w:suff w:val="nothing"/>
      <w:lvlText w:val="%1、"/>
      <w:lvlJc w:val="left"/>
    </w:lvl>
  </w:abstractNum>
  <w:abstractNum w:abstractNumId="3">
    <w:nsid w:val="9FECA102"/>
    <w:multiLevelType w:val="singleLevel"/>
    <w:tmpl w:val="9FECA102"/>
    <w:lvl w:ilvl="0" w:tentative="0">
      <w:start w:val="1"/>
      <w:numFmt w:val="decimal"/>
      <w:suff w:val="nothing"/>
      <w:lvlText w:val="%1、"/>
      <w:lvlJc w:val="left"/>
    </w:lvl>
  </w:abstractNum>
  <w:abstractNum w:abstractNumId="4">
    <w:nsid w:val="A592C3A3"/>
    <w:multiLevelType w:val="singleLevel"/>
    <w:tmpl w:val="A592C3A3"/>
    <w:lvl w:ilvl="0" w:tentative="0">
      <w:start w:val="3"/>
      <w:numFmt w:val="decimal"/>
      <w:suff w:val="nothing"/>
      <w:lvlText w:val="%1、"/>
      <w:lvlJc w:val="left"/>
    </w:lvl>
  </w:abstractNum>
  <w:abstractNum w:abstractNumId="5">
    <w:nsid w:val="D88201FE"/>
    <w:multiLevelType w:val="singleLevel"/>
    <w:tmpl w:val="D88201FE"/>
    <w:lvl w:ilvl="0" w:tentative="0">
      <w:start w:val="6"/>
      <w:numFmt w:val="decimal"/>
      <w:suff w:val="nothing"/>
      <w:lvlText w:val="（%1）"/>
      <w:lvlJc w:val="left"/>
    </w:lvl>
  </w:abstractNum>
  <w:abstractNum w:abstractNumId="6">
    <w:nsid w:val="DD9B363A"/>
    <w:multiLevelType w:val="singleLevel"/>
    <w:tmpl w:val="DD9B363A"/>
    <w:lvl w:ilvl="0" w:tentative="0">
      <w:start w:val="2"/>
      <w:numFmt w:val="chineseCounting"/>
      <w:suff w:val="nothing"/>
      <w:lvlText w:val="%1、"/>
      <w:lvlJc w:val="left"/>
      <w:rPr>
        <w:rFonts w:hint="eastAsia"/>
      </w:rPr>
    </w:lvl>
  </w:abstractNum>
  <w:abstractNum w:abstractNumId="7">
    <w:nsid w:val="E73EECEF"/>
    <w:multiLevelType w:val="singleLevel"/>
    <w:tmpl w:val="E73EECEF"/>
    <w:lvl w:ilvl="0" w:tentative="0">
      <w:start w:val="1"/>
      <w:numFmt w:val="decimal"/>
      <w:suff w:val="nothing"/>
      <w:lvlText w:val="%1、"/>
      <w:lvlJc w:val="left"/>
    </w:lvl>
  </w:abstractNum>
  <w:abstractNum w:abstractNumId="8">
    <w:nsid w:val="ED5B80BC"/>
    <w:multiLevelType w:val="singleLevel"/>
    <w:tmpl w:val="ED5B80BC"/>
    <w:lvl w:ilvl="0" w:tentative="0">
      <w:start w:val="13"/>
      <w:numFmt w:val="decimal"/>
      <w:suff w:val="nothing"/>
      <w:lvlText w:val="%1、"/>
      <w:lvlJc w:val="left"/>
    </w:lvl>
  </w:abstractNum>
  <w:abstractNum w:abstractNumId="9">
    <w:nsid w:val="EE129991"/>
    <w:multiLevelType w:val="singleLevel"/>
    <w:tmpl w:val="EE129991"/>
    <w:lvl w:ilvl="0" w:tentative="0">
      <w:start w:val="1"/>
      <w:numFmt w:val="decimal"/>
      <w:suff w:val="nothing"/>
      <w:lvlText w:val="%1、"/>
      <w:lvlJc w:val="left"/>
    </w:lvl>
  </w:abstractNum>
  <w:abstractNum w:abstractNumId="10">
    <w:nsid w:val="04933090"/>
    <w:multiLevelType w:val="multilevel"/>
    <w:tmpl w:val="04933090"/>
    <w:lvl w:ilvl="0" w:tentative="0">
      <w:start w:val="1"/>
      <w:numFmt w:val="decimalEnclosedCircle"/>
      <w:pStyle w:val="28"/>
      <w:lvlText w:val="%1"/>
      <w:lvlJc w:val="left"/>
      <w:pPr>
        <w:ind w:left="1068"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0E061EA5"/>
    <w:multiLevelType w:val="multilevel"/>
    <w:tmpl w:val="0E061EA5"/>
    <w:lvl w:ilvl="0" w:tentative="0">
      <w:start w:val="1"/>
      <w:numFmt w:val="decimalEnclosedCircle"/>
      <w:pStyle w:val="39"/>
      <w:lvlText w:val="%1"/>
      <w:lvlJc w:val="left"/>
      <w:pPr>
        <w:ind w:left="824" w:hanging="360"/>
      </w:pPr>
      <w:rPr>
        <w:rFonts w:hint="default"/>
      </w:rPr>
    </w:lvl>
    <w:lvl w:ilvl="1" w:tentative="0">
      <w:start w:val="1"/>
      <w:numFmt w:val="lowerLetter"/>
      <w:lvlText w:val="%2)"/>
      <w:lvlJc w:val="left"/>
      <w:pPr>
        <w:ind w:left="1304" w:hanging="420"/>
      </w:pPr>
    </w:lvl>
    <w:lvl w:ilvl="2" w:tentative="0">
      <w:start w:val="1"/>
      <w:numFmt w:val="lowerRoman"/>
      <w:lvlText w:val="%3."/>
      <w:lvlJc w:val="right"/>
      <w:pPr>
        <w:ind w:left="1724" w:hanging="420"/>
      </w:pPr>
    </w:lvl>
    <w:lvl w:ilvl="3" w:tentative="0">
      <w:start w:val="1"/>
      <w:numFmt w:val="decimal"/>
      <w:lvlText w:val="%4."/>
      <w:lvlJc w:val="left"/>
      <w:pPr>
        <w:ind w:left="2144" w:hanging="420"/>
      </w:pPr>
    </w:lvl>
    <w:lvl w:ilvl="4" w:tentative="0">
      <w:start w:val="1"/>
      <w:numFmt w:val="lowerLetter"/>
      <w:lvlText w:val="%5)"/>
      <w:lvlJc w:val="left"/>
      <w:pPr>
        <w:ind w:left="2564" w:hanging="420"/>
      </w:pPr>
    </w:lvl>
    <w:lvl w:ilvl="5" w:tentative="0">
      <w:start w:val="1"/>
      <w:numFmt w:val="lowerRoman"/>
      <w:lvlText w:val="%6."/>
      <w:lvlJc w:val="right"/>
      <w:pPr>
        <w:ind w:left="2984" w:hanging="420"/>
      </w:pPr>
    </w:lvl>
    <w:lvl w:ilvl="6" w:tentative="0">
      <w:start w:val="1"/>
      <w:numFmt w:val="decimal"/>
      <w:lvlText w:val="%7."/>
      <w:lvlJc w:val="left"/>
      <w:pPr>
        <w:ind w:left="3404" w:hanging="420"/>
      </w:pPr>
    </w:lvl>
    <w:lvl w:ilvl="7" w:tentative="0">
      <w:start w:val="1"/>
      <w:numFmt w:val="lowerLetter"/>
      <w:lvlText w:val="%8)"/>
      <w:lvlJc w:val="left"/>
      <w:pPr>
        <w:ind w:left="3824" w:hanging="420"/>
      </w:pPr>
    </w:lvl>
    <w:lvl w:ilvl="8" w:tentative="0">
      <w:start w:val="1"/>
      <w:numFmt w:val="lowerRoman"/>
      <w:lvlText w:val="%9."/>
      <w:lvlJc w:val="right"/>
      <w:pPr>
        <w:ind w:left="4244" w:hanging="420"/>
      </w:pPr>
    </w:lvl>
  </w:abstractNum>
  <w:abstractNum w:abstractNumId="12">
    <w:nsid w:val="1225540B"/>
    <w:multiLevelType w:val="multilevel"/>
    <w:tmpl w:val="1225540B"/>
    <w:lvl w:ilvl="0" w:tentative="0">
      <w:start w:val="1"/>
      <w:numFmt w:val="decimal"/>
      <w:lvlText w:val="(%1)"/>
      <w:lvlJc w:val="left"/>
      <w:pPr>
        <w:tabs>
          <w:tab w:val="left" w:pos="900"/>
        </w:tabs>
        <w:ind w:left="900" w:hanging="420"/>
      </w:pPr>
      <w:rPr>
        <w:rFonts w:hint="eastAsia"/>
      </w:rPr>
    </w:lvl>
    <w:lvl w:ilvl="1" w:tentative="0">
      <w:start w:val="1"/>
      <w:numFmt w:val="decimal"/>
      <w:lvlText w:val="（%2）"/>
      <w:lvlJc w:val="left"/>
      <w:pPr>
        <w:tabs>
          <w:tab w:val="left" w:pos="1620"/>
        </w:tabs>
        <w:ind w:left="1620" w:hanging="720"/>
      </w:pPr>
      <w:rPr>
        <w:rFonts w:hint="eastAsia"/>
      </w:rPr>
    </w:lvl>
    <w:lvl w:ilvl="2" w:tentative="0">
      <w:start w:val="1"/>
      <w:numFmt w:val="lowerRoman"/>
      <w:lvlText w:val="%3."/>
      <w:lvlJc w:val="right"/>
      <w:pPr>
        <w:tabs>
          <w:tab w:val="left" w:pos="1740"/>
        </w:tabs>
        <w:ind w:left="1740" w:hanging="420"/>
      </w:pPr>
    </w:lvl>
    <w:lvl w:ilvl="3" w:tentative="0">
      <w:start w:val="1"/>
      <w:numFmt w:val="decimal"/>
      <w:pStyle w:val="821"/>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19FAD1A7"/>
    <w:multiLevelType w:val="singleLevel"/>
    <w:tmpl w:val="19FAD1A7"/>
    <w:lvl w:ilvl="0" w:tentative="0">
      <w:start w:val="1"/>
      <w:numFmt w:val="decimal"/>
      <w:lvlText w:val="%1."/>
      <w:lvlJc w:val="left"/>
      <w:pPr>
        <w:tabs>
          <w:tab w:val="left" w:pos="312"/>
        </w:tabs>
      </w:pPr>
    </w:lvl>
  </w:abstractNum>
  <w:abstractNum w:abstractNumId="14">
    <w:nsid w:val="23633D64"/>
    <w:multiLevelType w:val="singleLevel"/>
    <w:tmpl w:val="23633D64"/>
    <w:lvl w:ilvl="0" w:tentative="0">
      <w:start w:val="1"/>
      <w:numFmt w:val="decimal"/>
      <w:suff w:val="nothing"/>
      <w:lvlText w:val="%1、"/>
      <w:lvlJc w:val="left"/>
    </w:lvl>
  </w:abstractNum>
  <w:abstractNum w:abstractNumId="15">
    <w:nsid w:val="266D87DD"/>
    <w:multiLevelType w:val="singleLevel"/>
    <w:tmpl w:val="266D87DD"/>
    <w:lvl w:ilvl="0" w:tentative="0">
      <w:start w:val="6"/>
      <w:numFmt w:val="decimal"/>
      <w:suff w:val="nothing"/>
      <w:lvlText w:val="%1、"/>
      <w:lvlJc w:val="left"/>
    </w:lvl>
  </w:abstractNum>
  <w:abstractNum w:abstractNumId="16">
    <w:nsid w:val="2A1B43A9"/>
    <w:multiLevelType w:val="singleLevel"/>
    <w:tmpl w:val="2A1B43A9"/>
    <w:lvl w:ilvl="0" w:tentative="0">
      <w:start w:val="1"/>
      <w:numFmt w:val="decimal"/>
      <w:suff w:val="nothing"/>
      <w:lvlText w:val="%1、"/>
      <w:lvlJc w:val="left"/>
    </w:lvl>
  </w:abstractNum>
  <w:abstractNum w:abstractNumId="17">
    <w:nsid w:val="2C53A38B"/>
    <w:multiLevelType w:val="singleLevel"/>
    <w:tmpl w:val="2C53A38B"/>
    <w:lvl w:ilvl="0" w:tentative="0">
      <w:start w:val="1"/>
      <w:numFmt w:val="decimal"/>
      <w:lvlText w:val="%1."/>
      <w:lvlJc w:val="left"/>
      <w:pPr>
        <w:tabs>
          <w:tab w:val="left" w:pos="312"/>
        </w:tabs>
      </w:pPr>
    </w:lvl>
  </w:abstractNum>
  <w:abstractNum w:abstractNumId="18">
    <w:nsid w:val="31427D2B"/>
    <w:multiLevelType w:val="multilevel"/>
    <w:tmpl w:val="31427D2B"/>
    <w:lvl w:ilvl="0" w:tentative="0">
      <w:start w:val="1"/>
      <w:numFmt w:val="decimal"/>
      <w:pStyle w:val="818"/>
      <w:lvlText w:val="(%1)"/>
      <w:lvlJc w:val="left"/>
      <w:pPr>
        <w:tabs>
          <w:tab w:val="left" w:pos="780"/>
        </w:tabs>
        <w:ind w:left="780" w:hanging="420"/>
      </w:pPr>
      <w:rPr>
        <w:rFonts w:hint="eastAsia"/>
      </w:rPr>
    </w:lvl>
    <w:lvl w:ilvl="1" w:tentative="0">
      <w:start w:val="3"/>
      <w:numFmt w:val="decimal"/>
      <w:lvlText w:val="%2、"/>
      <w:lvlJc w:val="left"/>
      <w:pPr>
        <w:tabs>
          <w:tab w:val="left" w:pos="1260"/>
        </w:tabs>
        <w:ind w:left="1260" w:hanging="36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pStyle w:val="819"/>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9">
    <w:nsid w:val="3281DB64"/>
    <w:multiLevelType w:val="singleLevel"/>
    <w:tmpl w:val="3281DB64"/>
    <w:lvl w:ilvl="0" w:tentative="0">
      <w:start w:val="1"/>
      <w:numFmt w:val="decimal"/>
      <w:suff w:val="nothing"/>
      <w:lvlText w:val="%1、"/>
      <w:lvlJc w:val="left"/>
    </w:lvl>
  </w:abstractNum>
  <w:abstractNum w:abstractNumId="20">
    <w:nsid w:val="368F0CA5"/>
    <w:multiLevelType w:val="singleLevel"/>
    <w:tmpl w:val="368F0CA5"/>
    <w:lvl w:ilvl="0" w:tentative="0">
      <w:start w:val="2"/>
      <w:numFmt w:val="decimal"/>
      <w:suff w:val="nothing"/>
      <w:lvlText w:val="（%1）"/>
      <w:lvlJc w:val="left"/>
    </w:lvl>
  </w:abstractNum>
  <w:abstractNum w:abstractNumId="21">
    <w:nsid w:val="40F53D28"/>
    <w:multiLevelType w:val="multilevel"/>
    <w:tmpl w:val="40F53D28"/>
    <w:lvl w:ilvl="0" w:tentative="0">
      <w:start w:val="2"/>
      <w:numFmt w:val="decimalEnclosedCircle"/>
      <w:lvlText w:val="%1"/>
      <w:lvlJc w:val="left"/>
      <w:pPr>
        <w:ind w:left="1200" w:hanging="360"/>
      </w:pPr>
      <w:rPr>
        <w:rFonts w:hint="default"/>
      </w:rPr>
    </w:lvl>
    <w:lvl w:ilvl="1" w:tentative="0">
      <w:start w:val="1"/>
      <w:numFmt w:val="lowerLetter"/>
      <w:pStyle w:val="577"/>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2">
    <w:nsid w:val="5777EE4B"/>
    <w:multiLevelType w:val="singleLevel"/>
    <w:tmpl w:val="5777EE4B"/>
    <w:lvl w:ilvl="0" w:tentative="0">
      <w:start w:val="1"/>
      <w:numFmt w:val="decimal"/>
      <w:suff w:val="nothing"/>
      <w:lvlText w:val="（%1）"/>
      <w:lvlJc w:val="left"/>
    </w:lvl>
  </w:abstractNum>
  <w:abstractNum w:abstractNumId="23">
    <w:nsid w:val="5A0D7E57"/>
    <w:multiLevelType w:val="multilevel"/>
    <w:tmpl w:val="5A0D7E57"/>
    <w:lvl w:ilvl="0" w:tentative="0">
      <w:start w:val="1"/>
      <w:numFmt w:val="decimalEnclosedCircle"/>
      <w:lvlText w:val="%1"/>
      <w:lvlJc w:val="left"/>
      <w:pPr>
        <w:ind w:left="824" w:hanging="360"/>
      </w:pPr>
      <w:rPr>
        <w:rFonts w:hint="default"/>
      </w:rPr>
    </w:lvl>
    <w:lvl w:ilvl="1" w:tentative="0">
      <w:start w:val="1"/>
      <w:numFmt w:val="lowerLetter"/>
      <w:pStyle w:val="753"/>
      <w:lvlText w:val="%2)"/>
      <w:lvlJc w:val="left"/>
      <w:pPr>
        <w:ind w:left="1304" w:hanging="420"/>
      </w:pPr>
    </w:lvl>
    <w:lvl w:ilvl="2" w:tentative="0">
      <w:start w:val="1"/>
      <w:numFmt w:val="lowerRoman"/>
      <w:lvlText w:val="%3."/>
      <w:lvlJc w:val="right"/>
      <w:pPr>
        <w:ind w:left="1724" w:hanging="420"/>
      </w:pPr>
    </w:lvl>
    <w:lvl w:ilvl="3" w:tentative="0">
      <w:start w:val="1"/>
      <w:numFmt w:val="decimal"/>
      <w:lvlText w:val="%4."/>
      <w:lvlJc w:val="left"/>
      <w:pPr>
        <w:ind w:left="2144" w:hanging="420"/>
      </w:pPr>
    </w:lvl>
    <w:lvl w:ilvl="4" w:tentative="0">
      <w:start w:val="1"/>
      <w:numFmt w:val="lowerLetter"/>
      <w:lvlText w:val="%5)"/>
      <w:lvlJc w:val="left"/>
      <w:pPr>
        <w:ind w:left="2564" w:hanging="420"/>
      </w:pPr>
    </w:lvl>
    <w:lvl w:ilvl="5" w:tentative="0">
      <w:start w:val="1"/>
      <w:numFmt w:val="lowerRoman"/>
      <w:lvlText w:val="%6."/>
      <w:lvlJc w:val="right"/>
      <w:pPr>
        <w:ind w:left="2984" w:hanging="420"/>
      </w:pPr>
    </w:lvl>
    <w:lvl w:ilvl="6" w:tentative="0">
      <w:start w:val="1"/>
      <w:numFmt w:val="decimal"/>
      <w:lvlText w:val="%7."/>
      <w:lvlJc w:val="left"/>
      <w:pPr>
        <w:ind w:left="3404" w:hanging="420"/>
      </w:pPr>
    </w:lvl>
    <w:lvl w:ilvl="7" w:tentative="0">
      <w:start w:val="1"/>
      <w:numFmt w:val="lowerLetter"/>
      <w:lvlText w:val="%8)"/>
      <w:lvlJc w:val="left"/>
      <w:pPr>
        <w:ind w:left="3824" w:hanging="420"/>
      </w:pPr>
    </w:lvl>
    <w:lvl w:ilvl="8" w:tentative="0">
      <w:start w:val="1"/>
      <w:numFmt w:val="lowerRoman"/>
      <w:lvlText w:val="%9."/>
      <w:lvlJc w:val="right"/>
      <w:pPr>
        <w:ind w:left="4244" w:hanging="420"/>
      </w:pPr>
    </w:lvl>
  </w:abstractNum>
  <w:abstractNum w:abstractNumId="24">
    <w:nsid w:val="6731A05B"/>
    <w:multiLevelType w:val="singleLevel"/>
    <w:tmpl w:val="6731A05B"/>
    <w:lvl w:ilvl="0" w:tentative="0">
      <w:start w:val="1"/>
      <w:numFmt w:val="decimal"/>
      <w:lvlText w:val="%1."/>
      <w:lvlJc w:val="left"/>
      <w:pPr>
        <w:tabs>
          <w:tab w:val="left" w:pos="312"/>
        </w:tabs>
      </w:pPr>
    </w:lvl>
  </w:abstractNum>
  <w:abstractNum w:abstractNumId="25">
    <w:nsid w:val="681406C0"/>
    <w:multiLevelType w:val="multilevel"/>
    <w:tmpl w:val="681406C0"/>
    <w:lvl w:ilvl="0" w:tentative="0">
      <w:start w:val="1"/>
      <w:numFmt w:val="bullet"/>
      <w:pStyle w:val="20"/>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6">
    <w:nsid w:val="690E02F3"/>
    <w:multiLevelType w:val="singleLevel"/>
    <w:tmpl w:val="690E02F3"/>
    <w:lvl w:ilvl="0" w:tentative="0">
      <w:start w:val="1"/>
      <w:numFmt w:val="decimal"/>
      <w:suff w:val="nothing"/>
      <w:lvlText w:val="%1、"/>
      <w:lvlJc w:val="left"/>
    </w:lvl>
  </w:abstractNum>
  <w:abstractNum w:abstractNumId="27">
    <w:nsid w:val="7C150FB8"/>
    <w:multiLevelType w:val="multilevel"/>
    <w:tmpl w:val="7C150FB8"/>
    <w:lvl w:ilvl="0" w:tentative="0">
      <w:start w:val="1"/>
      <w:numFmt w:val="decimalEnclosedCircle"/>
      <w:pStyle w:val="35"/>
      <w:lvlText w:val="%1"/>
      <w:lvlJc w:val="left"/>
      <w:pPr>
        <w:ind w:left="824" w:hanging="360"/>
      </w:pPr>
      <w:rPr>
        <w:rFonts w:hint="default"/>
      </w:rPr>
    </w:lvl>
    <w:lvl w:ilvl="1" w:tentative="0">
      <w:start w:val="1"/>
      <w:numFmt w:val="lowerLetter"/>
      <w:lvlText w:val="%2)"/>
      <w:lvlJc w:val="left"/>
      <w:pPr>
        <w:ind w:left="1304" w:hanging="420"/>
      </w:pPr>
    </w:lvl>
    <w:lvl w:ilvl="2" w:tentative="0">
      <w:start w:val="1"/>
      <w:numFmt w:val="lowerRoman"/>
      <w:lvlText w:val="%3."/>
      <w:lvlJc w:val="right"/>
      <w:pPr>
        <w:ind w:left="1724" w:hanging="420"/>
      </w:pPr>
    </w:lvl>
    <w:lvl w:ilvl="3" w:tentative="0">
      <w:start w:val="1"/>
      <w:numFmt w:val="decimal"/>
      <w:lvlText w:val="%4."/>
      <w:lvlJc w:val="left"/>
      <w:pPr>
        <w:ind w:left="2144" w:hanging="420"/>
      </w:pPr>
    </w:lvl>
    <w:lvl w:ilvl="4" w:tentative="0">
      <w:start w:val="1"/>
      <w:numFmt w:val="lowerLetter"/>
      <w:lvlText w:val="%5)"/>
      <w:lvlJc w:val="left"/>
      <w:pPr>
        <w:ind w:left="2564" w:hanging="420"/>
      </w:pPr>
    </w:lvl>
    <w:lvl w:ilvl="5" w:tentative="0">
      <w:start w:val="1"/>
      <w:numFmt w:val="lowerRoman"/>
      <w:lvlText w:val="%6."/>
      <w:lvlJc w:val="right"/>
      <w:pPr>
        <w:ind w:left="2984" w:hanging="420"/>
      </w:pPr>
    </w:lvl>
    <w:lvl w:ilvl="6" w:tentative="0">
      <w:start w:val="1"/>
      <w:numFmt w:val="decimal"/>
      <w:lvlText w:val="%7."/>
      <w:lvlJc w:val="left"/>
      <w:pPr>
        <w:ind w:left="3404" w:hanging="420"/>
      </w:pPr>
    </w:lvl>
    <w:lvl w:ilvl="7" w:tentative="0">
      <w:start w:val="1"/>
      <w:numFmt w:val="lowerLetter"/>
      <w:lvlText w:val="%8)"/>
      <w:lvlJc w:val="left"/>
      <w:pPr>
        <w:ind w:left="3824" w:hanging="420"/>
      </w:pPr>
    </w:lvl>
    <w:lvl w:ilvl="8" w:tentative="0">
      <w:start w:val="1"/>
      <w:numFmt w:val="lowerRoman"/>
      <w:lvlText w:val="%9."/>
      <w:lvlJc w:val="right"/>
      <w:pPr>
        <w:ind w:left="4244" w:hanging="420"/>
      </w:pPr>
    </w:lvl>
  </w:abstractNum>
  <w:num w:numId="1">
    <w:abstractNumId w:val="25"/>
  </w:num>
  <w:num w:numId="2">
    <w:abstractNumId w:val="10"/>
  </w:num>
  <w:num w:numId="3">
    <w:abstractNumId w:val="27"/>
  </w:num>
  <w:num w:numId="4">
    <w:abstractNumId w:val="11"/>
  </w:num>
  <w:num w:numId="5">
    <w:abstractNumId w:val="21"/>
  </w:num>
  <w:num w:numId="6">
    <w:abstractNumId w:val="23"/>
  </w:num>
  <w:num w:numId="7">
    <w:abstractNumId w:val="18"/>
  </w:num>
  <w:num w:numId="8">
    <w:abstractNumId w:val="12"/>
  </w:num>
  <w:num w:numId="9">
    <w:abstractNumId w:val="24"/>
  </w:num>
  <w:num w:numId="10">
    <w:abstractNumId w:val="9"/>
  </w:num>
  <w:num w:numId="11">
    <w:abstractNumId w:val="17"/>
  </w:num>
  <w:num w:numId="12">
    <w:abstractNumId w:val="19"/>
  </w:num>
  <w:num w:numId="13">
    <w:abstractNumId w:val="13"/>
  </w:num>
  <w:num w:numId="14">
    <w:abstractNumId w:val="26"/>
  </w:num>
  <w:num w:numId="15">
    <w:abstractNumId w:val="2"/>
  </w:num>
  <w:num w:numId="16">
    <w:abstractNumId w:val="7"/>
  </w:num>
  <w:num w:numId="17">
    <w:abstractNumId w:val="3"/>
  </w:num>
  <w:num w:numId="18">
    <w:abstractNumId w:val="8"/>
  </w:num>
  <w:num w:numId="19">
    <w:abstractNumId w:val="16"/>
  </w:num>
  <w:num w:numId="20">
    <w:abstractNumId w:val="6"/>
  </w:num>
  <w:num w:numId="21">
    <w:abstractNumId w:val="14"/>
  </w:num>
  <w:num w:numId="22">
    <w:abstractNumId w:val="0"/>
  </w:num>
  <w:num w:numId="23">
    <w:abstractNumId w:val="4"/>
  </w:num>
  <w:num w:numId="24">
    <w:abstractNumId w:val="15"/>
  </w:num>
  <w:num w:numId="25">
    <w:abstractNumId w:val="5"/>
  </w:num>
  <w:num w:numId="26">
    <w:abstractNumId w:val="1"/>
  </w:num>
  <w:num w:numId="27">
    <w:abstractNumId w:val="20"/>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U5ZGI0YTVjZDk4OGQyOTM4Njk5NmI2ZDcyY2NiMzcifQ=="/>
  </w:docVars>
  <w:rsids>
    <w:rsidRoot w:val="5EC51854"/>
    <w:rsid w:val="000003F0"/>
    <w:rsid w:val="00000D68"/>
    <w:rsid w:val="00001127"/>
    <w:rsid w:val="00001B64"/>
    <w:rsid w:val="00001F57"/>
    <w:rsid w:val="0000228F"/>
    <w:rsid w:val="00002534"/>
    <w:rsid w:val="000025BA"/>
    <w:rsid w:val="000027E3"/>
    <w:rsid w:val="00002915"/>
    <w:rsid w:val="00002B74"/>
    <w:rsid w:val="00002CEB"/>
    <w:rsid w:val="00002ED7"/>
    <w:rsid w:val="00002F51"/>
    <w:rsid w:val="000033C3"/>
    <w:rsid w:val="0000382C"/>
    <w:rsid w:val="00003956"/>
    <w:rsid w:val="00003B12"/>
    <w:rsid w:val="00003B4D"/>
    <w:rsid w:val="00003BF6"/>
    <w:rsid w:val="000043A9"/>
    <w:rsid w:val="000054A9"/>
    <w:rsid w:val="00005552"/>
    <w:rsid w:val="00005C70"/>
    <w:rsid w:val="00005D55"/>
    <w:rsid w:val="000064CE"/>
    <w:rsid w:val="00006B61"/>
    <w:rsid w:val="00007A06"/>
    <w:rsid w:val="00007A6B"/>
    <w:rsid w:val="00007DC0"/>
    <w:rsid w:val="00007E42"/>
    <w:rsid w:val="00010445"/>
    <w:rsid w:val="000104AB"/>
    <w:rsid w:val="00010A81"/>
    <w:rsid w:val="00010D83"/>
    <w:rsid w:val="0001111B"/>
    <w:rsid w:val="0001181E"/>
    <w:rsid w:val="000118A2"/>
    <w:rsid w:val="00011ACD"/>
    <w:rsid w:val="00012307"/>
    <w:rsid w:val="00012413"/>
    <w:rsid w:val="00012CF3"/>
    <w:rsid w:val="00012F7F"/>
    <w:rsid w:val="00013A5C"/>
    <w:rsid w:val="00013DFA"/>
    <w:rsid w:val="0001450F"/>
    <w:rsid w:val="000146B9"/>
    <w:rsid w:val="00014753"/>
    <w:rsid w:val="0001479F"/>
    <w:rsid w:val="00014A88"/>
    <w:rsid w:val="00014B6F"/>
    <w:rsid w:val="00014DFD"/>
    <w:rsid w:val="00014E46"/>
    <w:rsid w:val="000152AF"/>
    <w:rsid w:val="00016624"/>
    <w:rsid w:val="000171BE"/>
    <w:rsid w:val="000175E5"/>
    <w:rsid w:val="000177C9"/>
    <w:rsid w:val="000178A9"/>
    <w:rsid w:val="00017C73"/>
    <w:rsid w:val="0002040B"/>
    <w:rsid w:val="0002156D"/>
    <w:rsid w:val="00021BE3"/>
    <w:rsid w:val="000228C5"/>
    <w:rsid w:val="000228CC"/>
    <w:rsid w:val="00022ADB"/>
    <w:rsid w:val="00022D04"/>
    <w:rsid w:val="00022DDC"/>
    <w:rsid w:val="00023908"/>
    <w:rsid w:val="00023B9A"/>
    <w:rsid w:val="00023C02"/>
    <w:rsid w:val="00023C2A"/>
    <w:rsid w:val="00024E00"/>
    <w:rsid w:val="0002560E"/>
    <w:rsid w:val="00025AA8"/>
    <w:rsid w:val="00025E32"/>
    <w:rsid w:val="0002610E"/>
    <w:rsid w:val="00026643"/>
    <w:rsid w:val="00026AB3"/>
    <w:rsid w:val="00026BE5"/>
    <w:rsid w:val="000270DA"/>
    <w:rsid w:val="00027481"/>
    <w:rsid w:val="0002753E"/>
    <w:rsid w:val="00027602"/>
    <w:rsid w:val="000303CC"/>
    <w:rsid w:val="00030404"/>
    <w:rsid w:val="0003104B"/>
    <w:rsid w:val="00031285"/>
    <w:rsid w:val="0003176F"/>
    <w:rsid w:val="00031968"/>
    <w:rsid w:val="00031ED8"/>
    <w:rsid w:val="00032109"/>
    <w:rsid w:val="000327ED"/>
    <w:rsid w:val="000333FD"/>
    <w:rsid w:val="00033431"/>
    <w:rsid w:val="000335DA"/>
    <w:rsid w:val="00033F5D"/>
    <w:rsid w:val="00034703"/>
    <w:rsid w:val="0003472C"/>
    <w:rsid w:val="00034DAE"/>
    <w:rsid w:val="00035795"/>
    <w:rsid w:val="000357E2"/>
    <w:rsid w:val="000358B1"/>
    <w:rsid w:val="00035A08"/>
    <w:rsid w:val="00035B0A"/>
    <w:rsid w:val="00035BF1"/>
    <w:rsid w:val="000361CB"/>
    <w:rsid w:val="0003629A"/>
    <w:rsid w:val="00036325"/>
    <w:rsid w:val="00036C3D"/>
    <w:rsid w:val="00036CB6"/>
    <w:rsid w:val="00036D6D"/>
    <w:rsid w:val="00036E70"/>
    <w:rsid w:val="00037046"/>
    <w:rsid w:val="00037104"/>
    <w:rsid w:val="0003711A"/>
    <w:rsid w:val="000376B8"/>
    <w:rsid w:val="000378A6"/>
    <w:rsid w:val="00037EF4"/>
    <w:rsid w:val="00037F00"/>
    <w:rsid w:val="000402C7"/>
    <w:rsid w:val="000402E7"/>
    <w:rsid w:val="000406BC"/>
    <w:rsid w:val="00040CED"/>
    <w:rsid w:val="00041DC5"/>
    <w:rsid w:val="00041EB7"/>
    <w:rsid w:val="000426DE"/>
    <w:rsid w:val="0004272F"/>
    <w:rsid w:val="0004293B"/>
    <w:rsid w:val="00043465"/>
    <w:rsid w:val="000434AB"/>
    <w:rsid w:val="00043C66"/>
    <w:rsid w:val="000445E3"/>
    <w:rsid w:val="0004477C"/>
    <w:rsid w:val="00044F17"/>
    <w:rsid w:val="000455AE"/>
    <w:rsid w:val="00045D47"/>
    <w:rsid w:val="00046171"/>
    <w:rsid w:val="0004618C"/>
    <w:rsid w:val="00046A4D"/>
    <w:rsid w:val="00046B58"/>
    <w:rsid w:val="00046B60"/>
    <w:rsid w:val="00046C17"/>
    <w:rsid w:val="00047BA6"/>
    <w:rsid w:val="00047D72"/>
    <w:rsid w:val="00047EDB"/>
    <w:rsid w:val="00050169"/>
    <w:rsid w:val="000505D4"/>
    <w:rsid w:val="000508DC"/>
    <w:rsid w:val="000511EF"/>
    <w:rsid w:val="000518B9"/>
    <w:rsid w:val="00053094"/>
    <w:rsid w:val="00053101"/>
    <w:rsid w:val="00053290"/>
    <w:rsid w:val="0005350F"/>
    <w:rsid w:val="00053510"/>
    <w:rsid w:val="00053B07"/>
    <w:rsid w:val="00053B70"/>
    <w:rsid w:val="00053CFB"/>
    <w:rsid w:val="00053F3A"/>
    <w:rsid w:val="000548F4"/>
    <w:rsid w:val="00055192"/>
    <w:rsid w:val="000553B8"/>
    <w:rsid w:val="000556D6"/>
    <w:rsid w:val="00056073"/>
    <w:rsid w:val="0005648D"/>
    <w:rsid w:val="00056675"/>
    <w:rsid w:val="00056719"/>
    <w:rsid w:val="00056849"/>
    <w:rsid w:val="00056926"/>
    <w:rsid w:val="000569E0"/>
    <w:rsid w:val="00056BB5"/>
    <w:rsid w:val="00056C2D"/>
    <w:rsid w:val="00057064"/>
    <w:rsid w:val="00057A08"/>
    <w:rsid w:val="00057A33"/>
    <w:rsid w:val="00057A76"/>
    <w:rsid w:val="00057CA8"/>
    <w:rsid w:val="000611A1"/>
    <w:rsid w:val="00061944"/>
    <w:rsid w:val="00061D24"/>
    <w:rsid w:val="0006221C"/>
    <w:rsid w:val="000629E5"/>
    <w:rsid w:val="00062AB8"/>
    <w:rsid w:val="00062AF1"/>
    <w:rsid w:val="00062DE2"/>
    <w:rsid w:val="000630B4"/>
    <w:rsid w:val="00063D62"/>
    <w:rsid w:val="000642F9"/>
    <w:rsid w:val="00064361"/>
    <w:rsid w:val="000652F4"/>
    <w:rsid w:val="00065B3C"/>
    <w:rsid w:val="00066868"/>
    <w:rsid w:val="00066871"/>
    <w:rsid w:val="00067302"/>
    <w:rsid w:val="0006768A"/>
    <w:rsid w:val="000678E9"/>
    <w:rsid w:val="000700D7"/>
    <w:rsid w:val="0007051E"/>
    <w:rsid w:val="000713C3"/>
    <w:rsid w:val="00071498"/>
    <w:rsid w:val="00071687"/>
    <w:rsid w:val="0007180A"/>
    <w:rsid w:val="00071812"/>
    <w:rsid w:val="00071E69"/>
    <w:rsid w:val="00072A8F"/>
    <w:rsid w:val="00072E39"/>
    <w:rsid w:val="00073646"/>
    <w:rsid w:val="00073E38"/>
    <w:rsid w:val="00073F91"/>
    <w:rsid w:val="00075181"/>
    <w:rsid w:val="00075225"/>
    <w:rsid w:val="00075273"/>
    <w:rsid w:val="000755BD"/>
    <w:rsid w:val="00075CB0"/>
    <w:rsid w:val="00076551"/>
    <w:rsid w:val="000766AF"/>
    <w:rsid w:val="00076775"/>
    <w:rsid w:val="00076DE4"/>
    <w:rsid w:val="00077098"/>
    <w:rsid w:val="000770D1"/>
    <w:rsid w:val="00077108"/>
    <w:rsid w:val="00077117"/>
    <w:rsid w:val="0007775D"/>
    <w:rsid w:val="00077A86"/>
    <w:rsid w:val="00077C0E"/>
    <w:rsid w:val="00077D5B"/>
    <w:rsid w:val="00077FF6"/>
    <w:rsid w:val="0008092C"/>
    <w:rsid w:val="0008092E"/>
    <w:rsid w:val="00080D49"/>
    <w:rsid w:val="00080EA5"/>
    <w:rsid w:val="00081876"/>
    <w:rsid w:val="00081F24"/>
    <w:rsid w:val="000822A6"/>
    <w:rsid w:val="0008245A"/>
    <w:rsid w:val="00082AEE"/>
    <w:rsid w:val="00082FAB"/>
    <w:rsid w:val="000833B1"/>
    <w:rsid w:val="000833CA"/>
    <w:rsid w:val="0008347E"/>
    <w:rsid w:val="0008354C"/>
    <w:rsid w:val="00083891"/>
    <w:rsid w:val="00083B8B"/>
    <w:rsid w:val="0008401A"/>
    <w:rsid w:val="0008404B"/>
    <w:rsid w:val="00084273"/>
    <w:rsid w:val="0008476E"/>
    <w:rsid w:val="00084BE2"/>
    <w:rsid w:val="00084E1B"/>
    <w:rsid w:val="00084F8B"/>
    <w:rsid w:val="00085059"/>
    <w:rsid w:val="00085463"/>
    <w:rsid w:val="00085A78"/>
    <w:rsid w:val="0008638E"/>
    <w:rsid w:val="00087087"/>
    <w:rsid w:val="0008739D"/>
    <w:rsid w:val="000879EF"/>
    <w:rsid w:val="00087A8C"/>
    <w:rsid w:val="00087C49"/>
    <w:rsid w:val="00090414"/>
    <w:rsid w:val="0009051F"/>
    <w:rsid w:val="000916DF"/>
    <w:rsid w:val="00091721"/>
    <w:rsid w:val="0009180B"/>
    <w:rsid w:val="00091C15"/>
    <w:rsid w:val="00091CBF"/>
    <w:rsid w:val="00093A0C"/>
    <w:rsid w:val="00093BAF"/>
    <w:rsid w:val="00094055"/>
    <w:rsid w:val="00094161"/>
    <w:rsid w:val="0009426A"/>
    <w:rsid w:val="000943F9"/>
    <w:rsid w:val="00094596"/>
    <w:rsid w:val="00094618"/>
    <w:rsid w:val="0009484F"/>
    <w:rsid w:val="000948CD"/>
    <w:rsid w:val="000955ED"/>
    <w:rsid w:val="000956F2"/>
    <w:rsid w:val="00095721"/>
    <w:rsid w:val="00095AD6"/>
    <w:rsid w:val="00095C4F"/>
    <w:rsid w:val="0009660D"/>
    <w:rsid w:val="00097203"/>
    <w:rsid w:val="000976D1"/>
    <w:rsid w:val="0009796D"/>
    <w:rsid w:val="000A04AC"/>
    <w:rsid w:val="000A0530"/>
    <w:rsid w:val="000A058B"/>
    <w:rsid w:val="000A05FA"/>
    <w:rsid w:val="000A0EE8"/>
    <w:rsid w:val="000A1E77"/>
    <w:rsid w:val="000A25DD"/>
    <w:rsid w:val="000A2676"/>
    <w:rsid w:val="000A27C0"/>
    <w:rsid w:val="000A2E05"/>
    <w:rsid w:val="000A3CA4"/>
    <w:rsid w:val="000A3DE3"/>
    <w:rsid w:val="000A3F75"/>
    <w:rsid w:val="000A44ED"/>
    <w:rsid w:val="000A45BB"/>
    <w:rsid w:val="000A481D"/>
    <w:rsid w:val="000A49DA"/>
    <w:rsid w:val="000A4D59"/>
    <w:rsid w:val="000A4DBB"/>
    <w:rsid w:val="000A503B"/>
    <w:rsid w:val="000A5769"/>
    <w:rsid w:val="000A584E"/>
    <w:rsid w:val="000A5A0D"/>
    <w:rsid w:val="000A5CD3"/>
    <w:rsid w:val="000A5D82"/>
    <w:rsid w:val="000A6355"/>
    <w:rsid w:val="000A63E6"/>
    <w:rsid w:val="000A64D8"/>
    <w:rsid w:val="000A6515"/>
    <w:rsid w:val="000A6A86"/>
    <w:rsid w:val="000A6B85"/>
    <w:rsid w:val="000A6E2D"/>
    <w:rsid w:val="000A6FBA"/>
    <w:rsid w:val="000A7262"/>
    <w:rsid w:val="000A760E"/>
    <w:rsid w:val="000A7799"/>
    <w:rsid w:val="000A7A22"/>
    <w:rsid w:val="000A7CCE"/>
    <w:rsid w:val="000A7FE9"/>
    <w:rsid w:val="000B0607"/>
    <w:rsid w:val="000B09F5"/>
    <w:rsid w:val="000B1053"/>
    <w:rsid w:val="000B19F7"/>
    <w:rsid w:val="000B1D38"/>
    <w:rsid w:val="000B24C0"/>
    <w:rsid w:val="000B2940"/>
    <w:rsid w:val="000B2A57"/>
    <w:rsid w:val="000B3A9A"/>
    <w:rsid w:val="000B3D75"/>
    <w:rsid w:val="000B3EF9"/>
    <w:rsid w:val="000B4250"/>
    <w:rsid w:val="000B452C"/>
    <w:rsid w:val="000B5062"/>
    <w:rsid w:val="000B5A72"/>
    <w:rsid w:val="000B61CC"/>
    <w:rsid w:val="000B6950"/>
    <w:rsid w:val="000B69A6"/>
    <w:rsid w:val="000B69BA"/>
    <w:rsid w:val="000B6A29"/>
    <w:rsid w:val="000B6BA0"/>
    <w:rsid w:val="000B6D14"/>
    <w:rsid w:val="000B6F26"/>
    <w:rsid w:val="000B74C6"/>
    <w:rsid w:val="000B7CE1"/>
    <w:rsid w:val="000B7E45"/>
    <w:rsid w:val="000B7FFA"/>
    <w:rsid w:val="000C0362"/>
    <w:rsid w:val="000C16FA"/>
    <w:rsid w:val="000C27ED"/>
    <w:rsid w:val="000C280F"/>
    <w:rsid w:val="000C2A31"/>
    <w:rsid w:val="000C2F39"/>
    <w:rsid w:val="000C304D"/>
    <w:rsid w:val="000C3103"/>
    <w:rsid w:val="000C35C0"/>
    <w:rsid w:val="000C365A"/>
    <w:rsid w:val="000C38B6"/>
    <w:rsid w:val="000C3E92"/>
    <w:rsid w:val="000C3FC3"/>
    <w:rsid w:val="000C4A8A"/>
    <w:rsid w:val="000C5029"/>
    <w:rsid w:val="000C5300"/>
    <w:rsid w:val="000C5A58"/>
    <w:rsid w:val="000C5D60"/>
    <w:rsid w:val="000C5E6E"/>
    <w:rsid w:val="000C5F0E"/>
    <w:rsid w:val="000C6318"/>
    <w:rsid w:val="000C6400"/>
    <w:rsid w:val="000C6A4C"/>
    <w:rsid w:val="000C7EAA"/>
    <w:rsid w:val="000C7F7F"/>
    <w:rsid w:val="000D08CD"/>
    <w:rsid w:val="000D0B85"/>
    <w:rsid w:val="000D1465"/>
    <w:rsid w:val="000D171D"/>
    <w:rsid w:val="000D1C86"/>
    <w:rsid w:val="000D24CC"/>
    <w:rsid w:val="000D2B42"/>
    <w:rsid w:val="000D2D51"/>
    <w:rsid w:val="000D2E05"/>
    <w:rsid w:val="000D393D"/>
    <w:rsid w:val="000D3D1B"/>
    <w:rsid w:val="000D3DD3"/>
    <w:rsid w:val="000D4113"/>
    <w:rsid w:val="000D4457"/>
    <w:rsid w:val="000D45EB"/>
    <w:rsid w:val="000D474E"/>
    <w:rsid w:val="000D4858"/>
    <w:rsid w:val="000D495D"/>
    <w:rsid w:val="000D4E32"/>
    <w:rsid w:val="000D4FE1"/>
    <w:rsid w:val="000D5264"/>
    <w:rsid w:val="000D531D"/>
    <w:rsid w:val="000D547D"/>
    <w:rsid w:val="000D6A5E"/>
    <w:rsid w:val="000D6F36"/>
    <w:rsid w:val="000D6F73"/>
    <w:rsid w:val="000D74ED"/>
    <w:rsid w:val="000D7E6C"/>
    <w:rsid w:val="000E04B0"/>
    <w:rsid w:val="000E080F"/>
    <w:rsid w:val="000E0E76"/>
    <w:rsid w:val="000E16B9"/>
    <w:rsid w:val="000E16EF"/>
    <w:rsid w:val="000E1916"/>
    <w:rsid w:val="000E2470"/>
    <w:rsid w:val="000E2755"/>
    <w:rsid w:val="000E306B"/>
    <w:rsid w:val="000E3627"/>
    <w:rsid w:val="000E3FF0"/>
    <w:rsid w:val="000E4725"/>
    <w:rsid w:val="000E48DE"/>
    <w:rsid w:val="000E4D91"/>
    <w:rsid w:val="000E52EA"/>
    <w:rsid w:val="000E530B"/>
    <w:rsid w:val="000E5521"/>
    <w:rsid w:val="000E5528"/>
    <w:rsid w:val="000E5714"/>
    <w:rsid w:val="000E57F0"/>
    <w:rsid w:val="000E5832"/>
    <w:rsid w:val="000E596E"/>
    <w:rsid w:val="000E5B29"/>
    <w:rsid w:val="000E5D00"/>
    <w:rsid w:val="000E6B82"/>
    <w:rsid w:val="000E6E68"/>
    <w:rsid w:val="000E7017"/>
    <w:rsid w:val="000E79FB"/>
    <w:rsid w:val="000E7F99"/>
    <w:rsid w:val="000F016D"/>
    <w:rsid w:val="000F02EF"/>
    <w:rsid w:val="000F0AB1"/>
    <w:rsid w:val="000F0F80"/>
    <w:rsid w:val="000F1CE6"/>
    <w:rsid w:val="000F1EED"/>
    <w:rsid w:val="000F22CC"/>
    <w:rsid w:val="000F2743"/>
    <w:rsid w:val="000F2C7C"/>
    <w:rsid w:val="000F33EB"/>
    <w:rsid w:val="000F34B4"/>
    <w:rsid w:val="000F3610"/>
    <w:rsid w:val="000F38B1"/>
    <w:rsid w:val="000F3B2C"/>
    <w:rsid w:val="000F3B39"/>
    <w:rsid w:val="000F491E"/>
    <w:rsid w:val="000F49FB"/>
    <w:rsid w:val="000F5608"/>
    <w:rsid w:val="000F579D"/>
    <w:rsid w:val="000F5877"/>
    <w:rsid w:val="000F587C"/>
    <w:rsid w:val="000F5C53"/>
    <w:rsid w:val="000F5D2F"/>
    <w:rsid w:val="000F62C8"/>
    <w:rsid w:val="000F62F4"/>
    <w:rsid w:val="000F677A"/>
    <w:rsid w:val="000F7250"/>
    <w:rsid w:val="000F7EDC"/>
    <w:rsid w:val="0010045D"/>
    <w:rsid w:val="0010047A"/>
    <w:rsid w:val="0010055A"/>
    <w:rsid w:val="00100B63"/>
    <w:rsid w:val="00102C17"/>
    <w:rsid w:val="00103533"/>
    <w:rsid w:val="0010362E"/>
    <w:rsid w:val="00103688"/>
    <w:rsid w:val="00103DDD"/>
    <w:rsid w:val="00103EA6"/>
    <w:rsid w:val="001049AD"/>
    <w:rsid w:val="00104C9E"/>
    <w:rsid w:val="00104EB7"/>
    <w:rsid w:val="001053A2"/>
    <w:rsid w:val="00105B85"/>
    <w:rsid w:val="00106014"/>
    <w:rsid w:val="001061AC"/>
    <w:rsid w:val="0010791D"/>
    <w:rsid w:val="0011076B"/>
    <w:rsid w:val="00110D99"/>
    <w:rsid w:val="001112F8"/>
    <w:rsid w:val="001115AE"/>
    <w:rsid w:val="001118AE"/>
    <w:rsid w:val="00111ABC"/>
    <w:rsid w:val="00111CB1"/>
    <w:rsid w:val="00111F59"/>
    <w:rsid w:val="00112776"/>
    <w:rsid w:val="001127A0"/>
    <w:rsid w:val="00112842"/>
    <w:rsid w:val="001128C0"/>
    <w:rsid w:val="00112E4C"/>
    <w:rsid w:val="001130D7"/>
    <w:rsid w:val="00113293"/>
    <w:rsid w:val="00113CF9"/>
    <w:rsid w:val="001141DF"/>
    <w:rsid w:val="001141FB"/>
    <w:rsid w:val="00114370"/>
    <w:rsid w:val="001144BD"/>
    <w:rsid w:val="00114583"/>
    <w:rsid w:val="001145EC"/>
    <w:rsid w:val="00114BE5"/>
    <w:rsid w:val="00114CA6"/>
    <w:rsid w:val="00115E9F"/>
    <w:rsid w:val="001160F0"/>
    <w:rsid w:val="00116169"/>
    <w:rsid w:val="0011661E"/>
    <w:rsid w:val="00116A7D"/>
    <w:rsid w:val="00116C70"/>
    <w:rsid w:val="00116FD6"/>
    <w:rsid w:val="001176A5"/>
    <w:rsid w:val="00117ACA"/>
    <w:rsid w:val="00117F51"/>
    <w:rsid w:val="00120BDF"/>
    <w:rsid w:val="00120C75"/>
    <w:rsid w:val="001213B1"/>
    <w:rsid w:val="00121781"/>
    <w:rsid w:val="0012206B"/>
    <w:rsid w:val="00122655"/>
    <w:rsid w:val="00122848"/>
    <w:rsid w:val="001228AB"/>
    <w:rsid w:val="00122B9E"/>
    <w:rsid w:val="0012308E"/>
    <w:rsid w:val="001231E1"/>
    <w:rsid w:val="00123BC9"/>
    <w:rsid w:val="0012465F"/>
    <w:rsid w:val="00124B27"/>
    <w:rsid w:val="00124CAC"/>
    <w:rsid w:val="00124D1F"/>
    <w:rsid w:val="00124E8F"/>
    <w:rsid w:val="0012527F"/>
    <w:rsid w:val="00125473"/>
    <w:rsid w:val="001256B1"/>
    <w:rsid w:val="00125C8D"/>
    <w:rsid w:val="0012631D"/>
    <w:rsid w:val="00126559"/>
    <w:rsid w:val="001265D5"/>
    <w:rsid w:val="00126B41"/>
    <w:rsid w:val="00126BD2"/>
    <w:rsid w:val="001279AA"/>
    <w:rsid w:val="00127C1A"/>
    <w:rsid w:val="00127F70"/>
    <w:rsid w:val="0013000C"/>
    <w:rsid w:val="00130D32"/>
    <w:rsid w:val="00130E8F"/>
    <w:rsid w:val="00131DE8"/>
    <w:rsid w:val="001326E8"/>
    <w:rsid w:val="00132970"/>
    <w:rsid w:val="001333E5"/>
    <w:rsid w:val="001338F1"/>
    <w:rsid w:val="00133B43"/>
    <w:rsid w:val="00133EAE"/>
    <w:rsid w:val="00134115"/>
    <w:rsid w:val="00134389"/>
    <w:rsid w:val="001344AD"/>
    <w:rsid w:val="0013466B"/>
    <w:rsid w:val="001348E4"/>
    <w:rsid w:val="00134CFA"/>
    <w:rsid w:val="00134FD3"/>
    <w:rsid w:val="001351BC"/>
    <w:rsid w:val="00135577"/>
    <w:rsid w:val="00135761"/>
    <w:rsid w:val="001357BC"/>
    <w:rsid w:val="00136316"/>
    <w:rsid w:val="00136B4D"/>
    <w:rsid w:val="00136FA5"/>
    <w:rsid w:val="001370A4"/>
    <w:rsid w:val="00137460"/>
    <w:rsid w:val="001374F1"/>
    <w:rsid w:val="001376EE"/>
    <w:rsid w:val="0014127C"/>
    <w:rsid w:val="001416E0"/>
    <w:rsid w:val="001417E6"/>
    <w:rsid w:val="00141B90"/>
    <w:rsid w:val="00141C53"/>
    <w:rsid w:val="00141D20"/>
    <w:rsid w:val="001424D3"/>
    <w:rsid w:val="001425E1"/>
    <w:rsid w:val="00142B87"/>
    <w:rsid w:val="00142D4F"/>
    <w:rsid w:val="00142E02"/>
    <w:rsid w:val="00142FE9"/>
    <w:rsid w:val="00143455"/>
    <w:rsid w:val="001434B3"/>
    <w:rsid w:val="001435C4"/>
    <w:rsid w:val="001436D2"/>
    <w:rsid w:val="001440C6"/>
    <w:rsid w:val="001446E6"/>
    <w:rsid w:val="00144902"/>
    <w:rsid w:val="0014495B"/>
    <w:rsid w:val="0014540D"/>
    <w:rsid w:val="00145848"/>
    <w:rsid w:val="00145F1C"/>
    <w:rsid w:val="00146E0D"/>
    <w:rsid w:val="001472AB"/>
    <w:rsid w:val="00147917"/>
    <w:rsid w:val="00147A0C"/>
    <w:rsid w:val="00147DC0"/>
    <w:rsid w:val="001505B2"/>
    <w:rsid w:val="00150725"/>
    <w:rsid w:val="00150E47"/>
    <w:rsid w:val="00151162"/>
    <w:rsid w:val="001514C8"/>
    <w:rsid w:val="00151764"/>
    <w:rsid w:val="00151B80"/>
    <w:rsid w:val="00151D81"/>
    <w:rsid w:val="00151DE9"/>
    <w:rsid w:val="00152506"/>
    <w:rsid w:val="001525EB"/>
    <w:rsid w:val="001529BF"/>
    <w:rsid w:val="00152ACC"/>
    <w:rsid w:val="00152B7B"/>
    <w:rsid w:val="00152BEC"/>
    <w:rsid w:val="001533AA"/>
    <w:rsid w:val="001533EB"/>
    <w:rsid w:val="00153DDA"/>
    <w:rsid w:val="001542C3"/>
    <w:rsid w:val="00154418"/>
    <w:rsid w:val="00154432"/>
    <w:rsid w:val="0015444D"/>
    <w:rsid w:val="0015458D"/>
    <w:rsid w:val="00154DF0"/>
    <w:rsid w:val="00155ABA"/>
    <w:rsid w:val="00155B26"/>
    <w:rsid w:val="0015605E"/>
    <w:rsid w:val="00156208"/>
    <w:rsid w:val="00156380"/>
    <w:rsid w:val="0015715D"/>
    <w:rsid w:val="001576AE"/>
    <w:rsid w:val="00157B1D"/>
    <w:rsid w:val="00157CD8"/>
    <w:rsid w:val="00160B67"/>
    <w:rsid w:val="001614D0"/>
    <w:rsid w:val="00161D85"/>
    <w:rsid w:val="00162024"/>
    <w:rsid w:val="0016215F"/>
    <w:rsid w:val="001627E0"/>
    <w:rsid w:val="00162BB0"/>
    <w:rsid w:val="00162C7C"/>
    <w:rsid w:val="001630B0"/>
    <w:rsid w:val="001631F9"/>
    <w:rsid w:val="001633D3"/>
    <w:rsid w:val="00163BB6"/>
    <w:rsid w:val="001640C1"/>
    <w:rsid w:val="00164364"/>
    <w:rsid w:val="00164722"/>
    <w:rsid w:val="001647A3"/>
    <w:rsid w:val="00164D77"/>
    <w:rsid w:val="00164DBD"/>
    <w:rsid w:val="00164F1D"/>
    <w:rsid w:val="00165015"/>
    <w:rsid w:val="00165B92"/>
    <w:rsid w:val="00165C00"/>
    <w:rsid w:val="00165E95"/>
    <w:rsid w:val="001660CB"/>
    <w:rsid w:val="0016618E"/>
    <w:rsid w:val="001668BA"/>
    <w:rsid w:val="00166C94"/>
    <w:rsid w:val="00167221"/>
    <w:rsid w:val="00167345"/>
    <w:rsid w:val="001674B2"/>
    <w:rsid w:val="00167EB4"/>
    <w:rsid w:val="00167EFA"/>
    <w:rsid w:val="00171737"/>
    <w:rsid w:val="00171C1D"/>
    <w:rsid w:val="0017272F"/>
    <w:rsid w:val="0017276A"/>
    <w:rsid w:val="001730AB"/>
    <w:rsid w:val="0017336E"/>
    <w:rsid w:val="00173AA0"/>
    <w:rsid w:val="00173CA2"/>
    <w:rsid w:val="00174147"/>
    <w:rsid w:val="00174289"/>
    <w:rsid w:val="00174592"/>
    <w:rsid w:val="0017479A"/>
    <w:rsid w:val="00175133"/>
    <w:rsid w:val="0017602C"/>
    <w:rsid w:val="00176469"/>
    <w:rsid w:val="0017676C"/>
    <w:rsid w:val="00176DCB"/>
    <w:rsid w:val="00177650"/>
    <w:rsid w:val="0017790C"/>
    <w:rsid w:val="00180133"/>
    <w:rsid w:val="00180A7D"/>
    <w:rsid w:val="0018147A"/>
    <w:rsid w:val="00181977"/>
    <w:rsid w:val="00181EAC"/>
    <w:rsid w:val="001820E3"/>
    <w:rsid w:val="001822D6"/>
    <w:rsid w:val="001827DB"/>
    <w:rsid w:val="00182F0B"/>
    <w:rsid w:val="00183011"/>
    <w:rsid w:val="00183A1D"/>
    <w:rsid w:val="00183CEC"/>
    <w:rsid w:val="00183D0F"/>
    <w:rsid w:val="00183E4D"/>
    <w:rsid w:val="00183E9A"/>
    <w:rsid w:val="0018421D"/>
    <w:rsid w:val="00184624"/>
    <w:rsid w:val="001849BC"/>
    <w:rsid w:val="00184B18"/>
    <w:rsid w:val="00184B97"/>
    <w:rsid w:val="00185BC0"/>
    <w:rsid w:val="00185C42"/>
    <w:rsid w:val="00185C70"/>
    <w:rsid w:val="001860DD"/>
    <w:rsid w:val="00186884"/>
    <w:rsid w:val="00186A0A"/>
    <w:rsid w:val="00186BDD"/>
    <w:rsid w:val="00186BF0"/>
    <w:rsid w:val="00186F2E"/>
    <w:rsid w:val="00187AAA"/>
    <w:rsid w:val="0019059B"/>
    <w:rsid w:val="00190649"/>
    <w:rsid w:val="00190B8A"/>
    <w:rsid w:val="00191790"/>
    <w:rsid w:val="001918D5"/>
    <w:rsid w:val="00191940"/>
    <w:rsid w:val="00191A66"/>
    <w:rsid w:val="00191AA4"/>
    <w:rsid w:val="00191AAC"/>
    <w:rsid w:val="00191B0B"/>
    <w:rsid w:val="001924C2"/>
    <w:rsid w:val="001928EA"/>
    <w:rsid w:val="0019291B"/>
    <w:rsid w:val="00192AA7"/>
    <w:rsid w:val="00192D1B"/>
    <w:rsid w:val="00193171"/>
    <w:rsid w:val="001933BE"/>
    <w:rsid w:val="0019351E"/>
    <w:rsid w:val="0019385F"/>
    <w:rsid w:val="00193FDA"/>
    <w:rsid w:val="001945DF"/>
    <w:rsid w:val="0019578E"/>
    <w:rsid w:val="00195E37"/>
    <w:rsid w:val="001967FF"/>
    <w:rsid w:val="00196A4D"/>
    <w:rsid w:val="00196CC9"/>
    <w:rsid w:val="00196EB8"/>
    <w:rsid w:val="00196F9C"/>
    <w:rsid w:val="001972A9"/>
    <w:rsid w:val="001975A8"/>
    <w:rsid w:val="00197D3D"/>
    <w:rsid w:val="001A0B09"/>
    <w:rsid w:val="001A0BCC"/>
    <w:rsid w:val="001A0F0D"/>
    <w:rsid w:val="001A159A"/>
    <w:rsid w:val="001A1C09"/>
    <w:rsid w:val="001A1E3C"/>
    <w:rsid w:val="001A2573"/>
    <w:rsid w:val="001A276E"/>
    <w:rsid w:val="001A2A14"/>
    <w:rsid w:val="001A3089"/>
    <w:rsid w:val="001A398C"/>
    <w:rsid w:val="001A3AE1"/>
    <w:rsid w:val="001A3AF2"/>
    <w:rsid w:val="001A3F06"/>
    <w:rsid w:val="001A484A"/>
    <w:rsid w:val="001A4A96"/>
    <w:rsid w:val="001A4C1D"/>
    <w:rsid w:val="001A5182"/>
    <w:rsid w:val="001A56F3"/>
    <w:rsid w:val="001A5CE9"/>
    <w:rsid w:val="001A5E9A"/>
    <w:rsid w:val="001A5EB4"/>
    <w:rsid w:val="001A5FD3"/>
    <w:rsid w:val="001A6769"/>
    <w:rsid w:val="001A6786"/>
    <w:rsid w:val="001A6ACB"/>
    <w:rsid w:val="001A6D93"/>
    <w:rsid w:val="001A6E3E"/>
    <w:rsid w:val="001A7855"/>
    <w:rsid w:val="001A7A18"/>
    <w:rsid w:val="001A7CA7"/>
    <w:rsid w:val="001A7D01"/>
    <w:rsid w:val="001A7EFF"/>
    <w:rsid w:val="001A7FC2"/>
    <w:rsid w:val="001B0031"/>
    <w:rsid w:val="001B06DE"/>
    <w:rsid w:val="001B0FB6"/>
    <w:rsid w:val="001B1175"/>
    <w:rsid w:val="001B13DA"/>
    <w:rsid w:val="001B1E26"/>
    <w:rsid w:val="001B25C1"/>
    <w:rsid w:val="001B261E"/>
    <w:rsid w:val="001B2937"/>
    <w:rsid w:val="001B2CCD"/>
    <w:rsid w:val="001B2E82"/>
    <w:rsid w:val="001B3176"/>
    <w:rsid w:val="001B3202"/>
    <w:rsid w:val="001B3271"/>
    <w:rsid w:val="001B3798"/>
    <w:rsid w:val="001B425B"/>
    <w:rsid w:val="001B42B3"/>
    <w:rsid w:val="001B5E6A"/>
    <w:rsid w:val="001B753F"/>
    <w:rsid w:val="001B768E"/>
    <w:rsid w:val="001B7BB7"/>
    <w:rsid w:val="001C02D0"/>
    <w:rsid w:val="001C03E3"/>
    <w:rsid w:val="001C0573"/>
    <w:rsid w:val="001C0815"/>
    <w:rsid w:val="001C0BA3"/>
    <w:rsid w:val="001C14FC"/>
    <w:rsid w:val="001C1542"/>
    <w:rsid w:val="001C18E4"/>
    <w:rsid w:val="001C1B45"/>
    <w:rsid w:val="001C1D2F"/>
    <w:rsid w:val="001C1EA1"/>
    <w:rsid w:val="001C1F85"/>
    <w:rsid w:val="001C2157"/>
    <w:rsid w:val="001C2254"/>
    <w:rsid w:val="001C29EC"/>
    <w:rsid w:val="001C2DB3"/>
    <w:rsid w:val="001C30FA"/>
    <w:rsid w:val="001C3280"/>
    <w:rsid w:val="001C33F0"/>
    <w:rsid w:val="001C3442"/>
    <w:rsid w:val="001C3903"/>
    <w:rsid w:val="001C3AA6"/>
    <w:rsid w:val="001C3AE2"/>
    <w:rsid w:val="001C4318"/>
    <w:rsid w:val="001C433C"/>
    <w:rsid w:val="001C4701"/>
    <w:rsid w:val="001C4904"/>
    <w:rsid w:val="001C666E"/>
    <w:rsid w:val="001C71E2"/>
    <w:rsid w:val="001C7226"/>
    <w:rsid w:val="001C73F2"/>
    <w:rsid w:val="001C7914"/>
    <w:rsid w:val="001D0599"/>
    <w:rsid w:val="001D066B"/>
    <w:rsid w:val="001D0DE2"/>
    <w:rsid w:val="001D1239"/>
    <w:rsid w:val="001D1355"/>
    <w:rsid w:val="001D13AD"/>
    <w:rsid w:val="001D1C18"/>
    <w:rsid w:val="001D1E78"/>
    <w:rsid w:val="001D2428"/>
    <w:rsid w:val="001D2550"/>
    <w:rsid w:val="001D2FD9"/>
    <w:rsid w:val="001D3241"/>
    <w:rsid w:val="001D34C8"/>
    <w:rsid w:val="001D355B"/>
    <w:rsid w:val="001D3607"/>
    <w:rsid w:val="001D39B9"/>
    <w:rsid w:val="001D40CC"/>
    <w:rsid w:val="001D506E"/>
    <w:rsid w:val="001D5A74"/>
    <w:rsid w:val="001D649C"/>
    <w:rsid w:val="001D65FD"/>
    <w:rsid w:val="001D6E6B"/>
    <w:rsid w:val="001D6EB7"/>
    <w:rsid w:val="001D72CC"/>
    <w:rsid w:val="001D73DE"/>
    <w:rsid w:val="001D7560"/>
    <w:rsid w:val="001D794F"/>
    <w:rsid w:val="001D7C72"/>
    <w:rsid w:val="001E00CA"/>
    <w:rsid w:val="001E00E1"/>
    <w:rsid w:val="001E01F2"/>
    <w:rsid w:val="001E0947"/>
    <w:rsid w:val="001E0AD2"/>
    <w:rsid w:val="001E11B8"/>
    <w:rsid w:val="001E12C0"/>
    <w:rsid w:val="001E12C6"/>
    <w:rsid w:val="001E1697"/>
    <w:rsid w:val="001E23AA"/>
    <w:rsid w:val="001E2515"/>
    <w:rsid w:val="001E2682"/>
    <w:rsid w:val="001E2BF1"/>
    <w:rsid w:val="001E30D4"/>
    <w:rsid w:val="001E3636"/>
    <w:rsid w:val="001E3AD0"/>
    <w:rsid w:val="001E3BFE"/>
    <w:rsid w:val="001E3D04"/>
    <w:rsid w:val="001E3EB1"/>
    <w:rsid w:val="001E3F23"/>
    <w:rsid w:val="001E49EB"/>
    <w:rsid w:val="001E6158"/>
    <w:rsid w:val="001E6206"/>
    <w:rsid w:val="001E6329"/>
    <w:rsid w:val="001E681C"/>
    <w:rsid w:val="001E6A5E"/>
    <w:rsid w:val="001E6B61"/>
    <w:rsid w:val="001E7AD7"/>
    <w:rsid w:val="001E7C8E"/>
    <w:rsid w:val="001F0003"/>
    <w:rsid w:val="001F029A"/>
    <w:rsid w:val="001F0427"/>
    <w:rsid w:val="001F057A"/>
    <w:rsid w:val="001F0BE4"/>
    <w:rsid w:val="001F0FC9"/>
    <w:rsid w:val="001F171B"/>
    <w:rsid w:val="001F1DBF"/>
    <w:rsid w:val="001F1E06"/>
    <w:rsid w:val="001F21A2"/>
    <w:rsid w:val="001F21BE"/>
    <w:rsid w:val="001F23DD"/>
    <w:rsid w:val="001F240A"/>
    <w:rsid w:val="001F252F"/>
    <w:rsid w:val="001F3B5B"/>
    <w:rsid w:val="001F3B97"/>
    <w:rsid w:val="001F44AE"/>
    <w:rsid w:val="001F4644"/>
    <w:rsid w:val="001F4C21"/>
    <w:rsid w:val="001F4F05"/>
    <w:rsid w:val="001F5A6D"/>
    <w:rsid w:val="001F5AA6"/>
    <w:rsid w:val="001F5C1D"/>
    <w:rsid w:val="001F5CC8"/>
    <w:rsid w:val="001F5E91"/>
    <w:rsid w:val="001F5F28"/>
    <w:rsid w:val="001F605D"/>
    <w:rsid w:val="001F6550"/>
    <w:rsid w:val="001F6F86"/>
    <w:rsid w:val="001F7022"/>
    <w:rsid w:val="001F7200"/>
    <w:rsid w:val="001F73CA"/>
    <w:rsid w:val="001F7926"/>
    <w:rsid w:val="001F7DC7"/>
    <w:rsid w:val="00200E91"/>
    <w:rsid w:val="00201367"/>
    <w:rsid w:val="00201BE3"/>
    <w:rsid w:val="00201C7F"/>
    <w:rsid w:val="0020220C"/>
    <w:rsid w:val="002024FA"/>
    <w:rsid w:val="00202829"/>
    <w:rsid w:val="00202BDA"/>
    <w:rsid w:val="00202D6B"/>
    <w:rsid w:val="00202EF1"/>
    <w:rsid w:val="00203153"/>
    <w:rsid w:val="00203C3C"/>
    <w:rsid w:val="002046B5"/>
    <w:rsid w:val="00204DEC"/>
    <w:rsid w:val="002052B1"/>
    <w:rsid w:val="002052EE"/>
    <w:rsid w:val="002053B1"/>
    <w:rsid w:val="00205575"/>
    <w:rsid w:val="002056D1"/>
    <w:rsid w:val="00205C89"/>
    <w:rsid w:val="00206421"/>
    <w:rsid w:val="00206767"/>
    <w:rsid w:val="00206B4C"/>
    <w:rsid w:val="00207051"/>
    <w:rsid w:val="00207963"/>
    <w:rsid w:val="00207B44"/>
    <w:rsid w:val="00207F30"/>
    <w:rsid w:val="00207F8E"/>
    <w:rsid w:val="00210885"/>
    <w:rsid w:val="00210915"/>
    <w:rsid w:val="002114EE"/>
    <w:rsid w:val="0021194A"/>
    <w:rsid w:val="00211AA9"/>
    <w:rsid w:val="00211E58"/>
    <w:rsid w:val="00211FA8"/>
    <w:rsid w:val="0021210C"/>
    <w:rsid w:val="00212126"/>
    <w:rsid w:val="002122E8"/>
    <w:rsid w:val="0021230E"/>
    <w:rsid w:val="002124AA"/>
    <w:rsid w:val="00212516"/>
    <w:rsid w:val="002125A5"/>
    <w:rsid w:val="00212725"/>
    <w:rsid w:val="00212753"/>
    <w:rsid w:val="002127F9"/>
    <w:rsid w:val="002129A5"/>
    <w:rsid w:val="00212F77"/>
    <w:rsid w:val="00213207"/>
    <w:rsid w:val="002134A2"/>
    <w:rsid w:val="00215947"/>
    <w:rsid w:val="00215FD1"/>
    <w:rsid w:val="002163D4"/>
    <w:rsid w:val="00216442"/>
    <w:rsid w:val="00216948"/>
    <w:rsid w:val="00216B07"/>
    <w:rsid w:val="00216EFE"/>
    <w:rsid w:val="002170EB"/>
    <w:rsid w:val="00217B91"/>
    <w:rsid w:val="002208BC"/>
    <w:rsid w:val="002208FF"/>
    <w:rsid w:val="00220953"/>
    <w:rsid w:val="00220B8C"/>
    <w:rsid w:val="00221127"/>
    <w:rsid w:val="0022194B"/>
    <w:rsid w:val="00221B51"/>
    <w:rsid w:val="00221D3A"/>
    <w:rsid w:val="002228EF"/>
    <w:rsid w:val="00222C6E"/>
    <w:rsid w:val="002234A3"/>
    <w:rsid w:val="00224269"/>
    <w:rsid w:val="002243D6"/>
    <w:rsid w:val="00224B11"/>
    <w:rsid w:val="00224CA1"/>
    <w:rsid w:val="00224FDA"/>
    <w:rsid w:val="0022525E"/>
    <w:rsid w:val="00225276"/>
    <w:rsid w:val="00225378"/>
    <w:rsid w:val="00225774"/>
    <w:rsid w:val="00225B63"/>
    <w:rsid w:val="00226012"/>
    <w:rsid w:val="00226A75"/>
    <w:rsid w:val="00226CF0"/>
    <w:rsid w:val="00226E6A"/>
    <w:rsid w:val="00226F4A"/>
    <w:rsid w:val="0023023C"/>
    <w:rsid w:val="00230B1C"/>
    <w:rsid w:val="00230C8E"/>
    <w:rsid w:val="00230D0A"/>
    <w:rsid w:val="00230E26"/>
    <w:rsid w:val="00231090"/>
    <w:rsid w:val="002311D6"/>
    <w:rsid w:val="002312CC"/>
    <w:rsid w:val="00231B90"/>
    <w:rsid w:val="00231DDD"/>
    <w:rsid w:val="00231FDE"/>
    <w:rsid w:val="00232119"/>
    <w:rsid w:val="00232C46"/>
    <w:rsid w:val="00232D1C"/>
    <w:rsid w:val="00232E07"/>
    <w:rsid w:val="002337F0"/>
    <w:rsid w:val="00233F61"/>
    <w:rsid w:val="002343AD"/>
    <w:rsid w:val="00234531"/>
    <w:rsid w:val="002345B5"/>
    <w:rsid w:val="0023479B"/>
    <w:rsid w:val="002347C4"/>
    <w:rsid w:val="00234A73"/>
    <w:rsid w:val="0023507E"/>
    <w:rsid w:val="002351C2"/>
    <w:rsid w:val="00235D6A"/>
    <w:rsid w:val="00235F93"/>
    <w:rsid w:val="0023611A"/>
    <w:rsid w:val="00236372"/>
    <w:rsid w:val="00236FC5"/>
    <w:rsid w:val="00237150"/>
    <w:rsid w:val="002375EB"/>
    <w:rsid w:val="002406C8"/>
    <w:rsid w:val="002417A0"/>
    <w:rsid w:val="00241DDB"/>
    <w:rsid w:val="00242027"/>
    <w:rsid w:val="002424BE"/>
    <w:rsid w:val="00242933"/>
    <w:rsid w:val="00242AB9"/>
    <w:rsid w:val="00242C49"/>
    <w:rsid w:val="00242EA0"/>
    <w:rsid w:val="0024337E"/>
    <w:rsid w:val="00243B7A"/>
    <w:rsid w:val="00243C4E"/>
    <w:rsid w:val="002441CF"/>
    <w:rsid w:val="00244417"/>
    <w:rsid w:val="002445CD"/>
    <w:rsid w:val="0024462E"/>
    <w:rsid w:val="00244758"/>
    <w:rsid w:val="00244DB9"/>
    <w:rsid w:val="00244F27"/>
    <w:rsid w:val="0024525D"/>
    <w:rsid w:val="002453D9"/>
    <w:rsid w:val="0024550B"/>
    <w:rsid w:val="00245699"/>
    <w:rsid w:val="00245772"/>
    <w:rsid w:val="00245D7B"/>
    <w:rsid w:val="00245E52"/>
    <w:rsid w:val="002462A1"/>
    <w:rsid w:val="00246654"/>
    <w:rsid w:val="00246847"/>
    <w:rsid w:val="00247260"/>
    <w:rsid w:val="002472E1"/>
    <w:rsid w:val="002477B6"/>
    <w:rsid w:val="00247C0D"/>
    <w:rsid w:val="00247FD4"/>
    <w:rsid w:val="002504B3"/>
    <w:rsid w:val="0025051E"/>
    <w:rsid w:val="00250C0B"/>
    <w:rsid w:val="00250F98"/>
    <w:rsid w:val="00251859"/>
    <w:rsid w:val="00251A8B"/>
    <w:rsid w:val="00252556"/>
    <w:rsid w:val="00252773"/>
    <w:rsid w:val="00252CE3"/>
    <w:rsid w:val="00252D6C"/>
    <w:rsid w:val="00252DE9"/>
    <w:rsid w:val="00253E21"/>
    <w:rsid w:val="00253F13"/>
    <w:rsid w:val="00254A43"/>
    <w:rsid w:val="00254AF5"/>
    <w:rsid w:val="00255504"/>
    <w:rsid w:val="002559ED"/>
    <w:rsid w:val="00255EC2"/>
    <w:rsid w:val="0025700D"/>
    <w:rsid w:val="0025752F"/>
    <w:rsid w:val="00257D6D"/>
    <w:rsid w:val="00257F85"/>
    <w:rsid w:val="002601B5"/>
    <w:rsid w:val="00260365"/>
    <w:rsid w:val="002606DC"/>
    <w:rsid w:val="00260A68"/>
    <w:rsid w:val="002612E1"/>
    <w:rsid w:val="0026189D"/>
    <w:rsid w:val="00261943"/>
    <w:rsid w:val="00262116"/>
    <w:rsid w:val="00262882"/>
    <w:rsid w:val="00262918"/>
    <w:rsid w:val="002637AD"/>
    <w:rsid w:val="00263DE1"/>
    <w:rsid w:val="00263E73"/>
    <w:rsid w:val="0026438B"/>
    <w:rsid w:val="00264470"/>
    <w:rsid w:val="002648A9"/>
    <w:rsid w:val="00265288"/>
    <w:rsid w:val="00265352"/>
    <w:rsid w:val="0026580A"/>
    <w:rsid w:val="00266790"/>
    <w:rsid w:val="00266CB9"/>
    <w:rsid w:val="00266DD8"/>
    <w:rsid w:val="00266DE2"/>
    <w:rsid w:val="00267513"/>
    <w:rsid w:val="00267C41"/>
    <w:rsid w:val="00267D33"/>
    <w:rsid w:val="0027078B"/>
    <w:rsid w:val="00270883"/>
    <w:rsid w:val="00270A8E"/>
    <w:rsid w:val="0027118E"/>
    <w:rsid w:val="00271629"/>
    <w:rsid w:val="00271E39"/>
    <w:rsid w:val="002720F7"/>
    <w:rsid w:val="0027273A"/>
    <w:rsid w:val="00272F8A"/>
    <w:rsid w:val="00274E55"/>
    <w:rsid w:val="002752D7"/>
    <w:rsid w:val="00275DA9"/>
    <w:rsid w:val="0027654D"/>
    <w:rsid w:val="002767D1"/>
    <w:rsid w:val="0027694B"/>
    <w:rsid w:val="00276A7A"/>
    <w:rsid w:val="00277335"/>
    <w:rsid w:val="002775BF"/>
    <w:rsid w:val="00277879"/>
    <w:rsid w:val="0028024B"/>
    <w:rsid w:val="0028071A"/>
    <w:rsid w:val="00280C1B"/>
    <w:rsid w:val="00280CAA"/>
    <w:rsid w:val="00281247"/>
    <w:rsid w:val="00281655"/>
    <w:rsid w:val="00281681"/>
    <w:rsid w:val="00281895"/>
    <w:rsid w:val="002818F6"/>
    <w:rsid w:val="00281A93"/>
    <w:rsid w:val="00282AA6"/>
    <w:rsid w:val="00283188"/>
    <w:rsid w:val="00283444"/>
    <w:rsid w:val="002835A2"/>
    <w:rsid w:val="00283857"/>
    <w:rsid w:val="00283A29"/>
    <w:rsid w:val="00283E3D"/>
    <w:rsid w:val="00284302"/>
    <w:rsid w:val="00284695"/>
    <w:rsid w:val="0028537D"/>
    <w:rsid w:val="002855A5"/>
    <w:rsid w:val="002856FF"/>
    <w:rsid w:val="002859E0"/>
    <w:rsid w:val="00285EE9"/>
    <w:rsid w:val="002861A7"/>
    <w:rsid w:val="00286436"/>
    <w:rsid w:val="00286C20"/>
    <w:rsid w:val="00286D30"/>
    <w:rsid w:val="00286D71"/>
    <w:rsid w:val="00286DFC"/>
    <w:rsid w:val="00286E3C"/>
    <w:rsid w:val="00286E73"/>
    <w:rsid w:val="002870B8"/>
    <w:rsid w:val="00287B30"/>
    <w:rsid w:val="00287C15"/>
    <w:rsid w:val="00287E93"/>
    <w:rsid w:val="00290238"/>
    <w:rsid w:val="0029054F"/>
    <w:rsid w:val="00291279"/>
    <w:rsid w:val="00291535"/>
    <w:rsid w:val="002918DA"/>
    <w:rsid w:val="00291B0B"/>
    <w:rsid w:val="00292368"/>
    <w:rsid w:val="002924F3"/>
    <w:rsid w:val="0029268A"/>
    <w:rsid w:val="00292963"/>
    <w:rsid w:val="00292D44"/>
    <w:rsid w:val="002933B0"/>
    <w:rsid w:val="00293838"/>
    <w:rsid w:val="00293F5B"/>
    <w:rsid w:val="00293F8E"/>
    <w:rsid w:val="00294253"/>
    <w:rsid w:val="002946C4"/>
    <w:rsid w:val="002947D3"/>
    <w:rsid w:val="00294ADE"/>
    <w:rsid w:val="002961C4"/>
    <w:rsid w:val="0029657E"/>
    <w:rsid w:val="002968E4"/>
    <w:rsid w:val="00296D1E"/>
    <w:rsid w:val="00297717"/>
    <w:rsid w:val="00297907"/>
    <w:rsid w:val="00297AB6"/>
    <w:rsid w:val="00297F6F"/>
    <w:rsid w:val="002A00A9"/>
    <w:rsid w:val="002A043B"/>
    <w:rsid w:val="002A0478"/>
    <w:rsid w:val="002A07D8"/>
    <w:rsid w:val="002A0BDD"/>
    <w:rsid w:val="002A1534"/>
    <w:rsid w:val="002A1E7F"/>
    <w:rsid w:val="002A2378"/>
    <w:rsid w:val="002A2BBC"/>
    <w:rsid w:val="002A3499"/>
    <w:rsid w:val="002A3CFF"/>
    <w:rsid w:val="002A3D40"/>
    <w:rsid w:val="002A3E11"/>
    <w:rsid w:val="002A3E6D"/>
    <w:rsid w:val="002A41EA"/>
    <w:rsid w:val="002A42F3"/>
    <w:rsid w:val="002A460C"/>
    <w:rsid w:val="002A46DE"/>
    <w:rsid w:val="002A476F"/>
    <w:rsid w:val="002A484E"/>
    <w:rsid w:val="002A4D9E"/>
    <w:rsid w:val="002A4E5A"/>
    <w:rsid w:val="002A4F80"/>
    <w:rsid w:val="002A559D"/>
    <w:rsid w:val="002A575F"/>
    <w:rsid w:val="002A5CD4"/>
    <w:rsid w:val="002A60CB"/>
    <w:rsid w:val="002A62B6"/>
    <w:rsid w:val="002A634B"/>
    <w:rsid w:val="002A6C7A"/>
    <w:rsid w:val="002A6EB7"/>
    <w:rsid w:val="002A723F"/>
    <w:rsid w:val="002B09E7"/>
    <w:rsid w:val="002B0F59"/>
    <w:rsid w:val="002B1080"/>
    <w:rsid w:val="002B10DF"/>
    <w:rsid w:val="002B10E4"/>
    <w:rsid w:val="002B1257"/>
    <w:rsid w:val="002B1A2D"/>
    <w:rsid w:val="002B1B31"/>
    <w:rsid w:val="002B1DD3"/>
    <w:rsid w:val="002B237E"/>
    <w:rsid w:val="002B27E8"/>
    <w:rsid w:val="002B289B"/>
    <w:rsid w:val="002B2AA1"/>
    <w:rsid w:val="002B2B77"/>
    <w:rsid w:val="002B2E88"/>
    <w:rsid w:val="002B31F4"/>
    <w:rsid w:val="002B3398"/>
    <w:rsid w:val="002B4202"/>
    <w:rsid w:val="002B45B8"/>
    <w:rsid w:val="002B45C4"/>
    <w:rsid w:val="002B483B"/>
    <w:rsid w:val="002B4C2B"/>
    <w:rsid w:val="002B4C62"/>
    <w:rsid w:val="002B4CCC"/>
    <w:rsid w:val="002B523F"/>
    <w:rsid w:val="002B5813"/>
    <w:rsid w:val="002B6876"/>
    <w:rsid w:val="002B68D4"/>
    <w:rsid w:val="002B6B2B"/>
    <w:rsid w:val="002B6E77"/>
    <w:rsid w:val="002B73AE"/>
    <w:rsid w:val="002B7747"/>
    <w:rsid w:val="002B7A57"/>
    <w:rsid w:val="002B7A72"/>
    <w:rsid w:val="002C30B9"/>
    <w:rsid w:val="002C3214"/>
    <w:rsid w:val="002C3388"/>
    <w:rsid w:val="002C3C8F"/>
    <w:rsid w:val="002C4377"/>
    <w:rsid w:val="002C43BD"/>
    <w:rsid w:val="002C44E8"/>
    <w:rsid w:val="002C464B"/>
    <w:rsid w:val="002C49B5"/>
    <w:rsid w:val="002C5075"/>
    <w:rsid w:val="002C51D6"/>
    <w:rsid w:val="002C5530"/>
    <w:rsid w:val="002C55A3"/>
    <w:rsid w:val="002C5715"/>
    <w:rsid w:val="002C5988"/>
    <w:rsid w:val="002C5E75"/>
    <w:rsid w:val="002C6D0F"/>
    <w:rsid w:val="002C6E9D"/>
    <w:rsid w:val="002C6FF4"/>
    <w:rsid w:val="002C7971"/>
    <w:rsid w:val="002D03CC"/>
    <w:rsid w:val="002D1220"/>
    <w:rsid w:val="002D15B9"/>
    <w:rsid w:val="002D164D"/>
    <w:rsid w:val="002D2AB3"/>
    <w:rsid w:val="002D306E"/>
    <w:rsid w:val="002D3B22"/>
    <w:rsid w:val="002D455C"/>
    <w:rsid w:val="002D481E"/>
    <w:rsid w:val="002D4CD1"/>
    <w:rsid w:val="002D4DFD"/>
    <w:rsid w:val="002D52DB"/>
    <w:rsid w:val="002D53F7"/>
    <w:rsid w:val="002D5ABA"/>
    <w:rsid w:val="002D5CEA"/>
    <w:rsid w:val="002D5F80"/>
    <w:rsid w:val="002D6152"/>
    <w:rsid w:val="002D631A"/>
    <w:rsid w:val="002D6592"/>
    <w:rsid w:val="002D6A6A"/>
    <w:rsid w:val="002D6ED6"/>
    <w:rsid w:val="002D719A"/>
    <w:rsid w:val="002D7DB2"/>
    <w:rsid w:val="002E07F4"/>
    <w:rsid w:val="002E103E"/>
    <w:rsid w:val="002E185C"/>
    <w:rsid w:val="002E1A21"/>
    <w:rsid w:val="002E1BDF"/>
    <w:rsid w:val="002E1C20"/>
    <w:rsid w:val="002E236D"/>
    <w:rsid w:val="002E23A0"/>
    <w:rsid w:val="002E2637"/>
    <w:rsid w:val="002E29A4"/>
    <w:rsid w:val="002E2A9A"/>
    <w:rsid w:val="002E2EC0"/>
    <w:rsid w:val="002E2FC1"/>
    <w:rsid w:val="002E30D2"/>
    <w:rsid w:val="002E3122"/>
    <w:rsid w:val="002E3415"/>
    <w:rsid w:val="002E3731"/>
    <w:rsid w:val="002E3B11"/>
    <w:rsid w:val="002E3BC6"/>
    <w:rsid w:val="002E43FD"/>
    <w:rsid w:val="002E4815"/>
    <w:rsid w:val="002E52CF"/>
    <w:rsid w:val="002E5448"/>
    <w:rsid w:val="002E5581"/>
    <w:rsid w:val="002E5A80"/>
    <w:rsid w:val="002E6651"/>
    <w:rsid w:val="002E681D"/>
    <w:rsid w:val="002E6AAE"/>
    <w:rsid w:val="002E6C26"/>
    <w:rsid w:val="002E6D35"/>
    <w:rsid w:val="002E6D92"/>
    <w:rsid w:val="002E6D97"/>
    <w:rsid w:val="002E6E8B"/>
    <w:rsid w:val="002E7174"/>
    <w:rsid w:val="002E71F6"/>
    <w:rsid w:val="002E76BF"/>
    <w:rsid w:val="002E7B26"/>
    <w:rsid w:val="002E7CB7"/>
    <w:rsid w:val="002F0120"/>
    <w:rsid w:val="002F0194"/>
    <w:rsid w:val="002F0D4A"/>
    <w:rsid w:val="002F14F1"/>
    <w:rsid w:val="002F16EF"/>
    <w:rsid w:val="002F2246"/>
    <w:rsid w:val="002F235A"/>
    <w:rsid w:val="002F248F"/>
    <w:rsid w:val="002F2695"/>
    <w:rsid w:val="002F2AFD"/>
    <w:rsid w:val="002F3DAD"/>
    <w:rsid w:val="002F3DF1"/>
    <w:rsid w:val="002F4338"/>
    <w:rsid w:val="002F4E54"/>
    <w:rsid w:val="002F563C"/>
    <w:rsid w:val="002F5FD6"/>
    <w:rsid w:val="002F60AC"/>
    <w:rsid w:val="002F624A"/>
    <w:rsid w:val="002F6517"/>
    <w:rsid w:val="002F652D"/>
    <w:rsid w:val="002F676B"/>
    <w:rsid w:val="002F6F3D"/>
    <w:rsid w:val="002F793B"/>
    <w:rsid w:val="00300533"/>
    <w:rsid w:val="0030102F"/>
    <w:rsid w:val="003010A7"/>
    <w:rsid w:val="00301174"/>
    <w:rsid w:val="00301BED"/>
    <w:rsid w:val="00301C18"/>
    <w:rsid w:val="00302973"/>
    <w:rsid w:val="00302B1A"/>
    <w:rsid w:val="00302BA5"/>
    <w:rsid w:val="00302F1B"/>
    <w:rsid w:val="0030325B"/>
    <w:rsid w:val="00303642"/>
    <w:rsid w:val="003038DE"/>
    <w:rsid w:val="003039CB"/>
    <w:rsid w:val="00303ABC"/>
    <w:rsid w:val="003044F1"/>
    <w:rsid w:val="0030462F"/>
    <w:rsid w:val="00304E23"/>
    <w:rsid w:val="00304F6D"/>
    <w:rsid w:val="003055C6"/>
    <w:rsid w:val="00305720"/>
    <w:rsid w:val="003057E1"/>
    <w:rsid w:val="00305827"/>
    <w:rsid w:val="0030596B"/>
    <w:rsid w:val="00305A8F"/>
    <w:rsid w:val="00305B78"/>
    <w:rsid w:val="00305DED"/>
    <w:rsid w:val="00305FD0"/>
    <w:rsid w:val="003064E2"/>
    <w:rsid w:val="00306802"/>
    <w:rsid w:val="00306EAC"/>
    <w:rsid w:val="00307222"/>
    <w:rsid w:val="00307713"/>
    <w:rsid w:val="00310B2D"/>
    <w:rsid w:val="00310C8D"/>
    <w:rsid w:val="0031114B"/>
    <w:rsid w:val="0031118E"/>
    <w:rsid w:val="003115B7"/>
    <w:rsid w:val="003118CE"/>
    <w:rsid w:val="00311C66"/>
    <w:rsid w:val="00311D05"/>
    <w:rsid w:val="00311DBC"/>
    <w:rsid w:val="00311E27"/>
    <w:rsid w:val="0031380D"/>
    <w:rsid w:val="00313F6A"/>
    <w:rsid w:val="00314A2D"/>
    <w:rsid w:val="00314EC4"/>
    <w:rsid w:val="00314F25"/>
    <w:rsid w:val="0031536F"/>
    <w:rsid w:val="00315750"/>
    <w:rsid w:val="00315882"/>
    <w:rsid w:val="00316529"/>
    <w:rsid w:val="003167BF"/>
    <w:rsid w:val="00316C51"/>
    <w:rsid w:val="00316D7E"/>
    <w:rsid w:val="0031727F"/>
    <w:rsid w:val="003176CF"/>
    <w:rsid w:val="00317E22"/>
    <w:rsid w:val="003206E9"/>
    <w:rsid w:val="00321020"/>
    <w:rsid w:val="00321233"/>
    <w:rsid w:val="00321368"/>
    <w:rsid w:val="00321948"/>
    <w:rsid w:val="00323073"/>
    <w:rsid w:val="00323D33"/>
    <w:rsid w:val="003244A8"/>
    <w:rsid w:val="00324C1D"/>
    <w:rsid w:val="00324D4F"/>
    <w:rsid w:val="00324FD6"/>
    <w:rsid w:val="00325307"/>
    <w:rsid w:val="00325341"/>
    <w:rsid w:val="00325625"/>
    <w:rsid w:val="00325AEE"/>
    <w:rsid w:val="00325DDE"/>
    <w:rsid w:val="00326116"/>
    <w:rsid w:val="003262AE"/>
    <w:rsid w:val="00326DC9"/>
    <w:rsid w:val="00327F6E"/>
    <w:rsid w:val="00327F78"/>
    <w:rsid w:val="003303C4"/>
    <w:rsid w:val="0033074C"/>
    <w:rsid w:val="0033080A"/>
    <w:rsid w:val="003311DF"/>
    <w:rsid w:val="00331CBD"/>
    <w:rsid w:val="00331D9F"/>
    <w:rsid w:val="003320F6"/>
    <w:rsid w:val="00332332"/>
    <w:rsid w:val="00332AB0"/>
    <w:rsid w:val="003334E3"/>
    <w:rsid w:val="00333DD1"/>
    <w:rsid w:val="003348C4"/>
    <w:rsid w:val="003348E8"/>
    <w:rsid w:val="0033563E"/>
    <w:rsid w:val="0033586A"/>
    <w:rsid w:val="0033614D"/>
    <w:rsid w:val="003366F1"/>
    <w:rsid w:val="00336A71"/>
    <w:rsid w:val="00336AA9"/>
    <w:rsid w:val="00336D32"/>
    <w:rsid w:val="00336E03"/>
    <w:rsid w:val="00336F1E"/>
    <w:rsid w:val="00337153"/>
    <w:rsid w:val="00337861"/>
    <w:rsid w:val="003378DA"/>
    <w:rsid w:val="00337B11"/>
    <w:rsid w:val="00340025"/>
    <w:rsid w:val="0034077C"/>
    <w:rsid w:val="003419F1"/>
    <w:rsid w:val="00341A93"/>
    <w:rsid w:val="00341F7C"/>
    <w:rsid w:val="0034276B"/>
    <w:rsid w:val="003428A9"/>
    <w:rsid w:val="00342952"/>
    <w:rsid w:val="00343574"/>
    <w:rsid w:val="00344BE6"/>
    <w:rsid w:val="00344E44"/>
    <w:rsid w:val="00344E4C"/>
    <w:rsid w:val="00345448"/>
    <w:rsid w:val="003457A6"/>
    <w:rsid w:val="003457F3"/>
    <w:rsid w:val="003458D2"/>
    <w:rsid w:val="00345BE0"/>
    <w:rsid w:val="00345C78"/>
    <w:rsid w:val="00346528"/>
    <w:rsid w:val="00346583"/>
    <w:rsid w:val="003467BB"/>
    <w:rsid w:val="003477F1"/>
    <w:rsid w:val="003479EB"/>
    <w:rsid w:val="00347E1A"/>
    <w:rsid w:val="003501B8"/>
    <w:rsid w:val="003503B9"/>
    <w:rsid w:val="003504A8"/>
    <w:rsid w:val="003505D6"/>
    <w:rsid w:val="00350F6C"/>
    <w:rsid w:val="00351550"/>
    <w:rsid w:val="00351662"/>
    <w:rsid w:val="00351907"/>
    <w:rsid w:val="00351D96"/>
    <w:rsid w:val="0035230E"/>
    <w:rsid w:val="00352AAA"/>
    <w:rsid w:val="003531E3"/>
    <w:rsid w:val="003540F4"/>
    <w:rsid w:val="00354B95"/>
    <w:rsid w:val="00354C15"/>
    <w:rsid w:val="00355942"/>
    <w:rsid w:val="00355A89"/>
    <w:rsid w:val="00355E7F"/>
    <w:rsid w:val="00355E8B"/>
    <w:rsid w:val="00356244"/>
    <w:rsid w:val="00356BCF"/>
    <w:rsid w:val="00356FDB"/>
    <w:rsid w:val="003570F3"/>
    <w:rsid w:val="003571F6"/>
    <w:rsid w:val="0035762B"/>
    <w:rsid w:val="0035765F"/>
    <w:rsid w:val="00357EBD"/>
    <w:rsid w:val="003602CD"/>
    <w:rsid w:val="00360711"/>
    <w:rsid w:val="0036077D"/>
    <w:rsid w:val="00360934"/>
    <w:rsid w:val="00360AFB"/>
    <w:rsid w:val="00360F57"/>
    <w:rsid w:val="00361621"/>
    <w:rsid w:val="003616D9"/>
    <w:rsid w:val="00362161"/>
    <w:rsid w:val="003621E2"/>
    <w:rsid w:val="003622A5"/>
    <w:rsid w:val="00362C6B"/>
    <w:rsid w:val="00362D59"/>
    <w:rsid w:val="003635C6"/>
    <w:rsid w:val="00363ADA"/>
    <w:rsid w:val="00364998"/>
    <w:rsid w:val="00364C40"/>
    <w:rsid w:val="00365333"/>
    <w:rsid w:val="003656DE"/>
    <w:rsid w:val="003659F6"/>
    <w:rsid w:val="00365D96"/>
    <w:rsid w:val="00365EAD"/>
    <w:rsid w:val="0036674C"/>
    <w:rsid w:val="003669B6"/>
    <w:rsid w:val="00366FCE"/>
    <w:rsid w:val="00367297"/>
    <w:rsid w:val="00367509"/>
    <w:rsid w:val="0036794E"/>
    <w:rsid w:val="00367B77"/>
    <w:rsid w:val="00367BF9"/>
    <w:rsid w:val="00367DB9"/>
    <w:rsid w:val="00367DC4"/>
    <w:rsid w:val="0037021D"/>
    <w:rsid w:val="003704D0"/>
    <w:rsid w:val="003712F2"/>
    <w:rsid w:val="0037130F"/>
    <w:rsid w:val="003713A2"/>
    <w:rsid w:val="00371AEA"/>
    <w:rsid w:val="00371DA1"/>
    <w:rsid w:val="00371E22"/>
    <w:rsid w:val="003720AC"/>
    <w:rsid w:val="003720ED"/>
    <w:rsid w:val="003724BB"/>
    <w:rsid w:val="00372BF3"/>
    <w:rsid w:val="00372D91"/>
    <w:rsid w:val="00372DE7"/>
    <w:rsid w:val="003730CB"/>
    <w:rsid w:val="0037358C"/>
    <w:rsid w:val="00373FB9"/>
    <w:rsid w:val="00374166"/>
    <w:rsid w:val="00375C24"/>
    <w:rsid w:val="00375D05"/>
    <w:rsid w:val="00375F0D"/>
    <w:rsid w:val="00375FF2"/>
    <w:rsid w:val="00376011"/>
    <w:rsid w:val="00376233"/>
    <w:rsid w:val="003776AA"/>
    <w:rsid w:val="003778ED"/>
    <w:rsid w:val="0037799B"/>
    <w:rsid w:val="00377A35"/>
    <w:rsid w:val="00377B27"/>
    <w:rsid w:val="00377F8A"/>
    <w:rsid w:val="00377FDC"/>
    <w:rsid w:val="00380322"/>
    <w:rsid w:val="0038066D"/>
    <w:rsid w:val="00381241"/>
    <w:rsid w:val="00381FC0"/>
    <w:rsid w:val="003827C0"/>
    <w:rsid w:val="00382935"/>
    <w:rsid w:val="00382A2F"/>
    <w:rsid w:val="00382C2D"/>
    <w:rsid w:val="00382D67"/>
    <w:rsid w:val="00383026"/>
    <w:rsid w:val="003832B8"/>
    <w:rsid w:val="0038358B"/>
    <w:rsid w:val="00383EBC"/>
    <w:rsid w:val="003842FD"/>
    <w:rsid w:val="00385172"/>
    <w:rsid w:val="003853CE"/>
    <w:rsid w:val="00385B51"/>
    <w:rsid w:val="00386E0B"/>
    <w:rsid w:val="0038742F"/>
    <w:rsid w:val="00387569"/>
    <w:rsid w:val="00387F30"/>
    <w:rsid w:val="00390C81"/>
    <w:rsid w:val="00390F15"/>
    <w:rsid w:val="00391481"/>
    <w:rsid w:val="00391CA4"/>
    <w:rsid w:val="00391CDA"/>
    <w:rsid w:val="00391F13"/>
    <w:rsid w:val="0039201A"/>
    <w:rsid w:val="00392B1E"/>
    <w:rsid w:val="00392D0C"/>
    <w:rsid w:val="00392DAA"/>
    <w:rsid w:val="0039311D"/>
    <w:rsid w:val="00393605"/>
    <w:rsid w:val="00393A2B"/>
    <w:rsid w:val="00393E85"/>
    <w:rsid w:val="0039467D"/>
    <w:rsid w:val="00394B3A"/>
    <w:rsid w:val="00394B90"/>
    <w:rsid w:val="00394CFD"/>
    <w:rsid w:val="00395C14"/>
    <w:rsid w:val="003964DA"/>
    <w:rsid w:val="003965EA"/>
    <w:rsid w:val="00397091"/>
    <w:rsid w:val="0039717B"/>
    <w:rsid w:val="003976D1"/>
    <w:rsid w:val="0039794A"/>
    <w:rsid w:val="003979BC"/>
    <w:rsid w:val="00397A3C"/>
    <w:rsid w:val="00397A92"/>
    <w:rsid w:val="00397D05"/>
    <w:rsid w:val="00397E82"/>
    <w:rsid w:val="003A0DB1"/>
    <w:rsid w:val="003A0E7E"/>
    <w:rsid w:val="003A1658"/>
    <w:rsid w:val="003A19DF"/>
    <w:rsid w:val="003A1EBB"/>
    <w:rsid w:val="003A2BCE"/>
    <w:rsid w:val="003A2FD5"/>
    <w:rsid w:val="003A33B6"/>
    <w:rsid w:val="003A3AF6"/>
    <w:rsid w:val="003A4A96"/>
    <w:rsid w:val="003A54B2"/>
    <w:rsid w:val="003A563B"/>
    <w:rsid w:val="003A596F"/>
    <w:rsid w:val="003A59DE"/>
    <w:rsid w:val="003A5BCF"/>
    <w:rsid w:val="003A5C15"/>
    <w:rsid w:val="003A637E"/>
    <w:rsid w:val="003A63CA"/>
    <w:rsid w:val="003A6FAD"/>
    <w:rsid w:val="003A7273"/>
    <w:rsid w:val="003A7766"/>
    <w:rsid w:val="003A78CB"/>
    <w:rsid w:val="003A7A8C"/>
    <w:rsid w:val="003A7DEC"/>
    <w:rsid w:val="003B01C0"/>
    <w:rsid w:val="003B025A"/>
    <w:rsid w:val="003B035C"/>
    <w:rsid w:val="003B0C1D"/>
    <w:rsid w:val="003B0D6C"/>
    <w:rsid w:val="003B0F2E"/>
    <w:rsid w:val="003B1063"/>
    <w:rsid w:val="003B1179"/>
    <w:rsid w:val="003B136E"/>
    <w:rsid w:val="003B169C"/>
    <w:rsid w:val="003B1F75"/>
    <w:rsid w:val="003B21FC"/>
    <w:rsid w:val="003B268D"/>
    <w:rsid w:val="003B2CB0"/>
    <w:rsid w:val="003B3613"/>
    <w:rsid w:val="003B3C43"/>
    <w:rsid w:val="003B3D2A"/>
    <w:rsid w:val="003B3E11"/>
    <w:rsid w:val="003B40B0"/>
    <w:rsid w:val="003B42FA"/>
    <w:rsid w:val="003B432D"/>
    <w:rsid w:val="003B4B34"/>
    <w:rsid w:val="003B4BFD"/>
    <w:rsid w:val="003B538E"/>
    <w:rsid w:val="003B5540"/>
    <w:rsid w:val="003B5AB8"/>
    <w:rsid w:val="003B64F6"/>
    <w:rsid w:val="003B67F5"/>
    <w:rsid w:val="003B68DD"/>
    <w:rsid w:val="003B6E7C"/>
    <w:rsid w:val="003B70E5"/>
    <w:rsid w:val="003B7EF7"/>
    <w:rsid w:val="003C063A"/>
    <w:rsid w:val="003C079F"/>
    <w:rsid w:val="003C07CF"/>
    <w:rsid w:val="003C09C6"/>
    <w:rsid w:val="003C0E8D"/>
    <w:rsid w:val="003C186F"/>
    <w:rsid w:val="003C1C1F"/>
    <w:rsid w:val="003C1D11"/>
    <w:rsid w:val="003C1DC8"/>
    <w:rsid w:val="003C27FF"/>
    <w:rsid w:val="003C3278"/>
    <w:rsid w:val="003C36C7"/>
    <w:rsid w:val="003C3BD8"/>
    <w:rsid w:val="003C3CFD"/>
    <w:rsid w:val="003C3EA1"/>
    <w:rsid w:val="003C3FE6"/>
    <w:rsid w:val="003C47B0"/>
    <w:rsid w:val="003C4A71"/>
    <w:rsid w:val="003C4ABF"/>
    <w:rsid w:val="003C4DBC"/>
    <w:rsid w:val="003C5224"/>
    <w:rsid w:val="003C532B"/>
    <w:rsid w:val="003C5567"/>
    <w:rsid w:val="003C5BC9"/>
    <w:rsid w:val="003C609B"/>
    <w:rsid w:val="003C627D"/>
    <w:rsid w:val="003C651A"/>
    <w:rsid w:val="003C6B7D"/>
    <w:rsid w:val="003C7685"/>
    <w:rsid w:val="003C7C8E"/>
    <w:rsid w:val="003C7D6B"/>
    <w:rsid w:val="003D08E2"/>
    <w:rsid w:val="003D0EBA"/>
    <w:rsid w:val="003D1209"/>
    <w:rsid w:val="003D208F"/>
    <w:rsid w:val="003D21C0"/>
    <w:rsid w:val="003D244F"/>
    <w:rsid w:val="003D295D"/>
    <w:rsid w:val="003D2DCA"/>
    <w:rsid w:val="003D2E6E"/>
    <w:rsid w:val="003D3863"/>
    <w:rsid w:val="003D4217"/>
    <w:rsid w:val="003D4327"/>
    <w:rsid w:val="003D46B6"/>
    <w:rsid w:val="003D473D"/>
    <w:rsid w:val="003D4933"/>
    <w:rsid w:val="003D4EC8"/>
    <w:rsid w:val="003D51A0"/>
    <w:rsid w:val="003D5916"/>
    <w:rsid w:val="003D5945"/>
    <w:rsid w:val="003D5AE7"/>
    <w:rsid w:val="003D5E64"/>
    <w:rsid w:val="003D641E"/>
    <w:rsid w:val="003D660A"/>
    <w:rsid w:val="003D6EA9"/>
    <w:rsid w:val="003D707A"/>
    <w:rsid w:val="003E00A2"/>
    <w:rsid w:val="003E0BCA"/>
    <w:rsid w:val="003E0C88"/>
    <w:rsid w:val="003E171D"/>
    <w:rsid w:val="003E18FC"/>
    <w:rsid w:val="003E1AE0"/>
    <w:rsid w:val="003E1D81"/>
    <w:rsid w:val="003E1FEE"/>
    <w:rsid w:val="003E23D1"/>
    <w:rsid w:val="003E2453"/>
    <w:rsid w:val="003E2DEE"/>
    <w:rsid w:val="003E3267"/>
    <w:rsid w:val="003E3878"/>
    <w:rsid w:val="003E39D1"/>
    <w:rsid w:val="003E3CE8"/>
    <w:rsid w:val="003E4664"/>
    <w:rsid w:val="003E48B8"/>
    <w:rsid w:val="003E493A"/>
    <w:rsid w:val="003E4BAB"/>
    <w:rsid w:val="003E4F19"/>
    <w:rsid w:val="003E55B6"/>
    <w:rsid w:val="003E5A28"/>
    <w:rsid w:val="003E6025"/>
    <w:rsid w:val="003E6776"/>
    <w:rsid w:val="003E6858"/>
    <w:rsid w:val="003E6A0B"/>
    <w:rsid w:val="003E707E"/>
    <w:rsid w:val="003E70ED"/>
    <w:rsid w:val="003E7748"/>
    <w:rsid w:val="003E7792"/>
    <w:rsid w:val="003E7C85"/>
    <w:rsid w:val="003F0155"/>
    <w:rsid w:val="003F0270"/>
    <w:rsid w:val="003F08BE"/>
    <w:rsid w:val="003F08CA"/>
    <w:rsid w:val="003F1EC1"/>
    <w:rsid w:val="003F2243"/>
    <w:rsid w:val="003F266E"/>
    <w:rsid w:val="003F28CB"/>
    <w:rsid w:val="003F2CE4"/>
    <w:rsid w:val="003F304F"/>
    <w:rsid w:val="003F36D5"/>
    <w:rsid w:val="003F39E1"/>
    <w:rsid w:val="003F3BDD"/>
    <w:rsid w:val="003F3CD7"/>
    <w:rsid w:val="003F40EC"/>
    <w:rsid w:val="003F483F"/>
    <w:rsid w:val="003F4D22"/>
    <w:rsid w:val="003F5438"/>
    <w:rsid w:val="003F57DA"/>
    <w:rsid w:val="003F5C49"/>
    <w:rsid w:val="003F5E90"/>
    <w:rsid w:val="003F68A4"/>
    <w:rsid w:val="004001B1"/>
    <w:rsid w:val="0040069B"/>
    <w:rsid w:val="00400756"/>
    <w:rsid w:val="004007FD"/>
    <w:rsid w:val="004008D4"/>
    <w:rsid w:val="00400945"/>
    <w:rsid w:val="00400C45"/>
    <w:rsid w:val="004014B0"/>
    <w:rsid w:val="0040160E"/>
    <w:rsid w:val="00401825"/>
    <w:rsid w:val="004022D5"/>
    <w:rsid w:val="004026DB"/>
    <w:rsid w:val="00402B9B"/>
    <w:rsid w:val="0040386F"/>
    <w:rsid w:val="00404566"/>
    <w:rsid w:val="00404B32"/>
    <w:rsid w:val="00404E79"/>
    <w:rsid w:val="004052E1"/>
    <w:rsid w:val="00405744"/>
    <w:rsid w:val="00405D97"/>
    <w:rsid w:val="00405EF2"/>
    <w:rsid w:val="00405F06"/>
    <w:rsid w:val="004067BA"/>
    <w:rsid w:val="00406C9C"/>
    <w:rsid w:val="00407057"/>
    <w:rsid w:val="004074A2"/>
    <w:rsid w:val="004076AE"/>
    <w:rsid w:val="00407C1D"/>
    <w:rsid w:val="00407C84"/>
    <w:rsid w:val="00407F97"/>
    <w:rsid w:val="004100E3"/>
    <w:rsid w:val="004104F2"/>
    <w:rsid w:val="004109CF"/>
    <w:rsid w:val="00410F29"/>
    <w:rsid w:val="00412309"/>
    <w:rsid w:val="004126EE"/>
    <w:rsid w:val="00412CE7"/>
    <w:rsid w:val="00413093"/>
    <w:rsid w:val="004130A2"/>
    <w:rsid w:val="00413214"/>
    <w:rsid w:val="004140D0"/>
    <w:rsid w:val="004142B7"/>
    <w:rsid w:val="00414539"/>
    <w:rsid w:val="00414B06"/>
    <w:rsid w:val="00414CB9"/>
    <w:rsid w:val="00414D90"/>
    <w:rsid w:val="0041521A"/>
    <w:rsid w:val="004153B3"/>
    <w:rsid w:val="00415770"/>
    <w:rsid w:val="00415991"/>
    <w:rsid w:val="00415CD7"/>
    <w:rsid w:val="004162D3"/>
    <w:rsid w:val="0041647F"/>
    <w:rsid w:val="0041673A"/>
    <w:rsid w:val="00416BBA"/>
    <w:rsid w:val="0041754B"/>
    <w:rsid w:val="004202B7"/>
    <w:rsid w:val="00420396"/>
    <w:rsid w:val="004203B7"/>
    <w:rsid w:val="00420684"/>
    <w:rsid w:val="004216AC"/>
    <w:rsid w:val="00421A6D"/>
    <w:rsid w:val="00421B07"/>
    <w:rsid w:val="004220F6"/>
    <w:rsid w:val="0042210E"/>
    <w:rsid w:val="00422358"/>
    <w:rsid w:val="00422765"/>
    <w:rsid w:val="00422859"/>
    <w:rsid w:val="00422AFE"/>
    <w:rsid w:val="00422D2B"/>
    <w:rsid w:val="00423180"/>
    <w:rsid w:val="004233A3"/>
    <w:rsid w:val="00423490"/>
    <w:rsid w:val="0042367F"/>
    <w:rsid w:val="00423BAA"/>
    <w:rsid w:val="00424072"/>
    <w:rsid w:val="004243C6"/>
    <w:rsid w:val="00424BDF"/>
    <w:rsid w:val="00424C03"/>
    <w:rsid w:val="00424DCD"/>
    <w:rsid w:val="00424E61"/>
    <w:rsid w:val="004259A1"/>
    <w:rsid w:val="00425BE5"/>
    <w:rsid w:val="00425EE2"/>
    <w:rsid w:val="00426289"/>
    <w:rsid w:val="0042640C"/>
    <w:rsid w:val="00426909"/>
    <w:rsid w:val="004273F3"/>
    <w:rsid w:val="00427545"/>
    <w:rsid w:val="00427B38"/>
    <w:rsid w:val="00430174"/>
    <w:rsid w:val="00430329"/>
    <w:rsid w:val="00430972"/>
    <w:rsid w:val="00431146"/>
    <w:rsid w:val="00431882"/>
    <w:rsid w:val="004318B6"/>
    <w:rsid w:val="0043193D"/>
    <w:rsid w:val="00431A0E"/>
    <w:rsid w:val="00431C54"/>
    <w:rsid w:val="004328FB"/>
    <w:rsid w:val="004329C9"/>
    <w:rsid w:val="00432DF5"/>
    <w:rsid w:val="00433615"/>
    <w:rsid w:val="00433976"/>
    <w:rsid w:val="00433A97"/>
    <w:rsid w:val="00433EEA"/>
    <w:rsid w:val="004340A8"/>
    <w:rsid w:val="0043412F"/>
    <w:rsid w:val="004346AF"/>
    <w:rsid w:val="00434855"/>
    <w:rsid w:val="00434B5E"/>
    <w:rsid w:val="00434C2C"/>
    <w:rsid w:val="00434C9A"/>
    <w:rsid w:val="00434ED7"/>
    <w:rsid w:val="00435476"/>
    <w:rsid w:val="00435C46"/>
    <w:rsid w:val="00435F7E"/>
    <w:rsid w:val="004360A7"/>
    <w:rsid w:val="00436397"/>
    <w:rsid w:val="004369D3"/>
    <w:rsid w:val="00436C8E"/>
    <w:rsid w:val="00437053"/>
    <w:rsid w:val="00437401"/>
    <w:rsid w:val="00437444"/>
    <w:rsid w:val="00437458"/>
    <w:rsid w:val="004405CB"/>
    <w:rsid w:val="004406F0"/>
    <w:rsid w:val="004407BB"/>
    <w:rsid w:val="004408FA"/>
    <w:rsid w:val="004416BB"/>
    <w:rsid w:val="004421F7"/>
    <w:rsid w:val="00442829"/>
    <w:rsid w:val="0044327C"/>
    <w:rsid w:val="00443C87"/>
    <w:rsid w:val="00443FDA"/>
    <w:rsid w:val="0044412D"/>
    <w:rsid w:val="004450E1"/>
    <w:rsid w:val="00446344"/>
    <w:rsid w:val="004468DE"/>
    <w:rsid w:val="0044745B"/>
    <w:rsid w:val="004475BF"/>
    <w:rsid w:val="0044777F"/>
    <w:rsid w:val="00447C16"/>
    <w:rsid w:val="00447E72"/>
    <w:rsid w:val="00450375"/>
    <w:rsid w:val="00450BDE"/>
    <w:rsid w:val="00451230"/>
    <w:rsid w:val="00451680"/>
    <w:rsid w:val="00451C62"/>
    <w:rsid w:val="0045248B"/>
    <w:rsid w:val="00452622"/>
    <w:rsid w:val="00452747"/>
    <w:rsid w:val="00452807"/>
    <w:rsid w:val="00452B1C"/>
    <w:rsid w:val="00452F7B"/>
    <w:rsid w:val="00453338"/>
    <w:rsid w:val="0045347C"/>
    <w:rsid w:val="00453553"/>
    <w:rsid w:val="00453ADD"/>
    <w:rsid w:val="00453C56"/>
    <w:rsid w:val="0045450E"/>
    <w:rsid w:val="004552D8"/>
    <w:rsid w:val="00455F96"/>
    <w:rsid w:val="00456037"/>
    <w:rsid w:val="00456282"/>
    <w:rsid w:val="0045649B"/>
    <w:rsid w:val="0045649D"/>
    <w:rsid w:val="00456663"/>
    <w:rsid w:val="00456723"/>
    <w:rsid w:val="0045717F"/>
    <w:rsid w:val="004572BC"/>
    <w:rsid w:val="004572E7"/>
    <w:rsid w:val="004577B0"/>
    <w:rsid w:val="00457A4C"/>
    <w:rsid w:val="00457CDA"/>
    <w:rsid w:val="00457DEA"/>
    <w:rsid w:val="0046062A"/>
    <w:rsid w:val="00460CE0"/>
    <w:rsid w:val="00460E1E"/>
    <w:rsid w:val="0046110A"/>
    <w:rsid w:val="00461314"/>
    <w:rsid w:val="004613F6"/>
    <w:rsid w:val="004620C8"/>
    <w:rsid w:val="004621CC"/>
    <w:rsid w:val="00462BE4"/>
    <w:rsid w:val="00462F18"/>
    <w:rsid w:val="004631F8"/>
    <w:rsid w:val="00463A12"/>
    <w:rsid w:val="00463B87"/>
    <w:rsid w:val="00463C60"/>
    <w:rsid w:val="00463D74"/>
    <w:rsid w:val="00463FF2"/>
    <w:rsid w:val="00464016"/>
    <w:rsid w:val="00464017"/>
    <w:rsid w:val="004646A6"/>
    <w:rsid w:val="0046479A"/>
    <w:rsid w:val="00464C2C"/>
    <w:rsid w:val="004659DF"/>
    <w:rsid w:val="00466274"/>
    <w:rsid w:val="00466666"/>
    <w:rsid w:val="00466C8A"/>
    <w:rsid w:val="004672DC"/>
    <w:rsid w:val="00467EA4"/>
    <w:rsid w:val="00467EE7"/>
    <w:rsid w:val="00470086"/>
    <w:rsid w:val="00470166"/>
    <w:rsid w:val="0047020E"/>
    <w:rsid w:val="00470A96"/>
    <w:rsid w:val="00470E81"/>
    <w:rsid w:val="00471293"/>
    <w:rsid w:val="0047201F"/>
    <w:rsid w:val="0047241B"/>
    <w:rsid w:val="00472E05"/>
    <w:rsid w:val="004735FE"/>
    <w:rsid w:val="00473DC4"/>
    <w:rsid w:val="00473E84"/>
    <w:rsid w:val="00473EBE"/>
    <w:rsid w:val="004743C3"/>
    <w:rsid w:val="00474522"/>
    <w:rsid w:val="00474BE6"/>
    <w:rsid w:val="00474F18"/>
    <w:rsid w:val="00474F64"/>
    <w:rsid w:val="004754FF"/>
    <w:rsid w:val="00476584"/>
    <w:rsid w:val="00476647"/>
    <w:rsid w:val="00476A07"/>
    <w:rsid w:val="0047712E"/>
    <w:rsid w:val="00477151"/>
    <w:rsid w:val="004772AE"/>
    <w:rsid w:val="00480613"/>
    <w:rsid w:val="0048086F"/>
    <w:rsid w:val="0048107A"/>
    <w:rsid w:val="004813EF"/>
    <w:rsid w:val="004818B2"/>
    <w:rsid w:val="00481BC8"/>
    <w:rsid w:val="00482864"/>
    <w:rsid w:val="00482E7F"/>
    <w:rsid w:val="0048358B"/>
    <w:rsid w:val="004835A8"/>
    <w:rsid w:val="004839FB"/>
    <w:rsid w:val="0048402A"/>
    <w:rsid w:val="0048474A"/>
    <w:rsid w:val="004848AD"/>
    <w:rsid w:val="004849BE"/>
    <w:rsid w:val="00484EB0"/>
    <w:rsid w:val="00484FF2"/>
    <w:rsid w:val="0048513C"/>
    <w:rsid w:val="00485893"/>
    <w:rsid w:val="00485CE5"/>
    <w:rsid w:val="00485F18"/>
    <w:rsid w:val="0048661D"/>
    <w:rsid w:val="00486936"/>
    <w:rsid w:val="00486C58"/>
    <w:rsid w:val="00486DCA"/>
    <w:rsid w:val="00487BF9"/>
    <w:rsid w:val="004904D7"/>
    <w:rsid w:val="00490EE2"/>
    <w:rsid w:val="0049169E"/>
    <w:rsid w:val="0049187B"/>
    <w:rsid w:val="00491A6A"/>
    <w:rsid w:val="0049283D"/>
    <w:rsid w:val="00492A9A"/>
    <w:rsid w:val="00492D2D"/>
    <w:rsid w:val="00493190"/>
    <w:rsid w:val="00493210"/>
    <w:rsid w:val="00493A34"/>
    <w:rsid w:val="00493E3D"/>
    <w:rsid w:val="0049499E"/>
    <w:rsid w:val="0049504C"/>
    <w:rsid w:val="00495274"/>
    <w:rsid w:val="004957C1"/>
    <w:rsid w:val="0049583F"/>
    <w:rsid w:val="00495E96"/>
    <w:rsid w:val="00496093"/>
    <w:rsid w:val="0049627B"/>
    <w:rsid w:val="0049640D"/>
    <w:rsid w:val="0049660C"/>
    <w:rsid w:val="004967A9"/>
    <w:rsid w:val="00496DEC"/>
    <w:rsid w:val="00497AF8"/>
    <w:rsid w:val="00497E09"/>
    <w:rsid w:val="004A0584"/>
    <w:rsid w:val="004A162D"/>
    <w:rsid w:val="004A2286"/>
    <w:rsid w:val="004A2EC4"/>
    <w:rsid w:val="004A32E4"/>
    <w:rsid w:val="004A344E"/>
    <w:rsid w:val="004A3548"/>
    <w:rsid w:val="004A4D87"/>
    <w:rsid w:val="004A52DC"/>
    <w:rsid w:val="004A582B"/>
    <w:rsid w:val="004A5D71"/>
    <w:rsid w:val="004A6113"/>
    <w:rsid w:val="004A651B"/>
    <w:rsid w:val="004A6737"/>
    <w:rsid w:val="004A676A"/>
    <w:rsid w:val="004A68B4"/>
    <w:rsid w:val="004A703C"/>
    <w:rsid w:val="004A71A7"/>
    <w:rsid w:val="004A76F0"/>
    <w:rsid w:val="004A7DD4"/>
    <w:rsid w:val="004B0791"/>
    <w:rsid w:val="004B094F"/>
    <w:rsid w:val="004B0F3F"/>
    <w:rsid w:val="004B14B8"/>
    <w:rsid w:val="004B1DA8"/>
    <w:rsid w:val="004B1F59"/>
    <w:rsid w:val="004B23F4"/>
    <w:rsid w:val="004B25E9"/>
    <w:rsid w:val="004B36E4"/>
    <w:rsid w:val="004B3F49"/>
    <w:rsid w:val="004B4B46"/>
    <w:rsid w:val="004B5990"/>
    <w:rsid w:val="004B6853"/>
    <w:rsid w:val="004B757C"/>
    <w:rsid w:val="004B7DC1"/>
    <w:rsid w:val="004C00E6"/>
    <w:rsid w:val="004C059B"/>
    <w:rsid w:val="004C17D7"/>
    <w:rsid w:val="004C180A"/>
    <w:rsid w:val="004C2A38"/>
    <w:rsid w:val="004C2B3F"/>
    <w:rsid w:val="004C3188"/>
    <w:rsid w:val="004C34E8"/>
    <w:rsid w:val="004C375C"/>
    <w:rsid w:val="004C3B2F"/>
    <w:rsid w:val="004C40E6"/>
    <w:rsid w:val="004C4B16"/>
    <w:rsid w:val="004C4BD5"/>
    <w:rsid w:val="004C507A"/>
    <w:rsid w:val="004C534D"/>
    <w:rsid w:val="004C576F"/>
    <w:rsid w:val="004C6061"/>
    <w:rsid w:val="004C6754"/>
    <w:rsid w:val="004C6868"/>
    <w:rsid w:val="004C6C6B"/>
    <w:rsid w:val="004C7DA7"/>
    <w:rsid w:val="004D0E9D"/>
    <w:rsid w:val="004D101E"/>
    <w:rsid w:val="004D14BF"/>
    <w:rsid w:val="004D1577"/>
    <w:rsid w:val="004D1951"/>
    <w:rsid w:val="004D1CAD"/>
    <w:rsid w:val="004D2057"/>
    <w:rsid w:val="004D2136"/>
    <w:rsid w:val="004D256E"/>
    <w:rsid w:val="004D27E9"/>
    <w:rsid w:val="004D2FA2"/>
    <w:rsid w:val="004D3011"/>
    <w:rsid w:val="004D328E"/>
    <w:rsid w:val="004D37B5"/>
    <w:rsid w:val="004D38DF"/>
    <w:rsid w:val="004D3D78"/>
    <w:rsid w:val="004D4079"/>
    <w:rsid w:val="004D40E6"/>
    <w:rsid w:val="004D4EFC"/>
    <w:rsid w:val="004D504E"/>
    <w:rsid w:val="004D56B0"/>
    <w:rsid w:val="004D5828"/>
    <w:rsid w:val="004D5858"/>
    <w:rsid w:val="004D5A77"/>
    <w:rsid w:val="004D5C91"/>
    <w:rsid w:val="004D61D7"/>
    <w:rsid w:val="004D628B"/>
    <w:rsid w:val="004D62D9"/>
    <w:rsid w:val="004D6A6B"/>
    <w:rsid w:val="004D6B97"/>
    <w:rsid w:val="004D6CEF"/>
    <w:rsid w:val="004D6D26"/>
    <w:rsid w:val="004D6EF5"/>
    <w:rsid w:val="004D7087"/>
    <w:rsid w:val="004D74F4"/>
    <w:rsid w:val="004D7B12"/>
    <w:rsid w:val="004E02DF"/>
    <w:rsid w:val="004E07E9"/>
    <w:rsid w:val="004E0863"/>
    <w:rsid w:val="004E0A23"/>
    <w:rsid w:val="004E0DF2"/>
    <w:rsid w:val="004E0F38"/>
    <w:rsid w:val="004E0FFF"/>
    <w:rsid w:val="004E1019"/>
    <w:rsid w:val="004E10BE"/>
    <w:rsid w:val="004E1285"/>
    <w:rsid w:val="004E1ACC"/>
    <w:rsid w:val="004E1B49"/>
    <w:rsid w:val="004E2094"/>
    <w:rsid w:val="004E242C"/>
    <w:rsid w:val="004E2AE8"/>
    <w:rsid w:val="004E3203"/>
    <w:rsid w:val="004E320D"/>
    <w:rsid w:val="004E3891"/>
    <w:rsid w:val="004E3C56"/>
    <w:rsid w:val="004E3FE4"/>
    <w:rsid w:val="004E40A2"/>
    <w:rsid w:val="004E40CE"/>
    <w:rsid w:val="004E49AD"/>
    <w:rsid w:val="004E4D15"/>
    <w:rsid w:val="004E5C7A"/>
    <w:rsid w:val="004E6227"/>
    <w:rsid w:val="004E6C39"/>
    <w:rsid w:val="004E739D"/>
    <w:rsid w:val="004E7516"/>
    <w:rsid w:val="004E76D8"/>
    <w:rsid w:val="004E7BD7"/>
    <w:rsid w:val="004F013B"/>
    <w:rsid w:val="004F0679"/>
    <w:rsid w:val="004F07D7"/>
    <w:rsid w:val="004F192F"/>
    <w:rsid w:val="004F1FA0"/>
    <w:rsid w:val="004F2893"/>
    <w:rsid w:val="004F2A50"/>
    <w:rsid w:val="004F2AF7"/>
    <w:rsid w:val="004F2CB8"/>
    <w:rsid w:val="004F3918"/>
    <w:rsid w:val="004F4320"/>
    <w:rsid w:val="004F46AE"/>
    <w:rsid w:val="004F4DBD"/>
    <w:rsid w:val="004F50C8"/>
    <w:rsid w:val="004F58AB"/>
    <w:rsid w:val="004F5DC2"/>
    <w:rsid w:val="004F6A73"/>
    <w:rsid w:val="004F7016"/>
    <w:rsid w:val="004F73E4"/>
    <w:rsid w:val="004F7929"/>
    <w:rsid w:val="004F7C3C"/>
    <w:rsid w:val="004F7DFD"/>
    <w:rsid w:val="0050006D"/>
    <w:rsid w:val="00500395"/>
    <w:rsid w:val="00500765"/>
    <w:rsid w:val="00500992"/>
    <w:rsid w:val="005009CB"/>
    <w:rsid w:val="005010B4"/>
    <w:rsid w:val="00501287"/>
    <w:rsid w:val="0050170B"/>
    <w:rsid w:val="00501990"/>
    <w:rsid w:val="00501A31"/>
    <w:rsid w:val="005027B4"/>
    <w:rsid w:val="00502F44"/>
    <w:rsid w:val="00502FF3"/>
    <w:rsid w:val="00503753"/>
    <w:rsid w:val="0050376F"/>
    <w:rsid w:val="0050398A"/>
    <w:rsid w:val="00503B9D"/>
    <w:rsid w:val="00503CD8"/>
    <w:rsid w:val="005040FD"/>
    <w:rsid w:val="00504302"/>
    <w:rsid w:val="0050433A"/>
    <w:rsid w:val="0050442B"/>
    <w:rsid w:val="00504CE0"/>
    <w:rsid w:val="00505900"/>
    <w:rsid w:val="0050654F"/>
    <w:rsid w:val="00506B8B"/>
    <w:rsid w:val="00506D43"/>
    <w:rsid w:val="0050753E"/>
    <w:rsid w:val="00507C42"/>
    <w:rsid w:val="005113CD"/>
    <w:rsid w:val="005121AA"/>
    <w:rsid w:val="0051228F"/>
    <w:rsid w:val="005124FD"/>
    <w:rsid w:val="005128A9"/>
    <w:rsid w:val="00512EC7"/>
    <w:rsid w:val="0051370A"/>
    <w:rsid w:val="005137BE"/>
    <w:rsid w:val="00513C81"/>
    <w:rsid w:val="00513F94"/>
    <w:rsid w:val="00513FC1"/>
    <w:rsid w:val="00514242"/>
    <w:rsid w:val="005143FB"/>
    <w:rsid w:val="00514418"/>
    <w:rsid w:val="0051495C"/>
    <w:rsid w:val="00514EA3"/>
    <w:rsid w:val="0051502E"/>
    <w:rsid w:val="00515C11"/>
    <w:rsid w:val="00516338"/>
    <w:rsid w:val="00516463"/>
    <w:rsid w:val="005169D7"/>
    <w:rsid w:val="00517027"/>
    <w:rsid w:val="00517114"/>
    <w:rsid w:val="00517601"/>
    <w:rsid w:val="0051762E"/>
    <w:rsid w:val="005176E3"/>
    <w:rsid w:val="00517B2C"/>
    <w:rsid w:val="00517B97"/>
    <w:rsid w:val="00517CC6"/>
    <w:rsid w:val="00520919"/>
    <w:rsid w:val="00520AB7"/>
    <w:rsid w:val="00520B6D"/>
    <w:rsid w:val="00522527"/>
    <w:rsid w:val="0052256B"/>
    <w:rsid w:val="00522E88"/>
    <w:rsid w:val="005230A3"/>
    <w:rsid w:val="005239A3"/>
    <w:rsid w:val="00524A76"/>
    <w:rsid w:val="00524B2B"/>
    <w:rsid w:val="0052550B"/>
    <w:rsid w:val="00526948"/>
    <w:rsid w:val="00526A93"/>
    <w:rsid w:val="005270BD"/>
    <w:rsid w:val="00527692"/>
    <w:rsid w:val="005301B7"/>
    <w:rsid w:val="005314D2"/>
    <w:rsid w:val="0053169E"/>
    <w:rsid w:val="00531A91"/>
    <w:rsid w:val="00531B4B"/>
    <w:rsid w:val="005327A4"/>
    <w:rsid w:val="00532864"/>
    <w:rsid w:val="00532CCD"/>
    <w:rsid w:val="00533383"/>
    <w:rsid w:val="00533AC0"/>
    <w:rsid w:val="00534260"/>
    <w:rsid w:val="00535214"/>
    <w:rsid w:val="00535318"/>
    <w:rsid w:val="00535D50"/>
    <w:rsid w:val="00536ED4"/>
    <w:rsid w:val="00537228"/>
    <w:rsid w:val="0053756A"/>
    <w:rsid w:val="00537C28"/>
    <w:rsid w:val="00537CCB"/>
    <w:rsid w:val="00537FBE"/>
    <w:rsid w:val="005400B7"/>
    <w:rsid w:val="00540322"/>
    <w:rsid w:val="005408BA"/>
    <w:rsid w:val="00540BEF"/>
    <w:rsid w:val="00540F7C"/>
    <w:rsid w:val="005410BF"/>
    <w:rsid w:val="005414B8"/>
    <w:rsid w:val="00541928"/>
    <w:rsid w:val="00541D36"/>
    <w:rsid w:val="00541EB2"/>
    <w:rsid w:val="0054251F"/>
    <w:rsid w:val="00542904"/>
    <w:rsid w:val="00542D4C"/>
    <w:rsid w:val="00544155"/>
    <w:rsid w:val="00544756"/>
    <w:rsid w:val="00544B7C"/>
    <w:rsid w:val="00544D89"/>
    <w:rsid w:val="0054553B"/>
    <w:rsid w:val="00545965"/>
    <w:rsid w:val="00546004"/>
    <w:rsid w:val="00546650"/>
    <w:rsid w:val="0054682A"/>
    <w:rsid w:val="00546E03"/>
    <w:rsid w:val="00546E37"/>
    <w:rsid w:val="00546F35"/>
    <w:rsid w:val="0054742F"/>
    <w:rsid w:val="005474C2"/>
    <w:rsid w:val="00547799"/>
    <w:rsid w:val="00547812"/>
    <w:rsid w:val="00547A6D"/>
    <w:rsid w:val="00547FB9"/>
    <w:rsid w:val="005508B8"/>
    <w:rsid w:val="00550A05"/>
    <w:rsid w:val="00550BB8"/>
    <w:rsid w:val="00551409"/>
    <w:rsid w:val="00551903"/>
    <w:rsid w:val="00551999"/>
    <w:rsid w:val="00551D9C"/>
    <w:rsid w:val="00552C34"/>
    <w:rsid w:val="00552EF0"/>
    <w:rsid w:val="005533A5"/>
    <w:rsid w:val="005539B0"/>
    <w:rsid w:val="00553CA4"/>
    <w:rsid w:val="00553D19"/>
    <w:rsid w:val="005541F7"/>
    <w:rsid w:val="00554202"/>
    <w:rsid w:val="00554356"/>
    <w:rsid w:val="005551C9"/>
    <w:rsid w:val="00555D59"/>
    <w:rsid w:val="00555E9C"/>
    <w:rsid w:val="0055656A"/>
    <w:rsid w:val="00556DF3"/>
    <w:rsid w:val="00556F51"/>
    <w:rsid w:val="00557399"/>
    <w:rsid w:val="00557627"/>
    <w:rsid w:val="00557910"/>
    <w:rsid w:val="00557AE3"/>
    <w:rsid w:val="0056018E"/>
    <w:rsid w:val="00560696"/>
    <w:rsid w:val="0056112D"/>
    <w:rsid w:val="0056171B"/>
    <w:rsid w:val="0056195D"/>
    <w:rsid w:val="00561DF3"/>
    <w:rsid w:val="00561F69"/>
    <w:rsid w:val="005625F6"/>
    <w:rsid w:val="00563144"/>
    <w:rsid w:val="0056383A"/>
    <w:rsid w:val="00564105"/>
    <w:rsid w:val="00564275"/>
    <w:rsid w:val="005646C4"/>
    <w:rsid w:val="00564D5F"/>
    <w:rsid w:val="00565ADB"/>
    <w:rsid w:val="00566AB0"/>
    <w:rsid w:val="0056703A"/>
    <w:rsid w:val="00567280"/>
    <w:rsid w:val="00567373"/>
    <w:rsid w:val="005674F4"/>
    <w:rsid w:val="0057007F"/>
    <w:rsid w:val="00570124"/>
    <w:rsid w:val="005702DD"/>
    <w:rsid w:val="0057048D"/>
    <w:rsid w:val="00570861"/>
    <w:rsid w:val="005708A0"/>
    <w:rsid w:val="00571AFD"/>
    <w:rsid w:val="0057209D"/>
    <w:rsid w:val="00572EEA"/>
    <w:rsid w:val="00573A75"/>
    <w:rsid w:val="00573DD7"/>
    <w:rsid w:val="00574D12"/>
    <w:rsid w:val="0057530C"/>
    <w:rsid w:val="005756CB"/>
    <w:rsid w:val="005757BF"/>
    <w:rsid w:val="00575C9F"/>
    <w:rsid w:val="00575F71"/>
    <w:rsid w:val="0057652E"/>
    <w:rsid w:val="00576B48"/>
    <w:rsid w:val="00576C35"/>
    <w:rsid w:val="00577408"/>
    <w:rsid w:val="00577542"/>
    <w:rsid w:val="00577900"/>
    <w:rsid w:val="00577A0C"/>
    <w:rsid w:val="00577A32"/>
    <w:rsid w:val="00577E4C"/>
    <w:rsid w:val="00581929"/>
    <w:rsid w:val="00581A67"/>
    <w:rsid w:val="00581C10"/>
    <w:rsid w:val="00581CA5"/>
    <w:rsid w:val="00581F7C"/>
    <w:rsid w:val="005821F1"/>
    <w:rsid w:val="005825BB"/>
    <w:rsid w:val="005834F2"/>
    <w:rsid w:val="0058398A"/>
    <w:rsid w:val="00584032"/>
    <w:rsid w:val="005847E7"/>
    <w:rsid w:val="00584B7C"/>
    <w:rsid w:val="00584D92"/>
    <w:rsid w:val="00585446"/>
    <w:rsid w:val="0058593D"/>
    <w:rsid w:val="00585AB5"/>
    <w:rsid w:val="00585CAE"/>
    <w:rsid w:val="00585CD0"/>
    <w:rsid w:val="00585F3D"/>
    <w:rsid w:val="0058611F"/>
    <w:rsid w:val="00586BD8"/>
    <w:rsid w:val="00587639"/>
    <w:rsid w:val="00587F7F"/>
    <w:rsid w:val="00590053"/>
    <w:rsid w:val="005901A8"/>
    <w:rsid w:val="00591156"/>
    <w:rsid w:val="00591A89"/>
    <w:rsid w:val="00591D96"/>
    <w:rsid w:val="00591FBA"/>
    <w:rsid w:val="005921A4"/>
    <w:rsid w:val="005921C9"/>
    <w:rsid w:val="00592A48"/>
    <w:rsid w:val="005937C0"/>
    <w:rsid w:val="00593B65"/>
    <w:rsid w:val="005944C6"/>
    <w:rsid w:val="005946B7"/>
    <w:rsid w:val="00594AAF"/>
    <w:rsid w:val="00594EE7"/>
    <w:rsid w:val="005950AB"/>
    <w:rsid w:val="0059581A"/>
    <w:rsid w:val="00595A6A"/>
    <w:rsid w:val="00595FE5"/>
    <w:rsid w:val="005967E9"/>
    <w:rsid w:val="005A00D7"/>
    <w:rsid w:val="005A0442"/>
    <w:rsid w:val="005A09BE"/>
    <w:rsid w:val="005A10CF"/>
    <w:rsid w:val="005A189C"/>
    <w:rsid w:val="005A1D45"/>
    <w:rsid w:val="005A2233"/>
    <w:rsid w:val="005A2653"/>
    <w:rsid w:val="005A30F7"/>
    <w:rsid w:val="005A361A"/>
    <w:rsid w:val="005A420F"/>
    <w:rsid w:val="005A42A1"/>
    <w:rsid w:val="005A4319"/>
    <w:rsid w:val="005A470C"/>
    <w:rsid w:val="005A4928"/>
    <w:rsid w:val="005A4A3C"/>
    <w:rsid w:val="005A4E37"/>
    <w:rsid w:val="005A4E82"/>
    <w:rsid w:val="005A516A"/>
    <w:rsid w:val="005A5EE2"/>
    <w:rsid w:val="005A686A"/>
    <w:rsid w:val="005A6DD4"/>
    <w:rsid w:val="005A704C"/>
    <w:rsid w:val="005A76D1"/>
    <w:rsid w:val="005A7BF3"/>
    <w:rsid w:val="005A7CD8"/>
    <w:rsid w:val="005B0081"/>
    <w:rsid w:val="005B0575"/>
    <w:rsid w:val="005B0716"/>
    <w:rsid w:val="005B15A4"/>
    <w:rsid w:val="005B1A6A"/>
    <w:rsid w:val="005B1E50"/>
    <w:rsid w:val="005B208E"/>
    <w:rsid w:val="005B2AC9"/>
    <w:rsid w:val="005B2AF8"/>
    <w:rsid w:val="005B2BDA"/>
    <w:rsid w:val="005B3D0E"/>
    <w:rsid w:val="005B4C95"/>
    <w:rsid w:val="005B4DFA"/>
    <w:rsid w:val="005B4EFB"/>
    <w:rsid w:val="005B5145"/>
    <w:rsid w:val="005B5377"/>
    <w:rsid w:val="005B553F"/>
    <w:rsid w:val="005B58B2"/>
    <w:rsid w:val="005B58C7"/>
    <w:rsid w:val="005B5907"/>
    <w:rsid w:val="005B5B12"/>
    <w:rsid w:val="005B678E"/>
    <w:rsid w:val="005B6C4E"/>
    <w:rsid w:val="005B6C94"/>
    <w:rsid w:val="005B7FFE"/>
    <w:rsid w:val="005C0A86"/>
    <w:rsid w:val="005C0E26"/>
    <w:rsid w:val="005C162B"/>
    <w:rsid w:val="005C1B96"/>
    <w:rsid w:val="005C2094"/>
    <w:rsid w:val="005C2418"/>
    <w:rsid w:val="005C255A"/>
    <w:rsid w:val="005C27E4"/>
    <w:rsid w:val="005C2B00"/>
    <w:rsid w:val="005C2C17"/>
    <w:rsid w:val="005C2E64"/>
    <w:rsid w:val="005C3D16"/>
    <w:rsid w:val="005C4A34"/>
    <w:rsid w:val="005C4C64"/>
    <w:rsid w:val="005C5892"/>
    <w:rsid w:val="005C5902"/>
    <w:rsid w:val="005C6035"/>
    <w:rsid w:val="005C60F6"/>
    <w:rsid w:val="005C660F"/>
    <w:rsid w:val="005C6636"/>
    <w:rsid w:val="005C67C0"/>
    <w:rsid w:val="005C695D"/>
    <w:rsid w:val="005C6A2E"/>
    <w:rsid w:val="005C73EE"/>
    <w:rsid w:val="005C76FA"/>
    <w:rsid w:val="005D02B3"/>
    <w:rsid w:val="005D068A"/>
    <w:rsid w:val="005D10EE"/>
    <w:rsid w:val="005D16E2"/>
    <w:rsid w:val="005D1D72"/>
    <w:rsid w:val="005D1D90"/>
    <w:rsid w:val="005D2B89"/>
    <w:rsid w:val="005D368A"/>
    <w:rsid w:val="005D36D9"/>
    <w:rsid w:val="005D3854"/>
    <w:rsid w:val="005D4540"/>
    <w:rsid w:val="005D4CB2"/>
    <w:rsid w:val="005D4DD7"/>
    <w:rsid w:val="005D4FA6"/>
    <w:rsid w:val="005D5494"/>
    <w:rsid w:val="005D57C7"/>
    <w:rsid w:val="005D5C6F"/>
    <w:rsid w:val="005D5D31"/>
    <w:rsid w:val="005D5D35"/>
    <w:rsid w:val="005D5D75"/>
    <w:rsid w:val="005D6577"/>
    <w:rsid w:val="005D65D0"/>
    <w:rsid w:val="005D68F9"/>
    <w:rsid w:val="005D702C"/>
    <w:rsid w:val="005D706C"/>
    <w:rsid w:val="005D72B5"/>
    <w:rsid w:val="005D775E"/>
    <w:rsid w:val="005D7DEC"/>
    <w:rsid w:val="005D7F08"/>
    <w:rsid w:val="005E0F76"/>
    <w:rsid w:val="005E1229"/>
    <w:rsid w:val="005E1315"/>
    <w:rsid w:val="005E1C8B"/>
    <w:rsid w:val="005E273C"/>
    <w:rsid w:val="005E2ACA"/>
    <w:rsid w:val="005E2CBA"/>
    <w:rsid w:val="005E4993"/>
    <w:rsid w:val="005E560F"/>
    <w:rsid w:val="005E5941"/>
    <w:rsid w:val="005E60FD"/>
    <w:rsid w:val="005E6604"/>
    <w:rsid w:val="005E6945"/>
    <w:rsid w:val="005E6BF0"/>
    <w:rsid w:val="005E6FE4"/>
    <w:rsid w:val="005E7480"/>
    <w:rsid w:val="005E7773"/>
    <w:rsid w:val="005E7AE0"/>
    <w:rsid w:val="005E7D52"/>
    <w:rsid w:val="005F0519"/>
    <w:rsid w:val="005F05AE"/>
    <w:rsid w:val="005F1737"/>
    <w:rsid w:val="005F1E56"/>
    <w:rsid w:val="005F21DC"/>
    <w:rsid w:val="005F24CE"/>
    <w:rsid w:val="005F2869"/>
    <w:rsid w:val="005F2883"/>
    <w:rsid w:val="005F2E8A"/>
    <w:rsid w:val="005F34B0"/>
    <w:rsid w:val="005F37AE"/>
    <w:rsid w:val="005F3867"/>
    <w:rsid w:val="005F3B0C"/>
    <w:rsid w:val="005F3B68"/>
    <w:rsid w:val="005F3F0E"/>
    <w:rsid w:val="005F4990"/>
    <w:rsid w:val="005F4CFD"/>
    <w:rsid w:val="005F5752"/>
    <w:rsid w:val="005F5F44"/>
    <w:rsid w:val="005F6B31"/>
    <w:rsid w:val="005F6E84"/>
    <w:rsid w:val="005F7811"/>
    <w:rsid w:val="005F7CCE"/>
    <w:rsid w:val="006000CD"/>
    <w:rsid w:val="00600CCF"/>
    <w:rsid w:val="00600E89"/>
    <w:rsid w:val="00600EB1"/>
    <w:rsid w:val="006014EA"/>
    <w:rsid w:val="00601653"/>
    <w:rsid w:val="00601861"/>
    <w:rsid w:val="0060194F"/>
    <w:rsid w:val="00601B71"/>
    <w:rsid w:val="006023FA"/>
    <w:rsid w:val="00602677"/>
    <w:rsid w:val="006027CB"/>
    <w:rsid w:val="006042E8"/>
    <w:rsid w:val="0060469B"/>
    <w:rsid w:val="006052F6"/>
    <w:rsid w:val="00605860"/>
    <w:rsid w:val="00605CB9"/>
    <w:rsid w:val="00606A92"/>
    <w:rsid w:val="00606D6F"/>
    <w:rsid w:val="00606F07"/>
    <w:rsid w:val="00607954"/>
    <w:rsid w:val="00607CC6"/>
    <w:rsid w:val="00610310"/>
    <w:rsid w:val="006103AF"/>
    <w:rsid w:val="006105D0"/>
    <w:rsid w:val="0061096F"/>
    <w:rsid w:val="00610ADA"/>
    <w:rsid w:val="006113F8"/>
    <w:rsid w:val="00611739"/>
    <w:rsid w:val="00611B7F"/>
    <w:rsid w:val="00612187"/>
    <w:rsid w:val="00612680"/>
    <w:rsid w:val="00613011"/>
    <w:rsid w:val="00613946"/>
    <w:rsid w:val="00613AA8"/>
    <w:rsid w:val="00613D64"/>
    <w:rsid w:val="00613D9D"/>
    <w:rsid w:val="00613EDB"/>
    <w:rsid w:val="00613FAB"/>
    <w:rsid w:val="0061421D"/>
    <w:rsid w:val="0061492E"/>
    <w:rsid w:val="006154C3"/>
    <w:rsid w:val="00615FDE"/>
    <w:rsid w:val="00616248"/>
    <w:rsid w:val="0061626D"/>
    <w:rsid w:val="00616374"/>
    <w:rsid w:val="00616FD7"/>
    <w:rsid w:val="00617009"/>
    <w:rsid w:val="00617410"/>
    <w:rsid w:val="00617699"/>
    <w:rsid w:val="00617828"/>
    <w:rsid w:val="006178D4"/>
    <w:rsid w:val="00617B8B"/>
    <w:rsid w:val="0062041D"/>
    <w:rsid w:val="006212C2"/>
    <w:rsid w:val="006213F0"/>
    <w:rsid w:val="006215F7"/>
    <w:rsid w:val="00621672"/>
    <w:rsid w:val="006216C8"/>
    <w:rsid w:val="00621A57"/>
    <w:rsid w:val="00621D84"/>
    <w:rsid w:val="006222C5"/>
    <w:rsid w:val="0062253B"/>
    <w:rsid w:val="00622C2D"/>
    <w:rsid w:val="00622D20"/>
    <w:rsid w:val="006235E6"/>
    <w:rsid w:val="00623833"/>
    <w:rsid w:val="00623BF1"/>
    <w:rsid w:val="00623C8D"/>
    <w:rsid w:val="00624804"/>
    <w:rsid w:val="00624F20"/>
    <w:rsid w:val="0062510D"/>
    <w:rsid w:val="006251B2"/>
    <w:rsid w:val="006254BF"/>
    <w:rsid w:val="006259F4"/>
    <w:rsid w:val="00625A74"/>
    <w:rsid w:val="00625AF0"/>
    <w:rsid w:val="00625BEB"/>
    <w:rsid w:val="00625E7C"/>
    <w:rsid w:val="0062652F"/>
    <w:rsid w:val="00626575"/>
    <w:rsid w:val="0062693A"/>
    <w:rsid w:val="00626AF5"/>
    <w:rsid w:val="00626B7B"/>
    <w:rsid w:val="00626C64"/>
    <w:rsid w:val="006270D4"/>
    <w:rsid w:val="00627901"/>
    <w:rsid w:val="00627A0B"/>
    <w:rsid w:val="00627D4B"/>
    <w:rsid w:val="00630250"/>
    <w:rsid w:val="006303B6"/>
    <w:rsid w:val="0063047D"/>
    <w:rsid w:val="00630543"/>
    <w:rsid w:val="00630CBA"/>
    <w:rsid w:val="00630CEB"/>
    <w:rsid w:val="00631641"/>
    <w:rsid w:val="00631BEF"/>
    <w:rsid w:val="00631E90"/>
    <w:rsid w:val="0063201E"/>
    <w:rsid w:val="006321F0"/>
    <w:rsid w:val="00632239"/>
    <w:rsid w:val="00632E2F"/>
    <w:rsid w:val="00633160"/>
    <w:rsid w:val="00633258"/>
    <w:rsid w:val="0063328B"/>
    <w:rsid w:val="006334D6"/>
    <w:rsid w:val="006337A4"/>
    <w:rsid w:val="006339B6"/>
    <w:rsid w:val="00633A44"/>
    <w:rsid w:val="00633B04"/>
    <w:rsid w:val="0063426E"/>
    <w:rsid w:val="0063440E"/>
    <w:rsid w:val="00634ACA"/>
    <w:rsid w:val="00634F8D"/>
    <w:rsid w:val="0063509D"/>
    <w:rsid w:val="006350DE"/>
    <w:rsid w:val="00635189"/>
    <w:rsid w:val="0063530D"/>
    <w:rsid w:val="006353F7"/>
    <w:rsid w:val="00635A3E"/>
    <w:rsid w:val="00635C6A"/>
    <w:rsid w:val="00635E94"/>
    <w:rsid w:val="00636635"/>
    <w:rsid w:val="00636831"/>
    <w:rsid w:val="0063695D"/>
    <w:rsid w:val="006370DB"/>
    <w:rsid w:val="00637395"/>
    <w:rsid w:val="00637E12"/>
    <w:rsid w:val="00640246"/>
    <w:rsid w:val="006402F3"/>
    <w:rsid w:val="006402F7"/>
    <w:rsid w:val="00640577"/>
    <w:rsid w:val="00640CFA"/>
    <w:rsid w:val="00640D82"/>
    <w:rsid w:val="006413AC"/>
    <w:rsid w:val="00641C7D"/>
    <w:rsid w:val="00642300"/>
    <w:rsid w:val="00642454"/>
    <w:rsid w:val="0064260A"/>
    <w:rsid w:val="006426EA"/>
    <w:rsid w:val="00642AC6"/>
    <w:rsid w:val="00642EC6"/>
    <w:rsid w:val="006434AE"/>
    <w:rsid w:val="0064373F"/>
    <w:rsid w:val="00643D95"/>
    <w:rsid w:val="006440E0"/>
    <w:rsid w:val="0064421B"/>
    <w:rsid w:val="00644348"/>
    <w:rsid w:val="00644786"/>
    <w:rsid w:val="006447DE"/>
    <w:rsid w:val="00644B5C"/>
    <w:rsid w:val="00645578"/>
    <w:rsid w:val="00645F19"/>
    <w:rsid w:val="006461EF"/>
    <w:rsid w:val="00646404"/>
    <w:rsid w:val="00646544"/>
    <w:rsid w:val="00646E84"/>
    <w:rsid w:val="0064778A"/>
    <w:rsid w:val="00650796"/>
    <w:rsid w:val="00650906"/>
    <w:rsid w:val="00650A13"/>
    <w:rsid w:val="00650A5F"/>
    <w:rsid w:val="00650BAB"/>
    <w:rsid w:val="00651087"/>
    <w:rsid w:val="006514CF"/>
    <w:rsid w:val="00651E41"/>
    <w:rsid w:val="006522D2"/>
    <w:rsid w:val="006522FF"/>
    <w:rsid w:val="00652D0C"/>
    <w:rsid w:val="0065334B"/>
    <w:rsid w:val="0065434F"/>
    <w:rsid w:val="0065435F"/>
    <w:rsid w:val="00654CC4"/>
    <w:rsid w:val="00654F9E"/>
    <w:rsid w:val="00655499"/>
    <w:rsid w:val="006554AA"/>
    <w:rsid w:val="006554B7"/>
    <w:rsid w:val="0065562C"/>
    <w:rsid w:val="00655FC0"/>
    <w:rsid w:val="00656C4A"/>
    <w:rsid w:val="00656E30"/>
    <w:rsid w:val="00656E51"/>
    <w:rsid w:val="006570BC"/>
    <w:rsid w:val="00657AB6"/>
    <w:rsid w:val="00660225"/>
    <w:rsid w:val="006602CC"/>
    <w:rsid w:val="00660329"/>
    <w:rsid w:val="00660391"/>
    <w:rsid w:val="006603B7"/>
    <w:rsid w:val="006606D8"/>
    <w:rsid w:val="006608E8"/>
    <w:rsid w:val="00660A0C"/>
    <w:rsid w:val="00660B3D"/>
    <w:rsid w:val="006611EC"/>
    <w:rsid w:val="006614C6"/>
    <w:rsid w:val="00662371"/>
    <w:rsid w:val="00663092"/>
    <w:rsid w:val="0066393D"/>
    <w:rsid w:val="00663CEE"/>
    <w:rsid w:val="006641FE"/>
    <w:rsid w:val="00664360"/>
    <w:rsid w:val="00664DC8"/>
    <w:rsid w:val="0066508D"/>
    <w:rsid w:val="00665339"/>
    <w:rsid w:val="00665673"/>
    <w:rsid w:val="00665B0E"/>
    <w:rsid w:val="00665FFC"/>
    <w:rsid w:val="00666430"/>
    <w:rsid w:val="00666599"/>
    <w:rsid w:val="00666845"/>
    <w:rsid w:val="0066699D"/>
    <w:rsid w:val="00666CA1"/>
    <w:rsid w:val="00666E89"/>
    <w:rsid w:val="00667467"/>
    <w:rsid w:val="00667781"/>
    <w:rsid w:val="00667A14"/>
    <w:rsid w:val="00670196"/>
    <w:rsid w:val="00670352"/>
    <w:rsid w:val="00670538"/>
    <w:rsid w:val="00670C0F"/>
    <w:rsid w:val="00670D52"/>
    <w:rsid w:val="006716EB"/>
    <w:rsid w:val="00671D73"/>
    <w:rsid w:val="00671E14"/>
    <w:rsid w:val="0067211D"/>
    <w:rsid w:val="00672750"/>
    <w:rsid w:val="006728DD"/>
    <w:rsid w:val="00672C77"/>
    <w:rsid w:val="00672CBC"/>
    <w:rsid w:val="006731C0"/>
    <w:rsid w:val="006734AA"/>
    <w:rsid w:val="00673B19"/>
    <w:rsid w:val="00674D52"/>
    <w:rsid w:val="00675007"/>
    <w:rsid w:val="0067543C"/>
    <w:rsid w:val="006755A6"/>
    <w:rsid w:val="00675836"/>
    <w:rsid w:val="00675E9C"/>
    <w:rsid w:val="00676186"/>
    <w:rsid w:val="00676A49"/>
    <w:rsid w:val="00676F8C"/>
    <w:rsid w:val="00677BE3"/>
    <w:rsid w:val="00677C96"/>
    <w:rsid w:val="0068029C"/>
    <w:rsid w:val="00680539"/>
    <w:rsid w:val="00680C14"/>
    <w:rsid w:val="00681CDF"/>
    <w:rsid w:val="00681DAE"/>
    <w:rsid w:val="006826D8"/>
    <w:rsid w:val="00682E4D"/>
    <w:rsid w:val="006832F7"/>
    <w:rsid w:val="0068361F"/>
    <w:rsid w:val="00683A79"/>
    <w:rsid w:val="00683DE8"/>
    <w:rsid w:val="00683E8E"/>
    <w:rsid w:val="00684470"/>
    <w:rsid w:val="006844B1"/>
    <w:rsid w:val="006844C3"/>
    <w:rsid w:val="0068498B"/>
    <w:rsid w:val="00685270"/>
    <w:rsid w:val="00685C8B"/>
    <w:rsid w:val="00686665"/>
    <w:rsid w:val="00686D1A"/>
    <w:rsid w:val="00686E09"/>
    <w:rsid w:val="00687200"/>
    <w:rsid w:val="0068775D"/>
    <w:rsid w:val="00687E7C"/>
    <w:rsid w:val="00690C1D"/>
    <w:rsid w:val="00690E82"/>
    <w:rsid w:val="006914DD"/>
    <w:rsid w:val="00691BBC"/>
    <w:rsid w:val="00692039"/>
    <w:rsid w:val="006922AD"/>
    <w:rsid w:val="0069238D"/>
    <w:rsid w:val="006923CE"/>
    <w:rsid w:val="006925D4"/>
    <w:rsid w:val="00693256"/>
    <w:rsid w:val="00693623"/>
    <w:rsid w:val="00693D8E"/>
    <w:rsid w:val="00693EAA"/>
    <w:rsid w:val="00694986"/>
    <w:rsid w:val="00694A94"/>
    <w:rsid w:val="00695040"/>
    <w:rsid w:val="0069545B"/>
    <w:rsid w:val="006954A7"/>
    <w:rsid w:val="0069584C"/>
    <w:rsid w:val="00695CC6"/>
    <w:rsid w:val="006962B6"/>
    <w:rsid w:val="00696E32"/>
    <w:rsid w:val="006A063C"/>
    <w:rsid w:val="006A0E78"/>
    <w:rsid w:val="006A111D"/>
    <w:rsid w:val="006A148D"/>
    <w:rsid w:val="006A17F7"/>
    <w:rsid w:val="006A1B15"/>
    <w:rsid w:val="006A1EDA"/>
    <w:rsid w:val="006A1F1F"/>
    <w:rsid w:val="006A1FF7"/>
    <w:rsid w:val="006A2A94"/>
    <w:rsid w:val="006A2FE2"/>
    <w:rsid w:val="006A3AA1"/>
    <w:rsid w:val="006A4462"/>
    <w:rsid w:val="006A44BF"/>
    <w:rsid w:val="006A4677"/>
    <w:rsid w:val="006A46B0"/>
    <w:rsid w:val="006A4A8C"/>
    <w:rsid w:val="006A4CF2"/>
    <w:rsid w:val="006A4D1F"/>
    <w:rsid w:val="006A5081"/>
    <w:rsid w:val="006A5C66"/>
    <w:rsid w:val="006A5E8E"/>
    <w:rsid w:val="006A62EB"/>
    <w:rsid w:val="006A65FC"/>
    <w:rsid w:val="006A75F0"/>
    <w:rsid w:val="006A7682"/>
    <w:rsid w:val="006B135C"/>
    <w:rsid w:val="006B1BCB"/>
    <w:rsid w:val="006B2280"/>
    <w:rsid w:val="006B2B01"/>
    <w:rsid w:val="006B308E"/>
    <w:rsid w:val="006B321F"/>
    <w:rsid w:val="006B358D"/>
    <w:rsid w:val="006B36C3"/>
    <w:rsid w:val="006B36D5"/>
    <w:rsid w:val="006B40D9"/>
    <w:rsid w:val="006B4159"/>
    <w:rsid w:val="006B4350"/>
    <w:rsid w:val="006B4646"/>
    <w:rsid w:val="006B4C41"/>
    <w:rsid w:val="006B50A3"/>
    <w:rsid w:val="006B5DFE"/>
    <w:rsid w:val="006B5E7D"/>
    <w:rsid w:val="006B6E8C"/>
    <w:rsid w:val="006B70BA"/>
    <w:rsid w:val="006B773D"/>
    <w:rsid w:val="006B78DF"/>
    <w:rsid w:val="006B78FA"/>
    <w:rsid w:val="006B7F21"/>
    <w:rsid w:val="006C039E"/>
    <w:rsid w:val="006C0C04"/>
    <w:rsid w:val="006C0C54"/>
    <w:rsid w:val="006C0F5B"/>
    <w:rsid w:val="006C1087"/>
    <w:rsid w:val="006C16BB"/>
    <w:rsid w:val="006C1E3A"/>
    <w:rsid w:val="006C229E"/>
    <w:rsid w:val="006C255A"/>
    <w:rsid w:val="006C267B"/>
    <w:rsid w:val="006C2BCA"/>
    <w:rsid w:val="006C2D40"/>
    <w:rsid w:val="006C2F53"/>
    <w:rsid w:val="006C37AF"/>
    <w:rsid w:val="006C45B3"/>
    <w:rsid w:val="006C46B7"/>
    <w:rsid w:val="006C4B41"/>
    <w:rsid w:val="006C4D46"/>
    <w:rsid w:val="006C555F"/>
    <w:rsid w:val="006C5594"/>
    <w:rsid w:val="006C55B7"/>
    <w:rsid w:val="006C5633"/>
    <w:rsid w:val="006C585E"/>
    <w:rsid w:val="006C5C57"/>
    <w:rsid w:val="006C7173"/>
    <w:rsid w:val="006C7A6B"/>
    <w:rsid w:val="006C7C78"/>
    <w:rsid w:val="006C7EBC"/>
    <w:rsid w:val="006D029E"/>
    <w:rsid w:val="006D0326"/>
    <w:rsid w:val="006D08CE"/>
    <w:rsid w:val="006D0A51"/>
    <w:rsid w:val="006D160E"/>
    <w:rsid w:val="006D1C0E"/>
    <w:rsid w:val="006D1CEC"/>
    <w:rsid w:val="006D20AF"/>
    <w:rsid w:val="006D26BA"/>
    <w:rsid w:val="006D2736"/>
    <w:rsid w:val="006D2E6B"/>
    <w:rsid w:val="006D3195"/>
    <w:rsid w:val="006D3C0E"/>
    <w:rsid w:val="006D3F51"/>
    <w:rsid w:val="006D4049"/>
    <w:rsid w:val="006D441C"/>
    <w:rsid w:val="006D447D"/>
    <w:rsid w:val="006D581D"/>
    <w:rsid w:val="006D59C5"/>
    <w:rsid w:val="006D5CD1"/>
    <w:rsid w:val="006D61D3"/>
    <w:rsid w:val="006D634E"/>
    <w:rsid w:val="006D6814"/>
    <w:rsid w:val="006D6DF8"/>
    <w:rsid w:val="006D6F3B"/>
    <w:rsid w:val="006D70E4"/>
    <w:rsid w:val="006D74C6"/>
    <w:rsid w:val="006D7813"/>
    <w:rsid w:val="006D7A4F"/>
    <w:rsid w:val="006D7BC7"/>
    <w:rsid w:val="006E0905"/>
    <w:rsid w:val="006E0A7F"/>
    <w:rsid w:val="006E1251"/>
    <w:rsid w:val="006E1C14"/>
    <w:rsid w:val="006E1D96"/>
    <w:rsid w:val="006E2374"/>
    <w:rsid w:val="006E2A4D"/>
    <w:rsid w:val="006E2BA7"/>
    <w:rsid w:val="006E2C75"/>
    <w:rsid w:val="006E2C7A"/>
    <w:rsid w:val="006E43FC"/>
    <w:rsid w:val="006E472D"/>
    <w:rsid w:val="006E49A2"/>
    <w:rsid w:val="006E4AF8"/>
    <w:rsid w:val="006E4FF6"/>
    <w:rsid w:val="006E53B2"/>
    <w:rsid w:val="006E5509"/>
    <w:rsid w:val="006E5D20"/>
    <w:rsid w:val="006E62C6"/>
    <w:rsid w:val="006E6FDD"/>
    <w:rsid w:val="006E7B8A"/>
    <w:rsid w:val="006F0C64"/>
    <w:rsid w:val="006F0E0F"/>
    <w:rsid w:val="006F0E4C"/>
    <w:rsid w:val="006F10FD"/>
    <w:rsid w:val="006F1295"/>
    <w:rsid w:val="006F16E8"/>
    <w:rsid w:val="006F194B"/>
    <w:rsid w:val="006F2A6F"/>
    <w:rsid w:val="006F2B12"/>
    <w:rsid w:val="006F3389"/>
    <w:rsid w:val="006F35F0"/>
    <w:rsid w:val="006F380C"/>
    <w:rsid w:val="006F4125"/>
    <w:rsid w:val="006F484A"/>
    <w:rsid w:val="006F49DC"/>
    <w:rsid w:val="006F4F24"/>
    <w:rsid w:val="006F52EE"/>
    <w:rsid w:val="006F55AD"/>
    <w:rsid w:val="006F57EA"/>
    <w:rsid w:val="006F594E"/>
    <w:rsid w:val="006F5E20"/>
    <w:rsid w:val="006F5F04"/>
    <w:rsid w:val="006F6919"/>
    <w:rsid w:val="006F6E80"/>
    <w:rsid w:val="006F6EDC"/>
    <w:rsid w:val="006F77B9"/>
    <w:rsid w:val="006F77D8"/>
    <w:rsid w:val="00700046"/>
    <w:rsid w:val="007001B2"/>
    <w:rsid w:val="0070089C"/>
    <w:rsid w:val="00700BF4"/>
    <w:rsid w:val="00700CF6"/>
    <w:rsid w:val="00700F39"/>
    <w:rsid w:val="00701743"/>
    <w:rsid w:val="00701DD2"/>
    <w:rsid w:val="007025D0"/>
    <w:rsid w:val="00702DA8"/>
    <w:rsid w:val="007030B5"/>
    <w:rsid w:val="0070378B"/>
    <w:rsid w:val="00703AEE"/>
    <w:rsid w:val="00704777"/>
    <w:rsid w:val="00704805"/>
    <w:rsid w:val="00704A90"/>
    <w:rsid w:val="00704AEA"/>
    <w:rsid w:val="007053C8"/>
    <w:rsid w:val="007056A5"/>
    <w:rsid w:val="00705B31"/>
    <w:rsid w:val="007074AE"/>
    <w:rsid w:val="00707C22"/>
    <w:rsid w:val="00707CC3"/>
    <w:rsid w:val="0071029E"/>
    <w:rsid w:val="00710467"/>
    <w:rsid w:val="0071053A"/>
    <w:rsid w:val="00710945"/>
    <w:rsid w:val="00710A4B"/>
    <w:rsid w:val="00710B0D"/>
    <w:rsid w:val="00710F61"/>
    <w:rsid w:val="007114E0"/>
    <w:rsid w:val="007116E6"/>
    <w:rsid w:val="00711910"/>
    <w:rsid w:val="007122DD"/>
    <w:rsid w:val="00712359"/>
    <w:rsid w:val="00712432"/>
    <w:rsid w:val="00712D20"/>
    <w:rsid w:val="007130A0"/>
    <w:rsid w:val="007133F4"/>
    <w:rsid w:val="007136F1"/>
    <w:rsid w:val="00713755"/>
    <w:rsid w:val="00713B02"/>
    <w:rsid w:val="007146A4"/>
    <w:rsid w:val="0071476D"/>
    <w:rsid w:val="00714F40"/>
    <w:rsid w:val="00715D2E"/>
    <w:rsid w:val="0071640D"/>
    <w:rsid w:val="0071715E"/>
    <w:rsid w:val="0071717B"/>
    <w:rsid w:val="00717797"/>
    <w:rsid w:val="0071784D"/>
    <w:rsid w:val="00720101"/>
    <w:rsid w:val="00720159"/>
    <w:rsid w:val="00720339"/>
    <w:rsid w:val="0072068F"/>
    <w:rsid w:val="00720C9F"/>
    <w:rsid w:val="00720CAE"/>
    <w:rsid w:val="00720D3B"/>
    <w:rsid w:val="00720D6F"/>
    <w:rsid w:val="00720F83"/>
    <w:rsid w:val="007220A1"/>
    <w:rsid w:val="00722473"/>
    <w:rsid w:val="007227C1"/>
    <w:rsid w:val="00722931"/>
    <w:rsid w:val="00722E1E"/>
    <w:rsid w:val="007237C6"/>
    <w:rsid w:val="0072389B"/>
    <w:rsid w:val="00723979"/>
    <w:rsid w:val="00723AB5"/>
    <w:rsid w:val="00724172"/>
    <w:rsid w:val="00724D41"/>
    <w:rsid w:val="00724D42"/>
    <w:rsid w:val="00724DE6"/>
    <w:rsid w:val="0072554F"/>
    <w:rsid w:val="00725884"/>
    <w:rsid w:val="007258CD"/>
    <w:rsid w:val="00725B60"/>
    <w:rsid w:val="00725F0C"/>
    <w:rsid w:val="00726012"/>
    <w:rsid w:val="007268B1"/>
    <w:rsid w:val="0072701C"/>
    <w:rsid w:val="00727123"/>
    <w:rsid w:val="0072760B"/>
    <w:rsid w:val="007279FF"/>
    <w:rsid w:val="00727B74"/>
    <w:rsid w:val="00727BF0"/>
    <w:rsid w:val="007300CB"/>
    <w:rsid w:val="00730139"/>
    <w:rsid w:val="00730147"/>
    <w:rsid w:val="00730327"/>
    <w:rsid w:val="00730720"/>
    <w:rsid w:val="00730AE8"/>
    <w:rsid w:val="00730C23"/>
    <w:rsid w:val="00730F9C"/>
    <w:rsid w:val="00731436"/>
    <w:rsid w:val="00731913"/>
    <w:rsid w:val="007320AC"/>
    <w:rsid w:val="0073256A"/>
    <w:rsid w:val="00732668"/>
    <w:rsid w:val="00732A20"/>
    <w:rsid w:val="00732C5F"/>
    <w:rsid w:val="007331F0"/>
    <w:rsid w:val="00733732"/>
    <w:rsid w:val="00733DED"/>
    <w:rsid w:val="00733E0B"/>
    <w:rsid w:val="00733F3B"/>
    <w:rsid w:val="0073427C"/>
    <w:rsid w:val="0073481A"/>
    <w:rsid w:val="00734E30"/>
    <w:rsid w:val="00735CAE"/>
    <w:rsid w:val="00735FFC"/>
    <w:rsid w:val="00736043"/>
    <w:rsid w:val="00736648"/>
    <w:rsid w:val="00736B51"/>
    <w:rsid w:val="00736CA6"/>
    <w:rsid w:val="007375E7"/>
    <w:rsid w:val="00737A0E"/>
    <w:rsid w:val="00737ADF"/>
    <w:rsid w:val="0074020A"/>
    <w:rsid w:val="007406A5"/>
    <w:rsid w:val="00740BB8"/>
    <w:rsid w:val="0074182D"/>
    <w:rsid w:val="007422E2"/>
    <w:rsid w:val="0074241C"/>
    <w:rsid w:val="00742548"/>
    <w:rsid w:val="00742ECF"/>
    <w:rsid w:val="00743122"/>
    <w:rsid w:val="0074312B"/>
    <w:rsid w:val="0074316F"/>
    <w:rsid w:val="00743383"/>
    <w:rsid w:val="00743C95"/>
    <w:rsid w:val="00743F6B"/>
    <w:rsid w:val="0074417C"/>
    <w:rsid w:val="007441C5"/>
    <w:rsid w:val="00744B34"/>
    <w:rsid w:val="007451BD"/>
    <w:rsid w:val="007454EB"/>
    <w:rsid w:val="0074644B"/>
    <w:rsid w:val="0074659F"/>
    <w:rsid w:val="00746828"/>
    <w:rsid w:val="00746B99"/>
    <w:rsid w:val="00747906"/>
    <w:rsid w:val="007479BD"/>
    <w:rsid w:val="00747DCD"/>
    <w:rsid w:val="0075012D"/>
    <w:rsid w:val="00750A16"/>
    <w:rsid w:val="00750B44"/>
    <w:rsid w:val="007524AB"/>
    <w:rsid w:val="007527E6"/>
    <w:rsid w:val="00752C75"/>
    <w:rsid w:val="00752F25"/>
    <w:rsid w:val="00753000"/>
    <w:rsid w:val="007531AD"/>
    <w:rsid w:val="007531C1"/>
    <w:rsid w:val="00753304"/>
    <w:rsid w:val="00753430"/>
    <w:rsid w:val="007535E7"/>
    <w:rsid w:val="00753A3C"/>
    <w:rsid w:val="00753EF9"/>
    <w:rsid w:val="007540AE"/>
    <w:rsid w:val="0075428E"/>
    <w:rsid w:val="007544D7"/>
    <w:rsid w:val="00754B62"/>
    <w:rsid w:val="00754E35"/>
    <w:rsid w:val="00755079"/>
    <w:rsid w:val="0075563C"/>
    <w:rsid w:val="00755FBD"/>
    <w:rsid w:val="0075658F"/>
    <w:rsid w:val="0075663E"/>
    <w:rsid w:val="0075664E"/>
    <w:rsid w:val="00757B95"/>
    <w:rsid w:val="007601BC"/>
    <w:rsid w:val="00760933"/>
    <w:rsid w:val="007610D5"/>
    <w:rsid w:val="00762323"/>
    <w:rsid w:val="0076238D"/>
    <w:rsid w:val="0076272A"/>
    <w:rsid w:val="00763344"/>
    <w:rsid w:val="007634C9"/>
    <w:rsid w:val="00764620"/>
    <w:rsid w:val="007646AF"/>
    <w:rsid w:val="007649DC"/>
    <w:rsid w:val="00764C6F"/>
    <w:rsid w:val="00765095"/>
    <w:rsid w:val="00765F04"/>
    <w:rsid w:val="00765F7B"/>
    <w:rsid w:val="00766605"/>
    <w:rsid w:val="00766694"/>
    <w:rsid w:val="00766F54"/>
    <w:rsid w:val="0076752C"/>
    <w:rsid w:val="00767C3E"/>
    <w:rsid w:val="0077097B"/>
    <w:rsid w:val="0077137C"/>
    <w:rsid w:val="007713BA"/>
    <w:rsid w:val="00771EC9"/>
    <w:rsid w:val="00772B90"/>
    <w:rsid w:val="00772C75"/>
    <w:rsid w:val="0077309E"/>
    <w:rsid w:val="0077317E"/>
    <w:rsid w:val="0077333E"/>
    <w:rsid w:val="007733F2"/>
    <w:rsid w:val="007735D8"/>
    <w:rsid w:val="007741BE"/>
    <w:rsid w:val="007742FE"/>
    <w:rsid w:val="007753AF"/>
    <w:rsid w:val="00775E62"/>
    <w:rsid w:val="007766BD"/>
    <w:rsid w:val="00776EF4"/>
    <w:rsid w:val="007770D8"/>
    <w:rsid w:val="00777272"/>
    <w:rsid w:val="0077797F"/>
    <w:rsid w:val="00777B79"/>
    <w:rsid w:val="00777E8A"/>
    <w:rsid w:val="00777F2E"/>
    <w:rsid w:val="00777F32"/>
    <w:rsid w:val="007800F3"/>
    <w:rsid w:val="00780775"/>
    <w:rsid w:val="00780A4C"/>
    <w:rsid w:val="007810A3"/>
    <w:rsid w:val="00781680"/>
    <w:rsid w:val="007821D9"/>
    <w:rsid w:val="0078275A"/>
    <w:rsid w:val="0078324A"/>
    <w:rsid w:val="00783419"/>
    <w:rsid w:val="00783907"/>
    <w:rsid w:val="007843E4"/>
    <w:rsid w:val="00784481"/>
    <w:rsid w:val="007845E3"/>
    <w:rsid w:val="007849B8"/>
    <w:rsid w:val="00784EC6"/>
    <w:rsid w:val="00785882"/>
    <w:rsid w:val="00785A62"/>
    <w:rsid w:val="00785A9D"/>
    <w:rsid w:val="00785F42"/>
    <w:rsid w:val="0078618C"/>
    <w:rsid w:val="00786930"/>
    <w:rsid w:val="00786F80"/>
    <w:rsid w:val="00787106"/>
    <w:rsid w:val="00787143"/>
    <w:rsid w:val="0078770A"/>
    <w:rsid w:val="00787F54"/>
    <w:rsid w:val="00790C36"/>
    <w:rsid w:val="00790CB4"/>
    <w:rsid w:val="00790F2C"/>
    <w:rsid w:val="0079112E"/>
    <w:rsid w:val="007912F5"/>
    <w:rsid w:val="0079152E"/>
    <w:rsid w:val="00791CDB"/>
    <w:rsid w:val="00791D23"/>
    <w:rsid w:val="00792539"/>
    <w:rsid w:val="00792641"/>
    <w:rsid w:val="00792827"/>
    <w:rsid w:val="007931A9"/>
    <w:rsid w:val="00793575"/>
    <w:rsid w:val="007937D8"/>
    <w:rsid w:val="00793981"/>
    <w:rsid w:val="00793C67"/>
    <w:rsid w:val="00793D09"/>
    <w:rsid w:val="00794556"/>
    <w:rsid w:val="00794631"/>
    <w:rsid w:val="00794992"/>
    <w:rsid w:val="00794F40"/>
    <w:rsid w:val="007951A6"/>
    <w:rsid w:val="00795546"/>
    <w:rsid w:val="00795624"/>
    <w:rsid w:val="007957E7"/>
    <w:rsid w:val="00795A86"/>
    <w:rsid w:val="00796005"/>
    <w:rsid w:val="00796392"/>
    <w:rsid w:val="00796AF8"/>
    <w:rsid w:val="00796E37"/>
    <w:rsid w:val="007972F6"/>
    <w:rsid w:val="00797A20"/>
    <w:rsid w:val="007A00A6"/>
    <w:rsid w:val="007A03B5"/>
    <w:rsid w:val="007A04D1"/>
    <w:rsid w:val="007A0A3F"/>
    <w:rsid w:val="007A0D51"/>
    <w:rsid w:val="007A0ED3"/>
    <w:rsid w:val="007A12F4"/>
    <w:rsid w:val="007A13F5"/>
    <w:rsid w:val="007A17B8"/>
    <w:rsid w:val="007A1C24"/>
    <w:rsid w:val="007A1FFF"/>
    <w:rsid w:val="007A2043"/>
    <w:rsid w:val="007A26CB"/>
    <w:rsid w:val="007A28B5"/>
    <w:rsid w:val="007A42F8"/>
    <w:rsid w:val="007A44E8"/>
    <w:rsid w:val="007A44ED"/>
    <w:rsid w:val="007A4506"/>
    <w:rsid w:val="007A4D4B"/>
    <w:rsid w:val="007A4F07"/>
    <w:rsid w:val="007A51D2"/>
    <w:rsid w:val="007A54ED"/>
    <w:rsid w:val="007A59A9"/>
    <w:rsid w:val="007A6EA8"/>
    <w:rsid w:val="007A6FEC"/>
    <w:rsid w:val="007A70CB"/>
    <w:rsid w:val="007A7143"/>
    <w:rsid w:val="007A7918"/>
    <w:rsid w:val="007A7996"/>
    <w:rsid w:val="007A7FD3"/>
    <w:rsid w:val="007B0B8D"/>
    <w:rsid w:val="007B0C4C"/>
    <w:rsid w:val="007B0F7B"/>
    <w:rsid w:val="007B1123"/>
    <w:rsid w:val="007B1C62"/>
    <w:rsid w:val="007B1E1E"/>
    <w:rsid w:val="007B1E81"/>
    <w:rsid w:val="007B1F6A"/>
    <w:rsid w:val="007B203C"/>
    <w:rsid w:val="007B27CE"/>
    <w:rsid w:val="007B2982"/>
    <w:rsid w:val="007B2B8E"/>
    <w:rsid w:val="007B2ECF"/>
    <w:rsid w:val="007B3348"/>
    <w:rsid w:val="007B3493"/>
    <w:rsid w:val="007B3510"/>
    <w:rsid w:val="007B35A4"/>
    <w:rsid w:val="007B422A"/>
    <w:rsid w:val="007B43A1"/>
    <w:rsid w:val="007B4610"/>
    <w:rsid w:val="007B5032"/>
    <w:rsid w:val="007B5568"/>
    <w:rsid w:val="007B5D7C"/>
    <w:rsid w:val="007B6680"/>
    <w:rsid w:val="007B7A78"/>
    <w:rsid w:val="007C01F5"/>
    <w:rsid w:val="007C0413"/>
    <w:rsid w:val="007C0534"/>
    <w:rsid w:val="007C1987"/>
    <w:rsid w:val="007C19B4"/>
    <w:rsid w:val="007C20AA"/>
    <w:rsid w:val="007C2B36"/>
    <w:rsid w:val="007C2E25"/>
    <w:rsid w:val="007C3215"/>
    <w:rsid w:val="007C3492"/>
    <w:rsid w:val="007C3771"/>
    <w:rsid w:val="007C3A63"/>
    <w:rsid w:val="007C4F44"/>
    <w:rsid w:val="007C54E9"/>
    <w:rsid w:val="007C5509"/>
    <w:rsid w:val="007C59F3"/>
    <w:rsid w:val="007C5DD8"/>
    <w:rsid w:val="007C5E03"/>
    <w:rsid w:val="007C5E66"/>
    <w:rsid w:val="007C5F19"/>
    <w:rsid w:val="007C619C"/>
    <w:rsid w:val="007C6962"/>
    <w:rsid w:val="007C76A6"/>
    <w:rsid w:val="007C7874"/>
    <w:rsid w:val="007C78F6"/>
    <w:rsid w:val="007C7DD0"/>
    <w:rsid w:val="007C7E8D"/>
    <w:rsid w:val="007D021F"/>
    <w:rsid w:val="007D069E"/>
    <w:rsid w:val="007D07D5"/>
    <w:rsid w:val="007D08EA"/>
    <w:rsid w:val="007D0C65"/>
    <w:rsid w:val="007D0D4E"/>
    <w:rsid w:val="007D108C"/>
    <w:rsid w:val="007D137B"/>
    <w:rsid w:val="007D16A1"/>
    <w:rsid w:val="007D18FF"/>
    <w:rsid w:val="007D1CDA"/>
    <w:rsid w:val="007D2083"/>
    <w:rsid w:val="007D21B7"/>
    <w:rsid w:val="007D284E"/>
    <w:rsid w:val="007D2946"/>
    <w:rsid w:val="007D29B2"/>
    <w:rsid w:val="007D2BB0"/>
    <w:rsid w:val="007D4476"/>
    <w:rsid w:val="007D46E0"/>
    <w:rsid w:val="007D48EA"/>
    <w:rsid w:val="007D4E1A"/>
    <w:rsid w:val="007D508D"/>
    <w:rsid w:val="007D58A6"/>
    <w:rsid w:val="007D5A1C"/>
    <w:rsid w:val="007D5C11"/>
    <w:rsid w:val="007D5DEB"/>
    <w:rsid w:val="007D6720"/>
    <w:rsid w:val="007D6989"/>
    <w:rsid w:val="007D6B71"/>
    <w:rsid w:val="007D73ED"/>
    <w:rsid w:val="007D7950"/>
    <w:rsid w:val="007D7A62"/>
    <w:rsid w:val="007D7FEB"/>
    <w:rsid w:val="007E046B"/>
    <w:rsid w:val="007E13F9"/>
    <w:rsid w:val="007E147E"/>
    <w:rsid w:val="007E19D1"/>
    <w:rsid w:val="007E1DE5"/>
    <w:rsid w:val="007E1EF1"/>
    <w:rsid w:val="007E22C2"/>
    <w:rsid w:val="007E26CB"/>
    <w:rsid w:val="007E28F0"/>
    <w:rsid w:val="007E2B5C"/>
    <w:rsid w:val="007E2B6A"/>
    <w:rsid w:val="007E2C00"/>
    <w:rsid w:val="007E2D85"/>
    <w:rsid w:val="007E3068"/>
    <w:rsid w:val="007E3231"/>
    <w:rsid w:val="007E38D7"/>
    <w:rsid w:val="007E3F25"/>
    <w:rsid w:val="007E4441"/>
    <w:rsid w:val="007E48AB"/>
    <w:rsid w:val="007E4C82"/>
    <w:rsid w:val="007E4D31"/>
    <w:rsid w:val="007E54BD"/>
    <w:rsid w:val="007E5978"/>
    <w:rsid w:val="007E5B4B"/>
    <w:rsid w:val="007E5E42"/>
    <w:rsid w:val="007E6465"/>
    <w:rsid w:val="007E6B3E"/>
    <w:rsid w:val="007E6C15"/>
    <w:rsid w:val="007E7797"/>
    <w:rsid w:val="007E7ACF"/>
    <w:rsid w:val="007E7B40"/>
    <w:rsid w:val="007F0971"/>
    <w:rsid w:val="007F0ADB"/>
    <w:rsid w:val="007F0D4E"/>
    <w:rsid w:val="007F0FFE"/>
    <w:rsid w:val="007F10FF"/>
    <w:rsid w:val="007F2267"/>
    <w:rsid w:val="007F247C"/>
    <w:rsid w:val="007F2F22"/>
    <w:rsid w:val="007F383D"/>
    <w:rsid w:val="007F39C4"/>
    <w:rsid w:val="007F3BD0"/>
    <w:rsid w:val="007F4116"/>
    <w:rsid w:val="007F4176"/>
    <w:rsid w:val="007F424A"/>
    <w:rsid w:val="007F4349"/>
    <w:rsid w:val="007F43CF"/>
    <w:rsid w:val="007F49BA"/>
    <w:rsid w:val="007F4EE9"/>
    <w:rsid w:val="007F51D2"/>
    <w:rsid w:val="007F569D"/>
    <w:rsid w:val="007F57DD"/>
    <w:rsid w:val="007F59E5"/>
    <w:rsid w:val="007F5C22"/>
    <w:rsid w:val="007F66CD"/>
    <w:rsid w:val="007F682D"/>
    <w:rsid w:val="007F69B6"/>
    <w:rsid w:val="007F6A92"/>
    <w:rsid w:val="007F70E6"/>
    <w:rsid w:val="00800337"/>
    <w:rsid w:val="00800A22"/>
    <w:rsid w:val="008011A8"/>
    <w:rsid w:val="0080132E"/>
    <w:rsid w:val="00802123"/>
    <w:rsid w:val="008021AE"/>
    <w:rsid w:val="00803361"/>
    <w:rsid w:val="00803855"/>
    <w:rsid w:val="00804169"/>
    <w:rsid w:val="008044A5"/>
    <w:rsid w:val="00804B8F"/>
    <w:rsid w:val="00804D8E"/>
    <w:rsid w:val="00804E52"/>
    <w:rsid w:val="00805133"/>
    <w:rsid w:val="00805AC4"/>
    <w:rsid w:val="00805E1F"/>
    <w:rsid w:val="00805E28"/>
    <w:rsid w:val="00806894"/>
    <w:rsid w:val="00806B6D"/>
    <w:rsid w:val="00806C1C"/>
    <w:rsid w:val="00806FF0"/>
    <w:rsid w:val="008070A7"/>
    <w:rsid w:val="00807A67"/>
    <w:rsid w:val="00807C88"/>
    <w:rsid w:val="00807C99"/>
    <w:rsid w:val="0081042E"/>
    <w:rsid w:val="008106DB"/>
    <w:rsid w:val="00810CF6"/>
    <w:rsid w:val="00810E5F"/>
    <w:rsid w:val="00810ECA"/>
    <w:rsid w:val="00811A56"/>
    <w:rsid w:val="00811E6A"/>
    <w:rsid w:val="00811E93"/>
    <w:rsid w:val="00811EC3"/>
    <w:rsid w:val="0081204F"/>
    <w:rsid w:val="008121DC"/>
    <w:rsid w:val="00812CDE"/>
    <w:rsid w:val="00813480"/>
    <w:rsid w:val="0081378A"/>
    <w:rsid w:val="00813BD8"/>
    <w:rsid w:val="00813C27"/>
    <w:rsid w:val="008140B1"/>
    <w:rsid w:val="00814257"/>
    <w:rsid w:val="00814566"/>
    <w:rsid w:val="0081493E"/>
    <w:rsid w:val="00814C8E"/>
    <w:rsid w:val="00814E22"/>
    <w:rsid w:val="00815449"/>
    <w:rsid w:val="00815B9A"/>
    <w:rsid w:val="00815CED"/>
    <w:rsid w:val="00815D6A"/>
    <w:rsid w:val="008161FC"/>
    <w:rsid w:val="0081771C"/>
    <w:rsid w:val="00817BF4"/>
    <w:rsid w:val="00817D64"/>
    <w:rsid w:val="00817EC2"/>
    <w:rsid w:val="00817EC5"/>
    <w:rsid w:val="00820380"/>
    <w:rsid w:val="00820749"/>
    <w:rsid w:val="008207D9"/>
    <w:rsid w:val="008209FD"/>
    <w:rsid w:val="00820CDB"/>
    <w:rsid w:val="008213A9"/>
    <w:rsid w:val="008214A7"/>
    <w:rsid w:val="0082154B"/>
    <w:rsid w:val="0082201D"/>
    <w:rsid w:val="00822BE3"/>
    <w:rsid w:val="00823439"/>
    <w:rsid w:val="00823735"/>
    <w:rsid w:val="008237A8"/>
    <w:rsid w:val="00823B85"/>
    <w:rsid w:val="00823DDB"/>
    <w:rsid w:val="0082441D"/>
    <w:rsid w:val="00825154"/>
    <w:rsid w:val="00825863"/>
    <w:rsid w:val="008258CB"/>
    <w:rsid w:val="008258FE"/>
    <w:rsid w:val="0082660F"/>
    <w:rsid w:val="00826735"/>
    <w:rsid w:val="00827579"/>
    <w:rsid w:val="008276D9"/>
    <w:rsid w:val="00827EA7"/>
    <w:rsid w:val="00827F71"/>
    <w:rsid w:val="00827F7F"/>
    <w:rsid w:val="00830184"/>
    <w:rsid w:val="008301C4"/>
    <w:rsid w:val="00830781"/>
    <w:rsid w:val="00830C4A"/>
    <w:rsid w:val="00830EAD"/>
    <w:rsid w:val="00831173"/>
    <w:rsid w:val="008318E5"/>
    <w:rsid w:val="00831D0B"/>
    <w:rsid w:val="008320A7"/>
    <w:rsid w:val="00832339"/>
    <w:rsid w:val="008326B3"/>
    <w:rsid w:val="00832FB6"/>
    <w:rsid w:val="00833270"/>
    <w:rsid w:val="00833D6B"/>
    <w:rsid w:val="00834259"/>
    <w:rsid w:val="00834567"/>
    <w:rsid w:val="0083472D"/>
    <w:rsid w:val="00834F79"/>
    <w:rsid w:val="00835091"/>
    <w:rsid w:val="00835B56"/>
    <w:rsid w:val="00835B59"/>
    <w:rsid w:val="0083658A"/>
    <w:rsid w:val="00837091"/>
    <w:rsid w:val="00837821"/>
    <w:rsid w:val="00837A2F"/>
    <w:rsid w:val="00837B8E"/>
    <w:rsid w:val="00837DA8"/>
    <w:rsid w:val="008401F1"/>
    <w:rsid w:val="00840411"/>
    <w:rsid w:val="00840AE9"/>
    <w:rsid w:val="00840B50"/>
    <w:rsid w:val="00840DED"/>
    <w:rsid w:val="00841285"/>
    <w:rsid w:val="00841738"/>
    <w:rsid w:val="00841779"/>
    <w:rsid w:val="00841814"/>
    <w:rsid w:val="00841FB1"/>
    <w:rsid w:val="008421CC"/>
    <w:rsid w:val="00842E43"/>
    <w:rsid w:val="00842EF0"/>
    <w:rsid w:val="00843EF8"/>
    <w:rsid w:val="00844453"/>
    <w:rsid w:val="008445AC"/>
    <w:rsid w:val="008445E8"/>
    <w:rsid w:val="00844906"/>
    <w:rsid w:val="00845372"/>
    <w:rsid w:val="00845D67"/>
    <w:rsid w:val="00845FEB"/>
    <w:rsid w:val="00846188"/>
    <w:rsid w:val="008463FC"/>
    <w:rsid w:val="00846BBE"/>
    <w:rsid w:val="00846E47"/>
    <w:rsid w:val="0084728E"/>
    <w:rsid w:val="0084765F"/>
    <w:rsid w:val="00847CD4"/>
    <w:rsid w:val="008501BD"/>
    <w:rsid w:val="00850764"/>
    <w:rsid w:val="008508D8"/>
    <w:rsid w:val="008513C7"/>
    <w:rsid w:val="00851998"/>
    <w:rsid w:val="00851D64"/>
    <w:rsid w:val="00851E3D"/>
    <w:rsid w:val="00852091"/>
    <w:rsid w:val="008525C0"/>
    <w:rsid w:val="008527CA"/>
    <w:rsid w:val="00853523"/>
    <w:rsid w:val="00853B72"/>
    <w:rsid w:val="00853B90"/>
    <w:rsid w:val="00853BD0"/>
    <w:rsid w:val="00853D9F"/>
    <w:rsid w:val="008540B8"/>
    <w:rsid w:val="008544B7"/>
    <w:rsid w:val="0085483B"/>
    <w:rsid w:val="00854F8C"/>
    <w:rsid w:val="00855861"/>
    <w:rsid w:val="00855A5E"/>
    <w:rsid w:val="008563EF"/>
    <w:rsid w:val="00857BDB"/>
    <w:rsid w:val="008604BB"/>
    <w:rsid w:val="00860AC1"/>
    <w:rsid w:val="00860B5A"/>
    <w:rsid w:val="00860D20"/>
    <w:rsid w:val="008620F7"/>
    <w:rsid w:val="008623E9"/>
    <w:rsid w:val="00862CAC"/>
    <w:rsid w:val="00862D40"/>
    <w:rsid w:val="00862DE6"/>
    <w:rsid w:val="00863C09"/>
    <w:rsid w:val="00863DD5"/>
    <w:rsid w:val="0086456A"/>
    <w:rsid w:val="00864A24"/>
    <w:rsid w:val="00864D4B"/>
    <w:rsid w:val="00864F42"/>
    <w:rsid w:val="00864F4D"/>
    <w:rsid w:val="0086523D"/>
    <w:rsid w:val="0086557E"/>
    <w:rsid w:val="008656F7"/>
    <w:rsid w:val="00865B0C"/>
    <w:rsid w:val="00865DDC"/>
    <w:rsid w:val="0086606D"/>
    <w:rsid w:val="0086613A"/>
    <w:rsid w:val="008664B9"/>
    <w:rsid w:val="008666E6"/>
    <w:rsid w:val="00866ECA"/>
    <w:rsid w:val="00866F97"/>
    <w:rsid w:val="00867039"/>
    <w:rsid w:val="0086751F"/>
    <w:rsid w:val="008677B6"/>
    <w:rsid w:val="008677B8"/>
    <w:rsid w:val="00867BA2"/>
    <w:rsid w:val="00867D11"/>
    <w:rsid w:val="00867FFD"/>
    <w:rsid w:val="008702EB"/>
    <w:rsid w:val="00870928"/>
    <w:rsid w:val="0087092E"/>
    <w:rsid w:val="008711A5"/>
    <w:rsid w:val="0087156D"/>
    <w:rsid w:val="0087197F"/>
    <w:rsid w:val="00871A5C"/>
    <w:rsid w:val="00871A7A"/>
    <w:rsid w:val="00872077"/>
    <w:rsid w:val="008720FC"/>
    <w:rsid w:val="00872A24"/>
    <w:rsid w:val="00873DC0"/>
    <w:rsid w:val="00874093"/>
    <w:rsid w:val="008741E9"/>
    <w:rsid w:val="00874420"/>
    <w:rsid w:val="008747D2"/>
    <w:rsid w:val="008749A9"/>
    <w:rsid w:val="00874ED1"/>
    <w:rsid w:val="008750A4"/>
    <w:rsid w:val="008751F2"/>
    <w:rsid w:val="0087520B"/>
    <w:rsid w:val="008757DE"/>
    <w:rsid w:val="00875900"/>
    <w:rsid w:val="00875E01"/>
    <w:rsid w:val="00875E16"/>
    <w:rsid w:val="00876B42"/>
    <w:rsid w:val="00876E8B"/>
    <w:rsid w:val="008771AA"/>
    <w:rsid w:val="00877A9D"/>
    <w:rsid w:val="00877BD4"/>
    <w:rsid w:val="00877DE5"/>
    <w:rsid w:val="00877E79"/>
    <w:rsid w:val="00877F1B"/>
    <w:rsid w:val="008807CF"/>
    <w:rsid w:val="00880E50"/>
    <w:rsid w:val="00880E74"/>
    <w:rsid w:val="00880FC8"/>
    <w:rsid w:val="0088188E"/>
    <w:rsid w:val="00881D98"/>
    <w:rsid w:val="008824EC"/>
    <w:rsid w:val="008826EB"/>
    <w:rsid w:val="00882D27"/>
    <w:rsid w:val="0088383A"/>
    <w:rsid w:val="00884564"/>
    <w:rsid w:val="00884A2A"/>
    <w:rsid w:val="00884D72"/>
    <w:rsid w:val="008858FF"/>
    <w:rsid w:val="00885D99"/>
    <w:rsid w:val="00887132"/>
    <w:rsid w:val="008876D9"/>
    <w:rsid w:val="00887875"/>
    <w:rsid w:val="0088787D"/>
    <w:rsid w:val="0088790F"/>
    <w:rsid w:val="00887CEE"/>
    <w:rsid w:val="00887DA9"/>
    <w:rsid w:val="00887E63"/>
    <w:rsid w:val="00887EB7"/>
    <w:rsid w:val="00887EE8"/>
    <w:rsid w:val="00890258"/>
    <w:rsid w:val="00890F4D"/>
    <w:rsid w:val="00890F8F"/>
    <w:rsid w:val="00890FD0"/>
    <w:rsid w:val="008911FF"/>
    <w:rsid w:val="00893896"/>
    <w:rsid w:val="00893B28"/>
    <w:rsid w:val="00893C58"/>
    <w:rsid w:val="00893F15"/>
    <w:rsid w:val="008941B9"/>
    <w:rsid w:val="008946B3"/>
    <w:rsid w:val="00894EC3"/>
    <w:rsid w:val="00894F21"/>
    <w:rsid w:val="008952FD"/>
    <w:rsid w:val="008953FF"/>
    <w:rsid w:val="008954C7"/>
    <w:rsid w:val="00895563"/>
    <w:rsid w:val="00895902"/>
    <w:rsid w:val="008959B2"/>
    <w:rsid w:val="00895A49"/>
    <w:rsid w:val="00895D64"/>
    <w:rsid w:val="00897882"/>
    <w:rsid w:val="008978FF"/>
    <w:rsid w:val="00897A38"/>
    <w:rsid w:val="00897C46"/>
    <w:rsid w:val="00897EA7"/>
    <w:rsid w:val="008A01CE"/>
    <w:rsid w:val="008A028F"/>
    <w:rsid w:val="008A141F"/>
    <w:rsid w:val="008A14E9"/>
    <w:rsid w:val="008A25FC"/>
    <w:rsid w:val="008A3E6F"/>
    <w:rsid w:val="008A3EFC"/>
    <w:rsid w:val="008A3F3D"/>
    <w:rsid w:val="008A4156"/>
    <w:rsid w:val="008A420E"/>
    <w:rsid w:val="008A47BE"/>
    <w:rsid w:val="008A4FC9"/>
    <w:rsid w:val="008A5B0D"/>
    <w:rsid w:val="008A5F1B"/>
    <w:rsid w:val="008A63A1"/>
    <w:rsid w:val="008A6F60"/>
    <w:rsid w:val="008A71DF"/>
    <w:rsid w:val="008A73CC"/>
    <w:rsid w:val="008A7473"/>
    <w:rsid w:val="008A78FF"/>
    <w:rsid w:val="008A7FEA"/>
    <w:rsid w:val="008B02A5"/>
    <w:rsid w:val="008B0344"/>
    <w:rsid w:val="008B0516"/>
    <w:rsid w:val="008B0609"/>
    <w:rsid w:val="008B076F"/>
    <w:rsid w:val="008B09E3"/>
    <w:rsid w:val="008B0E5F"/>
    <w:rsid w:val="008B0F21"/>
    <w:rsid w:val="008B2099"/>
    <w:rsid w:val="008B20B1"/>
    <w:rsid w:val="008B2321"/>
    <w:rsid w:val="008B259C"/>
    <w:rsid w:val="008B2D1D"/>
    <w:rsid w:val="008B3B02"/>
    <w:rsid w:val="008B3DAA"/>
    <w:rsid w:val="008B41E2"/>
    <w:rsid w:val="008B48C4"/>
    <w:rsid w:val="008B4E18"/>
    <w:rsid w:val="008B50C3"/>
    <w:rsid w:val="008B5B8E"/>
    <w:rsid w:val="008B5C7A"/>
    <w:rsid w:val="008B62C1"/>
    <w:rsid w:val="008B6468"/>
    <w:rsid w:val="008B76E6"/>
    <w:rsid w:val="008B79BD"/>
    <w:rsid w:val="008B7A03"/>
    <w:rsid w:val="008B7DA0"/>
    <w:rsid w:val="008C0951"/>
    <w:rsid w:val="008C0C82"/>
    <w:rsid w:val="008C0F1B"/>
    <w:rsid w:val="008C14B3"/>
    <w:rsid w:val="008C1AF4"/>
    <w:rsid w:val="008C24DB"/>
    <w:rsid w:val="008C25F6"/>
    <w:rsid w:val="008C2901"/>
    <w:rsid w:val="008C2C91"/>
    <w:rsid w:val="008C2DD9"/>
    <w:rsid w:val="008C2F41"/>
    <w:rsid w:val="008C2FC3"/>
    <w:rsid w:val="008C31B8"/>
    <w:rsid w:val="008C3991"/>
    <w:rsid w:val="008C3ACF"/>
    <w:rsid w:val="008C41F8"/>
    <w:rsid w:val="008C44EC"/>
    <w:rsid w:val="008C47CF"/>
    <w:rsid w:val="008C4C8D"/>
    <w:rsid w:val="008C4D77"/>
    <w:rsid w:val="008C4FDE"/>
    <w:rsid w:val="008C4FE6"/>
    <w:rsid w:val="008C5153"/>
    <w:rsid w:val="008C540F"/>
    <w:rsid w:val="008C5D56"/>
    <w:rsid w:val="008C62D2"/>
    <w:rsid w:val="008C64FE"/>
    <w:rsid w:val="008C66FE"/>
    <w:rsid w:val="008C6A87"/>
    <w:rsid w:val="008C6F54"/>
    <w:rsid w:val="008C7962"/>
    <w:rsid w:val="008C7981"/>
    <w:rsid w:val="008C7A39"/>
    <w:rsid w:val="008C7D49"/>
    <w:rsid w:val="008D0580"/>
    <w:rsid w:val="008D076A"/>
    <w:rsid w:val="008D0826"/>
    <w:rsid w:val="008D08D9"/>
    <w:rsid w:val="008D1543"/>
    <w:rsid w:val="008D2141"/>
    <w:rsid w:val="008D27EC"/>
    <w:rsid w:val="008D2B48"/>
    <w:rsid w:val="008D2BE4"/>
    <w:rsid w:val="008D34A6"/>
    <w:rsid w:val="008D4468"/>
    <w:rsid w:val="008D45E2"/>
    <w:rsid w:val="008D47D8"/>
    <w:rsid w:val="008D4972"/>
    <w:rsid w:val="008D4A1A"/>
    <w:rsid w:val="008D4BA0"/>
    <w:rsid w:val="008D4EE8"/>
    <w:rsid w:val="008D5BCC"/>
    <w:rsid w:val="008D63A9"/>
    <w:rsid w:val="008D69B9"/>
    <w:rsid w:val="008D70D0"/>
    <w:rsid w:val="008E010C"/>
    <w:rsid w:val="008E0633"/>
    <w:rsid w:val="008E06E5"/>
    <w:rsid w:val="008E082D"/>
    <w:rsid w:val="008E0C19"/>
    <w:rsid w:val="008E0F62"/>
    <w:rsid w:val="008E1ADE"/>
    <w:rsid w:val="008E221F"/>
    <w:rsid w:val="008E23D2"/>
    <w:rsid w:val="008E2568"/>
    <w:rsid w:val="008E28C1"/>
    <w:rsid w:val="008E2D34"/>
    <w:rsid w:val="008E2F26"/>
    <w:rsid w:val="008E34AC"/>
    <w:rsid w:val="008E3570"/>
    <w:rsid w:val="008E387D"/>
    <w:rsid w:val="008E39E2"/>
    <w:rsid w:val="008E3D1C"/>
    <w:rsid w:val="008E3E4E"/>
    <w:rsid w:val="008E3EEB"/>
    <w:rsid w:val="008E4290"/>
    <w:rsid w:val="008E481D"/>
    <w:rsid w:val="008E4871"/>
    <w:rsid w:val="008E4897"/>
    <w:rsid w:val="008E49BF"/>
    <w:rsid w:val="008E6276"/>
    <w:rsid w:val="008E677B"/>
    <w:rsid w:val="008E6892"/>
    <w:rsid w:val="008E694F"/>
    <w:rsid w:val="008E6B19"/>
    <w:rsid w:val="008E7BF3"/>
    <w:rsid w:val="008E7DEC"/>
    <w:rsid w:val="008F001F"/>
    <w:rsid w:val="008F01B7"/>
    <w:rsid w:val="008F0366"/>
    <w:rsid w:val="008F08DD"/>
    <w:rsid w:val="008F10A3"/>
    <w:rsid w:val="008F1FEB"/>
    <w:rsid w:val="008F2102"/>
    <w:rsid w:val="008F222A"/>
    <w:rsid w:val="008F246C"/>
    <w:rsid w:val="008F25D6"/>
    <w:rsid w:val="008F27F7"/>
    <w:rsid w:val="008F2DDC"/>
    <w:rsid w:val="008F2F10"/>
    <w:rsid w:val="008F36D8"/>
    <w:rsid w:val="008F37A2"/>
    <w:rsid w:val="008F37F9"/>
    <w:rsid w:val="008F395C"/>
    <w:rsid w:val="008F395F"/>
    <w:rsid w:val="008F3A75"/>
    <w:rsid w:val="008F40B2"/>
    <w:rsid w:val="008F429D"/>
    <w:rsid w:val="008F46F8"/>
    <w:rsid w:val="008F4905"/>
    <w:rsid w:val="008F5159"/>
    <w:rsid w:val="008F53A6"/>
    <w:rsid w:val="008F53FF"/>
    <w:rsid w:val="008F5503"/>
    <w:rsid w:val="008F5869"/>
    <w:rsid w:val="008F5993"/>
    <w:rsid w:val="008F5C36"/>
    <w:rsid w:val="008F6894"/>
    <w:rsid w:val="008F6A94"/>
    <w:rsid w:val="008F7047"/>
    <w:rsid w:val="008F7213"/>
    <w:rsid w:val="008F7412"/>
    <w:rsid w:val="008F7AA6"/>
    <w:rsid w:val="008F7C42"/>
    <w:rsid w:val="00900203"/>
    <w:rsid w:val="009004FF"/>
    <w:rsid w:val="009005DA"/>
    <w:rsid w:val="009009A7"/>
    <w:rsid w:val="00900CFE"/>
    <w:rsid w:val="00901617"/>
    <w:rsid w:val="00901B92"/>
    <w:rsid w:val="00901EFB"/>
    <w:rsid w:val="009025E2"/>
    <w:rsid w:val="00902872"/>
    <w:rsid w:val="009032CE"/>
    <w:rsid w:val="00903BCD"/>
    <w:rsid w:val="00903EBC"/>
    <w:rsid w:val="00903F9D"/>
    <w:rsid w:val="00903FBC"/>
    <w:rsid w:val="009042BD"/>
    <w:rsid w:val="0090486E"/>
    <w:rsid w:val="00904AEB"/>
    <w:rsid w:val="00904EAA"/>
    <w:rsid w:val="009053C1"/>
    <w:rsid w:val="00905983"/>
    <w:rsid w:val="00905A06"/>
    <w:rsid w:val="00905E43"/>
    <w:rsid w:val="009060F0"/>
    <w:rsid w:val="0090635A"/>
    <w:rsid w:val="00906BA4"/>
    <w:rsid w:val="00906DC0"/>
    <w:rsid w:val="00907236"/>
    <w:rsid w:val="00907D29"/>
    <w:rsid w:val="00907E83"/>
    <w:rsid w:val="00910724"/>
    <w:rsid w:val="00910E7C"/>
    <w:rsid w:val="00911047"/>
    <w:rsid w:val="0091147E"/>
    <w:rsid w:val="009124C3"/>
    <w:rsid w:val="009127C1"/>
    <w:rsid w:val="00913292"/>
    <w:rsid w:val="009135F9"/>
    <w:rsid w:val="00913902"/>
    <w:rsid w:val="00913AA2"/>
    <w:rsid w:val="00913D05"/>
    <w:rsid w:val="00914343"/>
    <w:rsid w:val="00914426"/>
    <w:rsid w:val="009151B8"/>
    <w:rsid w:val="00915537"/>
    <w:rsid w:val="009159B0"/>
    <w:rsid w:val="00915F6F"/>
    <w:rsid w:val="00916257"/>
    <w:rsid w:val="00916661"/>
    <w:rsid w:val="00916708"/>
    <w:rsid w:val="009168AD"/>
    <w:rsid w:val="009169E6"/>
    <w:rsid w:val="00916CC8"/>
    <w:rsid w:val="00917D41"/>
    <w:rsid w:val="0092051E"/>
    <w:rsid w:val="00920605"/>
    <w:rsid w:val="009206D8"/>
    <w:rsid w:val="0092089F"/>
    <w:rsid w:val="00920DE2"/>
    <w:rsid w:val="0092194D"/>
    <w:rsid w:val="00922580"/>
    <w:rsid w:val="00922CB4"/>
    <w:rsid w:val="00922D4B"/>
    <w:rsid w:val="00923532"/>
    <w:rsid w:val="00923719"/>
    <w:rsid w:val="009239AD"/>
    <w:rsid w:val="00923AF2"/>
    <w:rsid w:val="00923FD1"/>
    <w:rsid w:val="00924682"/>
    <w:rsid w:val="00924A8A"/>
    <w:rsid w:val="009254DE"/>
    <w:rsid w:val="00925A31"/>
    <w:rsid w:val="00925B96"/>
    <w:rsid w:val="0092628A"/>
    <w:rsid w:val="009263D1"/>
    <w:rsid w:val="009269A2"/>
    <w:rsid w:val="00926CFE"/>
    <w:rsid w:val="00926F93"/>
    <w:rsid w:val="009304BB"/>
    <w:rsid w:val="0093054E"/>
    <w:rsid w:val="009308E1"/>
    <w:rsid w:val="00930A91"/>
    <w:rsid w:val="00930ACA"/>
    <w:rsid w:val="00930B33"/>
    <w:rsid w:val="00931611"/>
    <w:rsid w:val="009318C8"/>
    <w:rsid w:val="00931C71"/>
    <w:rsid w:val="00931DCD"/>
    <w:rsid w:val="00933488"/>
    <w:rsid w:val="00933643"/>
    <w:rsid w:val="00933E8E"/>
    <w:rsid w:val="00934262"/>
    <w:rsid w:val="00934293"/>
    <w:rsid w:val="009342A7"/>
    <w:rsid w:val="00934B3B"/>
    <w:rsid w:val="00934F7D"/>
    <w:rsid w:val="00935B33"/>
    <w:rsid w:val="009365CB"/>
    <w:rsid w:val="0093680A"/>
    <w:rsid w:val="00936CF2"/>
    <w:rsid w:val="009370CD"/>
    <w:rsid w:val="00937190"/>
    <w:rsid w:val="00937D73"/>
    <w:rsid w:val="0094003A"/>
    <w:rsid w:val="009405A7"/>
    <w:rsid w:val="0094074D"/>
    <w:rsid w:val="00940E77"/>
    <w:rsid w:val="009411B6"/>
    <w:rsid w:val="00941DCE"/>
    <w:rsid w:val="00941E78"/>
    <w:rsid w:val="00942498"/>
    <w:rsid w:val="00942648"/>
    <w:rsid w:val="00942A92"/>
    <w:rsid w:val="00942B3F"/>
    <w:rsid w:val="00942B5F"/>
    <w:rsid w:val="00943214"/>
    <w:rsid w:val="00943D83"/>
    <w:rsid w:val="00943F8C"/>
    <w:rsid w:val="009444C8"/>
    <w:rsid w:val="00946739"/>
    <w:rsid w:val="0094695F"/>
    <w:rsid w:val="00946A06"/>
    <w:rsid w:val="00946BFC"/>
    <w:rsid w:val="009470C1"/>
    <w:rsid w:val="00947CC8"/>
    <w:rsid w:val="0095060F"/>
    <w:rsid w:val="00950943"/>
    <w:rsid w:val="009514BF"/>
    <w:rsid w:val="00951596"/>
    <w:rsid w:val="0095192C"/>
    <w:rsid w:val="00951A6D"/>
    <w:rsid w:val="00951B9E"/>
    <w:rsid w:val="0095266D"/>
    <w:rsid w:val="00952839"/>
    <w:rsid w:val="00952A88"/>
    <w:rsid w:val="00953811"/>
    <w:rsid w:val="00953B02"/>
    <w:rsid w:val="009543DC"/>
    <w:rsid w:val="00954419"/>
    <w:rsid w:val="009544EC"/>
    <w:rsid w:val="00954D67"/>
    <w:rsid w:val="00955003"/>
    <w:rsid w:val="00955220"/>
    <w:rsid w:val="0095579A"/>
    <w:rsid w:val="00955DC3"/>
    <w:rsid w:val="0095677D"/>
    <w:rsid w:val="00956A1F"/>
    <w:rsid w:val="00957DB4"/>
    <w:rsid w:val="009605F3"/>
    <w:rsid w:val="00960ED9"/>
    <w:rsid w:val="0096164B"/>
    <w:rsid w:val="00961785"/>
    <w:rsid w:val="009617B1"/>
    <w:rsid w:val="0096218E"/>
    <w:rsid w:val="009623B0"/>
    <w:rsid w:val="00962A7C"/>
    <w:rsid w:val="00962DA5"/>
    <w:rsid w:val="00962E7F"/>
    <w:rsid w:val="009631F3"/>
    <w:rsid w:val="00963222"/>
    <w:rsid w:val="00963241"/>
    <w:rsid w:val="0096328A"/>
    <w:rsid w:val="00963534"/>
    <w:rsid w:val="0096353E"/>
    <w:rsid w:val="009636D7"/>
    <w:rsid w:val="00964279"/>
    <w:rsid w:val="0096449B"/>
    <w:rsid w:val="00965415"/>
    <w:rsid w:val="0096551C"/>
    <w:rsid w:val="00965688"/>
    <w:rsid w:val="00965826"/>
    <w:rsid w:val="00965918"/>
    <w:rsid w:val="00965CB0"/>
    <w:rsid w:val="00965F20"/>
    <w:rsid w:val="00966967"/>
    <w:rsid w:val="00966F2A"/>
    <w:rsid w:val="009670EC"/>
    <w:rsid w:val="0096716B"/>
    <w:rsid w:val="0096735A"/>
    <w:rsid w:val="009675F6"/>
    <w:rsid w:val="0096792B"/>
    <w:rsid w:val="009709DA"/>
    <w:rsid w:val="00970AF0"/>
    <w:rsid w:val="00970F84"/>
    <w:rsid w:val="00971888"/>
    <w:rsid w:val="00971C60"/>
    <w:rsid w:val="00971D2C"/>
    <w:rsid w:val="00971E5C"/>
    <w:rsid w:val="009721D0"/>
    <w:rsid w:val="00972975"/>
    <w:rsid w:val="0097321F"/>
    <w:rsid w:val="00973B6A"/>
    <w:rsid w:val="00973CDA"/>
    <w:rsid w:val="009747A6"/>
    <w:rsid w:val="00974AE3"/>
    <w:rsid w:val="00974D28"/>
    <w:rsid w:val="00974E3A"/>
    <w:rsid w:val="00974FC7"/>
    <w:rsid w:val="00975265"/>
    <w:rsid w:val="009754B3"/>
    <w:rsid w:val="00975AFC"/>
    <w:rsid w:val="00976175"/>
    <w:rsid w:val="009764C6"/>
    <w:rsid w:val="009769BF"/>
    <w:rsid w:val="009769CA"/>
    <w:rsid w:val="00976B36"/>
    <w:rsid w:val="009772F0"/>
    <w:rsid w:val="00977307"/>
    <w:rsid w:val="009776CF"/>
    <w:rsid w:val="00977C79"/>
    <w:rsid w:val="00977D6F"/>
    <w:rsid w:val="00977D78"/>
    <w:rsid w:val="00980A83"/>
    <w:rsid w:val="00980E83"/>
    <w:rsid w:val="00981052"/>
    <w:rsid w:val="0098105F"/>
    <w:rsid w:val="00981703"/>
    <w:rsid w:val="0098170B"/>
    <w:rsid w:val="009820AF"/>
    <w:rsid w:val="00983141"/>
    <w:rsid w:val="00983144"/>
    <w:rsid w:val="0098388D"/>
    <w:rsid w:val="00983C2B"/>
    <w:rsid w:val="00983C8F"/>
    <w:rsid w:val="00983D60"/>
    <w:rsid w:val="00984101"/>
    <w:rsid w:val="00984517"/>
    <w:rsid w:val="00984A1A"/>
    <w:rsid w:val="00984D7E"/>
    <w:rsid w:val="00984F45"/>
    <w:rsid w:val="0098505D"/>
    <w:rsid w:val="00985252"/>
    <w:rsid w:val="00985633"/>
    <w:rsid w:val="00985687"/>
    <w:rsid w:val="00985CF4"/>
    <w:rsid w:val="00985CFB"/>
    <w:rsid w:val="00986A1E"/>
    <w:rsid w:val="00986B1C"/>
    <w:rsid w:val="00986D93"/>
    <w:rsid w:val="00987596"/>
    <w:rsid w:val="009875C3"/>
    <w:rsid w:val="00987955"/>
    <w:rsid w:val="009904C2"/>
    <w:rsid w:val="00990CF6"/>
    <w:rsid w:val="00990F0A"/>
    <w:rsid w:val="009911A4"/>
    <w:rsid w:val="0099188B"/>
    <w:rsid w:val="00991D19"/>
    <w:rsid w:val="00991ECF"/>
    <w:rsid w:val="009923EB"/>
    <w:rsid w:val="00993906"/>
    <w:rsid w:val="00993A77"/>
    <w:rsid w:val="00993EA0"/>
    <w:rsid w:val="009940A2"/>
    <w:rsid w:val="009949DF"/>
    <w:rsid w:val="00994A14"/>
    <w:rsid w:val="00994B17"/>
    <w:rsid w:val="00994F82"/>
    <w:rsid w:val="00995247"/>
    <w:rsid w:val="00995458"/>
    <w:rsid w:val="0099572E"/>
    <w:rsid w:val="0099599B"/>
    <w:rsid w:val="00995E39"/>
    <w:rsid w:val="00996074"/>
    <w:rsid w:val="0099629E"/>
    <w:rsid w:val="00996476"/>
    <w:rsid w:val="009964FE"/>
    <w:rsid w:val="00997244"/>
    <w:rsid w:val="0099758A"/>
    <w:rsid w:val="00997823"/>
    <w:rsid w:val="00997EF2"/>
    <w:rsid w:val="009A0AFB"/>
    <w:rsid w:val="009A0C24"/>
    <w:rsid w:val="009A0CFD"/>
    <w:rsid w:val="009A1094"/>
    <w:rsid w:val="009A162B"/>
    <w:rsid w:val="009A185C"/>
    <w:rsid w:val="009A2784"/>
    <w:rsid w:val="009A2910"/>
    <w:rsid w:val="009A2AEF"/>
    <w:rsid w:val="009A2DEB"/>
    <w:rsid w:val="009A2FCA"/>
    <w:rsid w:val="009A32BF"/>
    <w:rsid w:val="009A36B3"/>
    <w:rsid w:val="009A3D5E"/>
    <w:rsid w:val="009A3FFE"/>
    <w:rsid w:val="009A4235"/>
    <w:rsid w:val="009A469D"/>
    <w:rsid w:val="009A4928"/>
    <w:rsid w:val="009A4B7A"/>
    <w:rsid w:val="009A4D26"/>
    <w:rsid w:val="009A5582"/>
    <w:rsid w:val="009A5875"/>
    <w:rsid w:val="009A5DE6"/>
    <w:rsid w:val="009A5DFA"/>
    <w:rsid w:val="009A607D"/>
    <w:rsid w:val="009A608D"/>
    <w:rsid w:val="009A6851"/>
    <w:rsid w:val="009A6C6A"/>
    <w:rsid w:val="009B016E"/>
    <w:rsid w:val="009B033C"/>
    <w:rsid w:val="009B04CF"/>
    <w:rsid w:val="009B08BC"/>
    <w:rsid w:val="009B0DD6"/>
    <w:rsid w:val="009B14A3"/>
    <w:rsid w:val="009B1C8F"/>
    <w:rsid w:val="009B1CA1"/>
    <w:rsid w:val="009B2169"/>
    <w:rsid w:val="009B2E0D"/>
    <w:rsid w:val="009B33FA"/>
    <w:rsid w:val="009B3461"/>
    <w:rsid w:val="009B3C81"/>
    <w:rsid w:val="009B3F56"/>
    <w:rsid w:val="009B417F"/>
    <w:rsid w:val="009B44CC"/>
    <w:rsid w:val="009B4779"/>
    <w:rsid w:val="009B482B"/>
    <w:rsid w:val="009B4C4F"/>
    <w:rsid w:val="009B4DEE"/>
    <w:rsid w:val="009B4E79"/>
    <w:rsid w:val="009B4FD9"/>
    <w:rsid w:val="009B5267"/>
    <w:rsid w:val="009B57C6"/>
    <w:rsid w:val="009B5879"/>
    <w:rsid w:val="009B5AC2"/>
    <w:rsid w:val="009B5E87"/>
    <w:rsid w:val="009B71E9"/>
    <w:rsid w:val="009B73DB"/>
    <w:rsid w:val="009B76DC"/>
    <w:rsid w:val="009B7A64"/>
    <w:rsid w:val="009C00B3"/>
    <w:rsid w:val="009C0288"/>
    <w:rsid w:val="009C046A"/>
    <w:rsid w:val="009C061F"/>
    <w:rsid w:val="009C064F"/>
    <w:rsid w:val="009C08DA"/>
    <w:rsid w:val="009C1C91"/>
    <w:rsid w:val="009C2075"/>
    <w:rsid w:val="009C2F07"/>
    <w:rsid w:val="009C3689"/>
    <w:rsid w:val="009C38A5"/>
    <w:rsid w:val="009C4750"/>
    <w:rsid w:val="009C4C85"/>
    <w:rsid w:val="009C4D44"/>
    <w:rsid w:val="009C5100"/>
    <w:rsid w:val="009C55CF"/>
    <w:rsid w:val="009C5EAE"/>
    <w:rsid w:val="009C5FCF"/>
    <w:rsid w:val="009C686C"/>
    <w:rsid w:val="009C6D92"/>
    <w:rsid w:val="009C6F14"/>
    <w:rsid w:val="009C70E3"/>
    <w:rsid w:val="009C71B1"/>
    <w:rsid w:val="009C7669"/>
    <w:rsid w:val="009C7765"/>
    <w:rsid w:val="009D05EB"/>
    <w:rsid w:val="009D061E"/>
    <w:rsid w:val="009D10A3"/>
    <w:rsid w:val="009D1D9D"/>
    <w:rsid w:val="009D2042"/>
    <w:rsid w:val="009D2160"/>
    <w:rsid w:val="009D2962"/>
    <w:rsid w:val="009D2EE7"/>
    <w:rsid w:val="009D2FDD"/>
    <w:rsid w:val="009D3AF1"/>
    <w:rsid w:val="009D488A"/>
    <w:rsid w:val="009D48C7"/>
    <w:rsid w:val="009D48D4"/>
    <w:rsid w:val="009D4A7A"/>
    <w:rsid w:val="009D4D2D"/>
    <w:rsid w:val="009D503B"/>
    <w:rsid w:val="009D5265"/>
    <w:rsid w:val="009D56B4"/>
    <w:rsid w:val="009D5749"/>
    <w:rsid w:val="009D5BF5"/>
    <w:rsid w:val="009D5EE1"/>
    <w:rsid w:val="009D5FDA"/>
    <w:rsid w:val="009D6528"/>
    <w:rsid w:val="009D66B3"/>
    <w:rsid w:val="009D66F2"/>
    <w:rsid w:val="009D6A37"/>
    <w:rsid w:val="009D6BBF"/>
    <w:rsid w:val="009D6C77"/>
    <w:rsid w:val="009D6D17"/>
    <w:rsid w:val="009D6D44"/>
    <w:rsid w:val="009D78E6"/>
    <w:rsid w:val="009D7BFD"/>
    <w:rsid w:val="009D7C59"/>
    <w:rsid w:val="009E0E1D"/>
    <w:rsid w:val="009E121C"/>
    <w:rsid w:val="009E1241"/>
    <w:rsid w:val="009E12C8"/>
    <w:rsid w:val="009E14A8"/>
    <w:rsid w:val="009E1778"/>
    <w:rsid w:val="009E1EC2"/>
    <w:rsid w:val="009E2243"/>
    <w:rsid w:val="009E2639"/>
    <w:rsid w:val="009E3641"/>
    <w:rsid w:val="009E37CE"/>
    <w:rsid w:val="009E4518"/>
    <w:rsid w:val="009E4C4E"/>
    <w:rsid w:val="009E5103"/>
    <w:rsid w:val="009E5194"/>
    <w:rsid w:val="009E5FEA"/>
    <w:rsid w:val="009E603B"/>
    <w:rsid w:val="009E60C4"/>
    <w:rsid w:val="009E6288"/>
    <w:rsid w:val="009E66CA"/>
    <w:rsid w:val="009E69DC"/>
    <w:rsid w:val="009E6DA8"/>
    <w:rsid w:val="009E7366"/>
    <w:rsid w:val="009E74D3"/>
    <w:rsid w:val="009E7C72"/>
    <w:rsid w:val="009E7D71"/>
    <w:rsid w:val="009F0A99"/>
    <w:rsid w:val="009F0DEB"/>
    <w:rsid w:val="009F0E90"/>
    <w:rsid w:val="009F1812"/>
    <w:rsid w:val="009F1C39"/>
    <w:rsid w:val="009F1EBC"/>
    <w:rsid w:val="009F22DA"/>
    <w:rsid w:val="009F2405"/>
    <w:rsid w:val="009F2515"/>
    <w:rsid w:val="009F2C07"/>
    <w:rsid w:val="009F34F7"/>
    <w:rsid w:val="009F40BA"/>
    <w:rsid w:val="009F47EF"/>
    <w:rsid w:val="009F4FE2"/>
    <w:rsid w:val="009F5094"/>
    <w:rsid w:val="009F517E"/>
    <w:rsid w:val="009F5742"/>
    <w:rsid w:val="009F5ABB"/>
    <w:rsid w:val="009F63BB"/>
    <w:rsid w:val="009F6694"/>
    <w:rsid w:val="009F68CE"/>
    <w:rsid w:val="009F6A84"/>
    <w:rsid w:val="009F6B2B"/>
    <w:rsid w:val="009F738B"/>
    <w:rsid w:val="009F783F"/>
    <w:rsid w:val="009F7ADB"/>
    <w:rsid w:val="009F7C48"/>
    <w:rsid w:val="00A00823"/>
    <w:rsid w:val="00A02032"/>
    <w:rsid w:val="00A022FD"/>
    <w:rsid w:val="00A0251D"/>
    <w:rsid w:val="00A02666"/>
    <w:rsid w:val="00A032F6"/>
    <w:rsid w:val="00A036F8"/>
    <w:rsid w:val="00A03743"/>
    <w:rsid w:val="00A038E0"/>
    <w:rsid w:val="00A04710"/>
    <w:rsid w:val="00A04A7E"/>
    <w:rsid w:val="00A04DB3"/>
    <w:rsid w:val="00A050B1"/>
    <w:rsid w:val="00A05BA2"/>
    <w:rsid w:val="00A0657B"/>
    <w:rsid w:val="00A06FF8"/>
    <w:rsid w:val="00A0731A"/>
    <w:rsid w:val="00A07CF0"/>
    <w:rsid w:val="00A1067A"/>
    <w:rsid w:val="00A10A4B"/>
    <w:rsid w:val="00A10AD3"/>
    <w:rsid w:val="00A11365"/>
    <w:rsid w:val="00A11A46"/>
    <w:rsid w:val="00A11CA0"/>
    <w:rsid w:val="00A11D50"/>
    <w:rsid w:val="00A1238E"/>
    <w:rsid w:val="00A125BE"/>
    <w:rsid w:val="00A125F1"/>
    <w:rsid w:val="00A12F92"/>
    <w:rsid w:val="00A13047"/>
    <w:rsid w:val="00A13153"/>
    <w:rsid w:val="00A139C0"/>
    <w:rsid w:val="00A14C1E"/>
    <w:rsid w:val="00A14DBC"/>
    <w:rsid w:val="00A15876"/>
    <w:rsid w:val="00A15F4E"/>
    <w:rsid w:val="00A16BB9"/>
    <w:rsid w:val="00A16D0D"/>
    <w:rsid w:val="00A17074"/>
    <w:rsid w:val="00A17380"/>
    <w:rsid w:val="00A20516"/>
    <w:rsid w:val="00A20903"/>
    <w:rsid w:val="00A2098F"/>
    <w:rsid w:val="00A20B3A"/>
    <w:rsid w:val="00A20BFF"/>
    <w:rsid w:val="00A20CF8"/>
    <w:rsid w:val="00A21810"/>
    <w:rsid w:val="00A21D56"/>
    <w:rsid w:val="00A2245F"/>
    <w:rsid w:val="00A229C0"/>
    <w:rsid w:val="00A22C97"/>
    <w:rsid w:val="00A22F29"/>
    <w:rsid w:val="00A234ED"/>
    <w:rsid w:val="00A2360D"/>
    <w:rsid w:val="00A23EE4"/>
    <w:rsid w:val="00A23F15"/>
    <w:rsid w:val="00A24062"/>
    <w:rsid w:val="00A241F3"/>
    <w:rsid w:val="00A24452"/>
    <w:rsid w:val="00A253CE"/>
    <w:rsid w:val="00A254FA"/>
    <w:rsid w:val="00A25955"/>
    <w:rsid w:val="00A25C88"/>
    <w:rsid w:val="00A25C8B"/>
    <w:rsid w:val="00A25D23"/>
    <w:rsid w:val="00A26583"/>
    <w:rsid w:val="00A26B35"/>
    <w:rsid w:val="00A276EF"/>
    <w:rsid w:val="00A27C1B"/>
    <w:rsid w:val="00A300DD"/>
    <w:rsid w:val="00A3024B"/>
    <w:rsid w:val="00A3088B"/>
    <w:rsid w:val="00A30AFC"/>
    <w:rsid w:val="00A312D6"/>
    <w:rsid w:val="00A31D7B"/>
    <w:rsid w:val="00A31E54"/>
    <w:rsid w:val="00A32053"/>
    <w:rsid w:val="00A32120"/>
    <w:rsid w:val="00A327F8"/>
    <w:rsid w:val="00A32AEB"/>
    <w:rsid w:val="00A333F2"/>
    <w:rsid w:val="00A336BA"/>
    <w:rsid w:val="00A33A74"/>
    <w:rsid w:val="00A33DFF"/>
    <w:rsid w:val="00A33FC7"/>
    <w:rsid w:val="00A34517"/>
    <w:rsid w:val="00A34690"/>
    <w:rsid w:val="00A34999"/>
    <w:rsid w:val="00A34A9A"/>
    <w:rsid w:val="00A3542D"/>
    <w:rsid w:val="00A35529"/>
    <w:rsid w:val="00A35771"/>
    <w:rsid w:val="00A3594E"/>
    <w:rsid w:val="00A360B7"/>
    <w:rsid w:val="00A361A0"/>
    <w:rsid w:val="00A367CB"/>
    <w:rsid w:val="00A36B88"/>
    <w:rsid w:val="00A37698"/>
    <w:rsid w:val="00A377B0"/>
    <w:rsid w:val="00A378B7"/>
    <w:rsid w:val="00A37943"/>
    <w:rsid w:val="00A379B0"/>
    <w:rsid w:val="00A37AA8"/>
    <w:rsid w:val="00A37C53"/>
    <w:rsid w:val="00A404D9"/>
    <w:rsid w:val="00A408CD"/>
    <w:rsid w:val="00A409E8"/>
    <w:rsid w:val="00A40A4A"/>
    <w:rsid w:val="00A41A23"/>
    <w:rsid w:val="00A41D03"/>
    <w:rsid w:val="00A41D09"/>
    <w:rsid w:val="00A42058"/>
    <w:rsid w:val="00A423B6"/>
    <w:rsid w:val="00A42D9A"/>
    <w:rsid w:val="00A4305B"/>
    <w:rsid w:val="00A43802"/>
    <w:rsid w:val="00A43E8B"/>
    <w:rsid w:val="00A43E9A"/>
    <w:rsid w:val="00A4496B"/>
    <w:rsid w:val="00A45138"/>
    <w:rsid w:val="00A4545B"/>
    <w:rsid w:val="00A45582"/>
    <w:rsid w:val="00A45A0D"/>
    <w:rsid w:val="00A45CEF"/>
    <w:rsid w:val="00A461A7"/>
    <w:rsid w:val="00A46312"/>
    <w:rsid w:val="00A464BE"/>
    <w:rsid w:val="00A464E8"/>
    <w:rsid w:val="00A4673D"/>
    <w:rsid w:val="00A467C0"/>
    <w:rsid w:val="00A46813"/>
    <w:rsid w:val="00A468D3"/>
    <w:rsid w:val="00A46945"/>
    <w:rsid w:val="00A47464"/>
    <w:rsid w:val="00A47A27"/>
    <w:rsid w:val="00A47B95"/>
    <w:rsid w:val="00A47D8D"/>
    <w:rsid w:val="00A502D6"/>
    <w:rsid w:val="00A51617"/>
    <w:rsid w:val="00A51733"/>
    <w:rsid w:val="00A51BA1"/>
    <w:rsid w:val="00A51C92"/>
    <w:rsid w:val="00A521EE"/>
    <w:rsid w:val="00A52A44"/>
    <w:rsid w:val="00A53121"/>
    <w:rsid w:val="00A53366"/>
    <w:rsid w:val="00A53BBB"/>
    <w:rsid w:val="00A554F7"/>
    <w:rsid w:val="00A55A56"/>
    <w:rsid w:val="00A56041"/>
    <w:rsid w:val="00A56171"/>
    <w:rsid w:val="00A56AAA"/>
    <w:rsid w:val="00A56CA2"/>
    <w:rsid w:val="00A56CCB"/>
    <w:rsid w:val="00A57339"/>
    <w:rsid w:val="00A57642"/>
    <w:rsid w:val="00A57C9B"/>
    <w:rsid w:val="00A60830"/>
    <w:rsid w:val="00A60A94"/>
    <w:rsid w:val="00A60BEA"/>
    <w:rsid w:val="00A61253"/>
    <w:rsid w:val="00A61324"/>
    <w:rsid w:val="00A61CED"/>
    <w:rsid w:val="00A622D1"/>
    <w:rsid w:val="00A6288B"/>
    <w:rsid w:val="00A62AC2"/>
    <w:rsid w:val="00A62B23"/>
    <w:rsid w:val="00A62C52"/>
    <w:rsid w:val="00A62ED6"/>
    <w:rsid w:val="00A63612"/>
    <w:rsid w:val="00A63CB4"/>
    <w:rsid w:val="00A63CC7"/>
    <w:rsid w:val="00A63E5A"/>
    <w:rsid w:val="00A6408C"/>
    <w:rsid w:val="00A640EF"/>
    <w:rsid w:val="00A64AB5"/>
    <w:rsid w:val="00A64E70"/>
    <w:rsid w:val="00A65505"/>
    <w:rsid w:val="00A65596"/>
    <w:rsid w:val="00A656C2"/>
    <w:rsid w:val="00A659CA"/>
    <w:rsid w:val="00A65A0D"/>
    <w:rsid w:val="00A65A6A"/>
    <w:rsid w:val="00A65BD8"/>
    <w:rsid w:val="00A65F89"/>
    <w:rsid w:val="00A66458"/>
    <w:rsid w:val="00A667F3"/>
    <w:rsid w:val="00A66C59"/>
    <w:rsid w:val="00A66DB9"/>
    <w:rsid w:val="00A672EC"/>
    <w:rsid w:val="00A67414"/>
    <w:rsid w:val="00A6766A"/>
    <w:rsid w:val="00A707BA"/>
    <w:rsid w:val="00A70BB0"/>
    <w:rsid w:val="00A71156"/>
    <w:rsid w:val="00A716B2"/>
    <w:rsid w:val="00A7171F"/>
    <w:rsid w:val="00A71806"/>
    <w:rsid w:val="00A71ADA"/>
    <w:rsid w:val="00A7257E"/>
    <w:rsid w:val="00A7266A"/>
    <w:rsid w:val="00A726A1"/>
    <w:rsid w:val="00A72E8E"/>
    <w:rsid w:val="00A72F76"/>
    <w:rsid w:val="00A733EA"/>
    <w:rsid w:val="00A73529"/>
    <w:rsid w:val="00A73752"/>
    <w:rsid w:val="00A739A3"/>
    <w:rsid w:val="00A73C5D"/>
    <w:rsid w:val="00A73E8B"/>
    <w:rsid w:val="00A73F9B"/>
    <w:rsid w:val="00A740F2"/>
    <w:rsid w:val="00A7457F"/>
    <w:rsid w:val="00A74886"/>
    <w:rsid w:val="00A74B9C"/>
    <w:rsid w:val="00A7559F"/>
    <w:rsid w:val="00A75735"/>
    <w:rsid w:val="00A75A37"/>
    <w:rsid w:val="00A763BD"/>
    <w:rsid w:val="00A76672"/>
    <w:rsid w:val="00A7670F"/>
    <w:rsid w:val="00A76713"/>
    <w:rsid w:val="00A76C9A"/>
    <w:rsid w:val="00A76FE3"/>
    <w:rsid w:val="00A771C2"/>
    <w:rsid w:val="00A80097"/>
    <w:rsid w:val="00A8022D"/>
    <w:rsid w:val="00A8048D"/>
    <w:rsid w:val="00A804B4"/>
    <w:rsid w:val="00A80753"/>
    <w:rsid w:val="00A807B6"/>
    <w:rsid w:val="00A81069"/>
    <w:rsid w:val="00A813FE"/>
    <w:rsid w:val="00A81A89"/>
    <w:rsid w:val="00A824B2"/>
    <w:rsid w:val="00A82504"/>
    <w:rsid w:val="00A82916"/>
    <w:rsid w:val="00A829B4"/>
    <w:rsid w:val="00A82B31"/>
    <w:rsid w:val="00A82DE6"/>
    <w:rsid w:val="00A8308F"/>
    <w:rsid w:val="00A830A8"/>
    <w:rsid w:val="00A83E39"/>
    <w:rsid w:val="00A840DF"/>
    <w:rsid w:val="00A84331"/>
    <w:rsid w:val="00A84A0D"/>
    <w:rsid w:val="00A8505F"/>
    <w:rsid w:val="00A8508D"/>
    <w:rsid w:val="00A85421"/>
    <w:rsid w:val="00A854F3"/>
    <w:rsid w:val="00A858EA"/>
    <w:rsid w:val="00A85A2F"/>
    <w:rsid w:val="00A85ABD"/>
    <w:rsid w:val="00A8613E"/>
    <w:rsid w:val="00A86833"/>
    <w:rsid w:val="00A86999"/>
    <w:rsid w:val="00A86AD1"/>
    <w:rsid w:val="00A875FE"/>
    <w:rsid w:val="00A87F54"/>
    <w:rsid w:val="00A904DD"/>
    <w:rsid w:val="00A909EC"/>
    <w:rsid w:val="00A90FDE"/>
    <w:rsid w:val="00A911FC"/>
    <w:rsid w:val="00A91620"/>
    <w:rsid w:val="00A9190A"/>
    <w:rsid w:val="00A925E9"/>
    <w:rsid w:val="00A92735"/>
    <w:rsid w:val="00A92B07"/>
    <w:rsid w:val="00A92C6C"/>
    <w:rsid w:val="00A93013"/>
    <w:rsid w:val="00A931F6"/>
    <w:rsid w:val="00A9324D"/>
    <w:rsid w:val="00A93795"/>
    <w:rsid w:val="00A9395B"/>
    <w:rsid w:val="00A93962"/>
    <w:rsid w:val="00A9396A"/>
    <w:rsid w:val="00A93B6C"/>
    <w:rsid w:val="00A93C3D"/>
    <w:rsid w:val="00A93E07"/>
    <w:rsid w:val="00A941F3"/>
    <w:rsid w:val="00A94468"/>
    <w:rsid w:val="00A944CB"/>
    <w:rsid w:val="00A94C83"/>
    <w:rsid w:val="00A94ED7"/>
    <w:rsid w:val="00A95138"/>
    <w:rsid w:val="00A9589D"/>
    <w:rsid w:val="00A95A9A"/>
    <w:rsid w:val="00A95C5D"/>
    <w:rsid w:val="00A9602D"/>
    <w:rsid w:val="00A9612D"/>
    <w:rsid w:val="00A96171"/>
    <w:rsid w:val="00A965AF"/>
    <w:rsid w:val="00A96E76"/>
    <w:rsid w:val="00A96F3A"/>
    <w:rsid w:val="00A9709A"/>
    <w:rsid w:val="00A9764C"/>
    <w:rsid w:val="00A976E1"/>
    <w:rsid w:val="00A97864"/>
    <w:rsid w:val="00A97A77"/>
    <w:rsid w:val="00A97BDA"/>
    <w:rsid w:val="00AA0396"/>
    <w:rsid w:val="00AA03D8"/>
    <w:rsid w:val="00AA0A8E"/>
    <w:rsid w:val="00AA0FCD"/>
    <w:rsid w:val="00AA12AE"/>
    <w:rsid w:val="00AA1553"/>
    <w:rsid w:val="00AA1744"/>
    <w:rsid w:val="00AA1978"/>
    <w:rsid w:val="00AA1A38"/>
    <w:rsid w:val="00AA1A8B"/>
    <w:rsid w:val="00AA1B7F"/>
    <w:rsid w:val="00AA1D82"/>
    <w:rsid w:val="00AA2233"/>
    <w:rsid w:val="00AA2627"/>
    <w:rsid w:val="00AA2BC9"/>
    <w:rsid w:val="00AA2F77"/>
    <w:rsid w:val="00AA3AB6"/>
    <w:rsid w:val="00AA3BBC"/>
    <w:rsid w:val="00AA3F0E"/>
    <w:rsid w:val="00AA3F50"/>
    <w:rsid w:val="00AA406F"/>
    <w:rsid w:val="00AA42C1"/>
    <w:rsid w:val="00AA4446"/>
    <w:rsid w:val="00AA44CA"/>
    <w:rsid w:val="00AA4BA2"/>
    <w:rsid w:val="00AA5217"/>
    <w:rsid w:val="00AA6309"/>
    <w:rsid w:val="00AA6D80"/>
    <w:rsid w:val="00AA72CF"/>
    <w:rsid w:val="00AA743C"/>
    <w:rsid w:val="00AA7614"/>
    <w:rsid w:val="00AA784A"/>
    <w:rsid w:val="00AB03AB"/>
    <w:rsid w:val="00AB068C"/>
    <w:rsid w:val="00AB1178"/>
    <w:rsid w:val="00AB164E"/>
    <w:rsid w:val="00AB1764"/>
    <w:rsid w:val="00AB1A40"/>
    <w:rsid w:val="00AB1A6B"/>
    <w:rsid w:val="00AB1B1E"/>
    <w:rsid w:val="00AB1BEC"/>
    <w:rsid w:val="00AB1ED7"/>
    <w:rsid w:val="00AB2ACF"/>
    <w:rsid w:val="00AB2E01"/>
    <w:rsid w:val="00AB3182"/>
    <w:rsid w:val="00AB3364"/>
    <w:rsid w:val="00AB383A"/>
    <w:rsid w:val="00AB3A96"/>
    <w:rsid w:val="00AB44DA"/>
    <w:rsid w:val="00AB44F3"/>
    <w:rsid w:val="00AB49A9"/>
    <w:rsid w:val="00AB4C37"/>
    <w:rsid w:val="00AB5799"/>
    <w:rsid w:val="00AB616C"/>
    <w:rsid w:val="00AB74A4"/>
    <w:rsid w:val="00AC06D1"/>
    <w:rsid w:val="00AC0EA8"/>
    <w:rsid w:val="00AC135B"/>
    <w:rsid w:val="00AC1B17"/>
    <w:rsid w:val="00AC1B1B"/>
    <w:rsid w:val="00AC1BCD"/>
    <w:rsid w:val="00AC1C26"/>
    <w:rsid w:val="00AC1E1C"/>
    <w:rsid w:val="00AC23D1"/>
    <w:rsid w:val="00AC275A"/>
    <w:rsid w:val="00AC2FEE"/>
    <w:rsid w:val="00AC301E"/>
    <w:rsid w:val="00AC328E"/>
    <w:rsid w:val="00AC3E03"/>
    <w:rsid w:val="00AC4057"/>
    <w:rsid w:val="00AC4486"/>
    <w:rsid w:val="00AC4700"/>
    <w:rsid w:val="00AC479B"/>
    <w:rsid w:val="00AC5BF9"/>
    <w:rsid w:val="00AC62A8"/>
    <w:rsid w:val="00AC6354"/>
    <w:rsid w:val="00AC652D"/>
    <w:rsid w:val="00AC7154"/>
    <w:rsid w:val="00AC72AB"/>
    <w:rsid w:val="00AC731E"/>
    <w:rsid w:val="00AC73C9"/>
    <w:rsid w:val="00AC749A"/>
    <w:rsid w:val="00AC77B6"/>
    <w:rsid w:val="00AC7943"/>
    <w:rsid w:val="00AC79B1"/>
    <w:rsid w:val="00AC7F75"/>
    <w:rsid w:val="00AD013D"/>
    <w:rsid w:val="00AD0569"/>
    <w:rsid w:val="00AD1415"/>
    <w:rsid w:val="00AD1441"/>
    <w:rsid w:val="00AD1477"/>
    <w:rsid w:val="00AD1571"/>
    <w:rsid w:val="00AD1FEA"/>
    <w:rsid w:val="00AD206C"/>
    <w:rsid w:val="00AD21EF"/>
    <w:rsid w:val="00AD248A"/>
    <w:rsid w:val="00AD2E88"/>
    <w:rsid w:val="00AD35E1"/>
    <w:rsid w:val="00AD3630"/>
    <w:rsid w:val="00AD37D4"/>
    <w:rsid w:val="00AD3962"/>
    <w:rsid w:val="00AD3B45"/>
    <w:rsid w:val="00AD3EEB"/>
    <w:rsid w:val="00AD5054"/>
    <w:rsid w:val="00AD5345"/>
    <w:rsid w:val="00AD572B"/>
    <w:rsid w:val="00AD5E79"/>
    <w:rsid w:val="00AD655A"/>
    <w:rsid w:val="00AD6B23"/>
    <w:rsid w:val="00AD77C8"/>
    <w:rsid w:val="00AD78E3"/>
    <w:rsid w:val="00AE0491"/>
    <w:rsid w:val="00AE06E1"/>
    <w:rsid w:val="00AE0CE4"/>
    <w:rsid w:val="00AE1CAD"/>
    <w:rsid w:val="00AE1D12"/>
    <w:rsid w:val="00AE2B76"/>
    <w:rsid w:val="00AE2BBD"/>
    <w:rsid w:val="00AE2E1A"/>
    <w:rsid w:val="00AE406C"/>
    <w:rsid w:val="00AE4B56"/>
    <w:rsid w:val="00AE4E13"/>
    <w:rsid w:val="00AE548C"/>
    <w:rsid w:val="00AE5784"/>
    <w:rsid w:val="00AE622C"/>
    <w:rsid w:val="00AE6894"/>
    <w:rsid w:val="00AE6C77"/>
    <w:rsid w:val="00AE70B3"/>
    <w:rsid w:val="00AE798A"/>
    <w:rsid w:val="00AE7A1E"/>
    <w:rsid w:val="00AE7A5F"/>
    <w:rsid w:val="00AE7F45"/>
    <w:rsid w:val="00AE7F81"/>
    <w:rsid w:val="00AF079E"/>
    <w:rsid w:val="00AF07D7"/>
    <w:rsid w:val="00AF08AB"/>
    <w:rsid w:val="00AF0FA8"/>
    <w:rsid w:val="00AF11C9"/>
    <w:rsid w:val="00AF12EC"/>
    <w:rsid w:val="00AF1435"/>
    <w:rsid w:val="00AF1637"/>
    <w:rsid w:val="00AF16E2"/>
    <w:rsid w:val="00AF199C"/>
    <w:rsid w:val="00AF1A88"/>
    <w:rsid w:val="00AF26B7"/>
    <w:rsid w:val="00AF37DB"/>
    <w:rsid w:val="00AF3C7B"/>
    <w:rsid w:val="00AF3F1D"/>
    <w:rsid w:val="00AF41D3"/>
    <w:rsid w:val="00AF54B7"/>
    <w:rsid w:val="00AF587B"/>
    <w:rsid w:val="00AF60D9"/>
    <w:rsid w:val="00AF6543"/>
    <w:rsid w:val="00AF6AF9"/>
    <w:rsid w:val="00AF6C72"/>
    <w:rsid w:val="00AF6CC6"/>
    <w:rsid w:val="00AF6F1A"/>
    <w:rsid w:val="00AF7007"/>
    <w:rsid w:val="00AF7098"/>
    <w:rsid w:val="00AF7265"/>
    <w:rsid w:val="00AF73F7"/>
    <w:rsid w:val="00AF7C16"/>
    <w:rsid w:val="00AF7D63"/>
    <w:rsid w:val="00B0013F"/>
    <w:rsid w:val="00B0053E"/>
    <w:rsid w:val="00B00ED5"/>
    <w:rsid w:val="00B01076"/>
    <w:rsid w:val="00B01282"/>
    <w:rsid w:val="00B012CF"/>
    <w:rsid w:val="00B01343"/>
    <w:rsid w:val="00B014D2"/>
    <w:rsid w:val="00B01F3A"/>
    <w:rsid w:val="00B0232E"/>
    <w:rsid w:val="00B0241E"/>
    <w:rsid w:val="00B028ED"/>
    <w:rsid w:val="00B02C04"/>
    <w:rsid w:val="00B02EEE"/>
    <w:rsid w:val="00B03467"/>
    <w:rsid w:val="00B04005"/>
    <w:rsid w:val="00B0410F"/>
    <w:rsid w:val="00B046A2"/>
    <w:rsid w:val="00B04EB5"/>
    <w:rsid w:val="00B04F6B"/>
    <w:rsid w:val="00B05693"/>
    <w:rsid w:val="00B058ED"/>
    <w:rsid w:val="00B06015"/>
    <w:rsid w:val="00B0618B"/>
    <w:rsid w:val="00B06682"/>
    <w:rsid w:val="00B066AC"/>
    <w:rsid w:val="00B069C8"/>
    <w:rsid w:val="00B06D38"/>
    <w:rsid w:val="00B06D59"/>
    <w:rsid w:val="00B07133"/>
    <w:rsid w:val="00B0754A"/>
    <w:rsid w:val="00B0759E"/>
    <w:rsid w:val="00B077DF"/>
    <w:rsid w:val="00B07B22"/>
    <w:rsid w:val="00B1062D"/>
    <w:rsid w:val="00B112E5"/>
    <w:rsid w:val="00B11556"/>
    <w:rsid w:val="00B11645"/>
    <w:rsid w:val="00B11DC2"/>
    <w:rsid w:val="00B11FDA"/>
    <w:rsid w:val="00B121B5"/>
    <w:rsid w:val="00B127CE"/>
    <w:rsid w:val="00B12E91"/>
    <w:rsid w:val="00B13943"/>
    <w:rsid w:val="00B13D6E"/>
    <w:rsid w:val="00B13EE9"/>
    <w:rsid w:val="00B14A41"/>
    <w:rsid w:val="00B1508D"/>
    <w:rsid w:val="00B1512C"/>
    <w:rsid w:val="00B1570C"/>
    <w:rsid w:val="00B16447"/>
    <w:rsid w:val="00B1647C"/>
    <w:rsid w:val="00B1654B"/>
    <w:rsid w:val="00B1679D"/>
    <w:rsid w:val="00B16B2E"/>
    <w:rsid w:val="00B16BDC"/>
    <w:rsid w:val="00B17C49"/>
    <w:rsid w:val="00B17EDA"/>
    <w:rsid w:val="00B20366"/>
    <w:rsid w:val="00B20400"/>
    <w:rsid w:val="00B20758"/>
    <w:rsid w:val="00B20A73"/>
    <w:rsid w:val="00B20EF2"/>
    <w:rsid w:val="00B21234"/>
    <w:rsid w:val="00B21662"/>
    <w:rsid w:val="00B219A4"/>
    <w:rsid w:val="00B21F47"/>
    <w:rsid w:val="00B22072"/>
    <w:rsid w:val="00B22077"/>
    <w:rsid w:val="00B22676"/>
    <w:rsid w:val="00B23659"/>
    <w:rsid w:val="00B236B6"/>
    <w:rsid w:val="00B23850"/>
    <w:rsid w:val="00B23DEA"/>
    <w:rsid w:val="00B241FB"/>
    <w:rsid w:val="00B24861"/>
    <w:rsid w:val="00B24A6F"/>
    <w:rsid w:val="00B24AFE"/>
    <w:rsid w:val="00B254F6"/>
    <w:rsid w:val="00B2599A"/>
    <w:rsid w:val="00B26C97"/>
    <w:rsid w:val="00B27901"/>
    <w:rsid w:val="00B27DB4"/>
    <w:rsid w:val="00B3005F"/>
    <w:rsid w:val="00B30DC9"/>
    <w:rsid w:val="00B316A1"/>
    <w:rsid w:val="00B31D00"/>
    <w:rsid w:val="00B32210"/>
    <w:rsid w:val="00B32B7C"/>
    <w:rsid w:val="00B333B8"/>
    <w:rsid w:val="00B3367E"/>
    <w:rsid w:val="00B33756"/>
    <w:rsid w:val="00B33D7A"/>
    <w:rsid w:val="00B3417A"/>
    <w:rsid w:val="00B34675"/>
    <w:rsid w:val="00B347EB"/>
    <w:rsid w:val="00B34948"/>
    <w:rsid w:val="00B34D66"/>
    <w:rsid w:val="00B34DC1"/>
    <w:rsid w:val="00B35180"/>
    <w:rsid w:val="00B352BF"/>
    <w:rsid w:val="00B36D87"/>
    <w:rsid w:val="00B370DC"/>
    <w:rsid w:val="00B37237"/>
    <w:rsid w:val="00B376B5"/>
    <w:rsid w:val="00B376D4"/>
    <w:rsid w:val="00B3772D"/>
    <w:rsid w:val="00B3786C"/>
    <w:rsid w:val="00B40A4A"/>
    <w:rsid w:val="00B40B12"/>
    <w:rsid w:val="00B40E62"/>
    <w:rsid w:val="00B41AFC"/>
    <w:rsid w:val="00B41D24"/>
    <w:rsid w:val="00B424F6"/>
    <w:rsid w:val="00B436F4"/>
    <w:rsid w:val="00B43EAB"/>
    <w:rsid w:val="00B442AB"/>
    <w:rsid w:val="00B443A3"/>
    <w:rsid w:val="00B4473A"/>
    <w:rsid w:val="00B447B7"/>
    <w:rsid w:val="00B447E0"/>
    <w:rsid w:val="00B44B9C"/>
    <w:rsid w:val="00B44C11"/>
    <w:rsid w:val="00B44D3A"/>
    <w:rsid w:val="00B45B3A"/>
    <w:rsid w:val="00B4610B"/>
    <w:rsid w:val="00B46268"/>
    <w:rsid w:val="00B47343"/>
    <w:rsid w:val="00B47B00"/>
    <w:rsid w:val="00B500C3"/>
    <w:rsid w:val="00B502B1"/>
    <w:rsid w:val="00B50346"/>
    <w:rsid w:val="00B50640"/>
    <w:rsid w:val="00B50B1D"/>
    <w:rsid w:val="00B50B1F"/>
    <w:rsid w:val="00B5106E"/>
    <w:rsid w:val="00B512D3"/>
    <w:rsid w:val="00B51354"/>
    <w:rsid w:val="00B51407"/>
    <w:rsid w:val="00B5157E"/>
    <w:rsid w:val="00B51E76"/>
    <w:rsid w:val="00B52FF9"/>
    <w:rsid w:val="00B531BA"/>
    <w:rsid w:val="00B53831"/>
    <w:rsid w:val="00B53A3A"/>
    <w:rsid w:val="00B54280"/>
    <w:rsid w:val="00B54651"/>
    <w:rsid w:val="00B54E37"/>
    <w:rsid w:val="00B5599E"/>
    <w:rsid w:val="00B55ADB"/>
    <w:rsid w:val="00B55B90"/>
    <w:rsid w:val="00B55DAB"/>
    <w:rsid w:val="00B55F18"/>
    <w:rsid w:val="00B55F1A"/>
    <w:rsid w:val="00B55F32"/>
    <w:rsid w:val="00B566C9"/>
    <w:rsid w:val="00B573DB"/>
    <w:rsid w:val="00B573E4"/>
    <w:rsid w:val="00B576A4"/>
    <w:rsid w:val="00B57AAC"/>
    <w:rsid w:val="00B57ECA"/>
    <w:rsid w:val="00B6034F"/>
    <w:rsid w:val="00B60442"/>
    <w:rsid w:val="00B605EA"/>
    <w:rsid w:val="00B6060E"/>
    <w:rsid w:val="00B6080C"/>
    <w:rsid w:val="00B608AB"/>
    <w:rsid w:val="00B60B7F"/>
    <w:rsid w:val="00B61799"/>
    <w:rsid w:val="00B617D4"/>
    <w:rsid w:val="00B61A40"/>
    <w:rsid w:val="00B62241"/>
    <w:rsid w:val="00B625F8"/>
    <w:rsid w:val="00B6277D"/>
    <w:rsid w:val="00B62FF8"/>
    <w:rsid w:val="00B63453"/>
    <w:rsid w:val="00B63BAC"/>
    <w:rsid w:val="00B63CEA"/>
    <w:rsid w:val="00B63F56"/>
    <w:rsid w:val="00B64598"/>
    <w:rsid w:val="00B64665"/>
    <w:rsid w:val="00B6470F"/>
    <w:rsid w:val="00B64938"/>
    <w:rsid w:val="00B64B10"/>
    <w:rsid w:val="00B64C66"/>
    <w:rsid w:val="00B655A7"/>
    <w:rsid w:val="00B65D35"/>
    <w:rsid w:val="00B65F8F"/>
    <w:rsid w:val="00B66373"/>
    <w:rsid w:val="00B66723"/>
    <w:rsid w:val="00B667D4"/>
    <w:rsid w:val="00B6704E"/>
    <w:rsid w:val="00B67995"/>
    <w:rsid w:val="00B70258"/>
    <w:rsid w:val="00B7055C"/>
    <w:rsid w:val="00B70F50"/>
    <w:rsid w:val="00B71629"/>
    <w:rsid w:val="00B71CC7"/>
    <w:rsid w:val="00B71DCD"/>
    <w:rsid w:val="00B72400"/>
    <w:rsid w:val="00B726A6"/>
    <w:rsid w:val="00B72C5F"/>
    <w:rsid w:val="00B72D6E"/>
    <w:rsid w:val="00B7324F"/>
    <w:rsid w:val="00B73887"/>
    <w:rsid w:val="00B73EC1"/>
    <w:rsid w:val="00B74158"/>
    <w:rsid w:val="00B74377"/>
    <w:rsid w:val="00B7437E"/>
    <w:rsid w:val="00B7454E"/>
    <w:rsid w:val="00B74D45"/>
    <w:rsid w:val="00B75A52"/>
    <w:rsid w:val="00B75C8D"/>
    <w:rsid w:val="00B7610C"/>
    <w:rsid w:val="00B76A7E"/>
    <w:rsid w:val="00B77173"/>
    <w:rsid w:val="00B7769F"/>
    <w:rsid w:val="00B777EB"/>
    <w:rsid w:val="00B77F4A"/>
    <w:rsid w:val="00B80F20"/>
    <w:rsid w:val="00B80F5A"/>
    <w:rsid w:val="00B8153A"/>
    <w:rsid w:val="00B81582"/>
    <w:rsid w:val="00B81925"/>
    <w:rsid w:val="00B82205"/>
    <w:rsid w:val="00B82498"/>
    <w:rsid w:val="00B82586"/>
    <w:rsid w:val="00B829F9"/>
    <w:rsid w:val="00B82B18"/>
    <w:rsid w:val="00B82F17"/>
    <w:rsid w:val="00B83017"/>
    <w:rsid w:val="00B840CF"/>
    <w:rsid w:val="00B84353"/>
    <w:rsid w:val="00B8455A"/>
    <w:rsid w:val="00B84860"/>
    <w:rsid w:val="00B84C10"/>
    <w:rsid w:val="00B84DBE"/>
    <w:rsid w:val="00B84F5F"/>
    <w:rsid w:val="00B855C0"/>
    <w:rsid w:val="00B86349"/>
    <w:rsid w:val="00B86BF1"/>
    <w:rsid w:val="00B8744F"/>
    <w:rsid w:val="00B8785A"/>
    <w:rsid w:val="00B90A22"/>
    <w:rsid w:val="00B90B45"/>
    <w:rsid w:val="00B9120D"/>
    <w:rsid w:val="00B9126B"/>
    <w:rsid w:val="00B91568"/>
    <w:rsid w:val="00B91845"/>
    <w:rsid w:val="00B92221"/>
    <w:rsid w:val="00B9273D"/>
    <w:rsid w:val="00B929CA"/>
    <w:rsid w:val="00B92C3F"/>
    <w:rsid w:val="00B9360B"/>
    <w:rsid w:val="00B939B3"/>
    <w:rsid w:val="00B93BC8"/>
    <w:rsid w:val="00B93DBB"/>
    <w:rsid w:val="00B94900"/>
    <w:rsid w:val="00B94A31"/>
    <w:rsid w:val="00B94F0D"/>
    <w:rsid w:val="00B952AA"/>
    <w:rsid w:val="00B953C4"/>
    <w:rsid w:val="00B955B2"/>
    <w:rsid w:val="00B96021"/>
    <w:rsid w:val="00B96A24"/>
    <w:rsid w:val="00B96C02"/>
    <w:rsid w:val="00B96E7B"/>
    <w:rsid w:val="00B97054"/>
    <w:rsid w:val="00B9719C"/>
    <w:rsid w:val="00B97284"/>
    <w:rsid w:val="00BA04DB"/>
    <w:rsid w:val="00BA08A0"/>
    <w:rsid w:val="00BA1000"/>
    <w:rsid w:val="00BA101B"/>
    <w:rsid w:val="00BA1737"/>
    <w:rsid w:val="00BA2002"/>
    <w:rsid w:val="00BA20BE"/>
    <w:rsid w:val="00BA22E8"/>
    <w:rsid w:val="00BA2434"/>
    <w:rsid w:val="00BA2696"/>
    <w:rsid w:val="00BA29DA"/>
    <w:rsid w:val="00BA2B95"/>
    <w:rsid w:val="00BA333D"/>
    <w:rsid w:val="00BA38FA"/>
    <w:rsid w:val="00BA434E"/>
    <w:rsid w:val="00BA4527"/>
    <w:rsid w:val="00BA4855"/>
    <w:rsid w:val="00BA53C8"/>
    <w:rsid w:val="00BA56E2"/>
    <w:rsid w:val="00BA5C09"/>
    <w:rsid w:val="00BA5EBF"/>
    <w:rsid w:val="00BA5F09"/>
    <w:rsid w:val="00BA618F"/>
    <w:rsid w:val="00BA6558"/>
    <w:rsid w:val="00BA66CA"/>
    <w:rsid w:val="00BA6986"/>
    <w:rsid w:val="00BA6E9E"/>
    <w:rsid w:val="00BA7416"/>
    <w:rsid w:val="00BA765C"/>
    <w:rsid w:val="00BA76C4"/>
    <w:rsid w:val="00BA7A34"/>
    <w:rsid w:val="00BA7A9C"/>
    <w:rsid w:val="00BB0616"/>
    <w:rsid w:val="00BB064C"/>
    <w:rsid w:val="00BB0C80"/>
    <w:rsid w:val="00BB1152"/>
    <w:rsid w:val="00BB177B"/>
    <w:rsid w:val="00BB1CAC"/>
    <w:rsid w:val="00BB228A"/>
    <w:rsid w:val="00BB2908"/>
    <w:rsid w:val="00BB2D39"/>
    <w:rsid w:val="00BB2FFB"/>
    <w:rsid w:val="00BB322A"/>
    <w:rsid w:val="00BB3F6E"/>
    <w:rsid w:val="00BB409F"/>
    <w:rsid w:val="00BB439F"/>
    <w:rsid w:val="00BB4733"/>
    <w:rsid w:val="00BB47C6"/>
    <w:rsid w:val="00BB4C61"/>
    <w:rsid w:val="00BB5052"/>
    <w:rsid w:val="00BB51EC"/>
    <w:rsid w:val="00BB529D"/>
    <w:rsid w:val="00BB55FC"/>
    <w:rsid w:val="00BB5A99"/>
    <w:rsid w:val="00BB5B5C"/>
    <w:rsid w:val="00BB68F3"/>
    <w:rsid w:val="00BB6B69"/>
    <w:rsid w:val="00BB6C04"/>
    <w:rsid w:val="00BB6E3D"/>
    <w:rsid w:val="00BB6EA5"/>
    <w:rsid w:val="00BB7441"/>
    <w:rsid w:val="00BB7D84"/>
    <w:rsid w:val="00BB7F28"/>
    <w:rsid w:val="00BC090C"/>
    <w:rsid w:val="00BC174B"/>
    <w:rsid w:val="00BC1ED5"/>
    <w:rsid w:val="00BC2774"/>
    <w:rsid w:val="00BC295F"/>
    <w:rsid w:val="00BC2B07"/>
    <w:rsid w:val="00BC3645"/>
    <w:rsid w:val="00BC39E8"/>
    <w:rsid w:val="00BC3C10"/>
    <w:rsid w:val="00BC3D09"/>
    <w:rsid w:val="00BC4F8D"/>
    <w:rsid w:val="00BC5164"/>
    <w:rsid w:val="00BC5474"/>
    <w:rsid w:val="00BC5712"/>
    <w:rsid w:val="00BC59D9"/>
    <w:rsid w:val="00BC5A33"/>
    <w:rsid w:val="00BC5F10"/>
    <w:rsid w:val="00BC6015"/>
    <w:rsid w:val="00BC68D4"/>
    <w:rsid w:val="00BC69D5"/>
    <w:rsid w:val="00BC6FF3"/>
    <w:rsid w:val="00BC73B7"/>
    <w:rsid w:val="00BC7ADB"/>
    <w:rsid w:val="00BD0470"/>
    <w:rsid w:val="00BD07BA"/>
    <w:rsid w:val="00BD0895"/>
    <w:rsid w:val="00BD1031"/>
    <w:rsid w:val="00BD1183"/>
    <w:rsid w:val="00BD1586"/>
    <w:rsid w:val="00BD1AA5"/>
    <w:rsid w:val="00BD1AA8"/>
    <w:rsid w:val="00BD227A"/>
    <w:rsid w:val="00BD27A9"/>
    <w:rsid w:val="00BD27FC"/>
    <w:rsid w:val="00BD2B5F"/>
    <w:rsid w:val="00BD2CE1"/>
    <w:rsid w:val="00BD3096"/>
    <w:rsid w:val="00BD3638"/>
    <w:rsid w:val="00BD390A"/>
    <w:rsid w:val="00BD3FF0"/>
    <w:rsid w:val="00BD41B7"/>
    <w:rsid w:val="00BD441E"/>
    <w:rsid w:val="00BD455E"/>
    <w:rsid w:val="00BD46BC"/>
    <w:rsid w:val="00BD479D"/>
    <w:rsid w:val="00BD5875"/>
    <w:rsid w:val="00BD66DC"/>
    <w:rsid w:val="00BD66FC"/>
    <w:rsid w:val="00BD6994"/>
    <w:rsid w:val="00BD6B3E"/>
    <w:rsid w:val="00BD6B66"/>
    <w:rsid w:val="00BD6BEC"/>
    <w:rsid w:val="00BD6C6E"/>
    <w:rsid w:val="00BD7003"/>
    <w:rsid w:val="00BD72E2"/>
    <w:rsid w:val="00BD74F9"/>
    <w:rsid w:val="00BD7623"/>
    <w:rsid w:val="00BD7977"/>
    <w:rsid w:val="00BD7AAE"/>
    <w:rsid w:val="00BD7DCB"/>
    <w:rsid w:val="00BD7E45"/>
    <w:rsid w:val="00BE010C"/>
    <w:rsid w:val="00BE031C"/>
    <w:rsid w:val="00BE0A52"/>
    <w:rsid w:val="00BE1033"/>
    <w:rsid w:val="00BE16BD"/>
    <w:rsid w:val="00BE17B8"/>
    <w:rsid w:val="00BE1E96"/>
    <w:rsid w:val="00BE2390"/>
    <w:rsid w:val="00BE243E"/>
    <w:rsid w:val="00BE26F1"/>
    <w:rsid w:val="00BE2EB5"/>
    <w:rsid w:val="00BE307C"/>
    <w:rsid w:val="00BE3223"/>
    <w:rsid w:val="00BE3458"/>
    <w:rsid w:val="00BE3993"/>
    <w:rsid w:val="00BE3A6D"/>
    <w:rsid w:val="00BE3D59"/>
    <w:rsid w:val="00BE3DD6"/>
    <w:rsid w:val="00BE3FF4"/>
    <w:rsid w:val="00BE40F4"/>
    <w:rsid w:val="00BE4206"/>
    <w:rsid w:val="00BE4C39"/>
    <w:rsid w:val="00BE5410"/>
    <w:rsid w:val="00BE54C0"/>
    <w:rsid w:val="00BE5804"/>
    <w:rsid w:val="00BE5C36"/>
    <w:rsid w:val="00BE63F9"/>
    <w:rsid w:val="00BE7ED7"/>
    <w:rsid w:val="00BF0476"/>
    <w:rsid w:val="00BF0BB1"/>
    <w:rsid w:val="00BF0CF5"/>
    <w:rsid w:val="00BF0E0A"/>
    <w:rsid w:val="00BF1189"/>
    <w:rsid w:val="00BF14BB"/>
    <w:rsid w:val="00BF18DD"/>
    <w:rsid w:val="00BF1946"/>
    <w:rsid w:val="00BF1B60"/>
    <w:rsid w:val="00BF1EC5"/>
    <w:rsid w:val="00BF2073"/>
    <w:rsid w:val="00BF2CA1"/>
    <w:rsid w:val="00BF2E5C"/>
    <w:rsid w:val="00BF355B"/>
    <w:rsid w:val="00BF35D2"/>
    <w:rsid w:val="00BF389D"/>
    <w:rsid w:val="00BF3EE4"/>
    <w:rsid w:val="00BF3F0E"/>
    <w:rsid w:val="00BF4166"/>
    <w:rsid w:val="00BF44E4"/>
    <w:rsid w:val="00BF479B"/>
    <w:rsid w:val="00BF4BDF"/>
    <w:rsid w:val="00BF5D8F"/>
    <w:rsid w:val="00BF63F7"/>
    <w:rsid w:val="00BF649B"/>
    <w:rsid w:val="00BF6E20"/>
    <w:rsid w:val="00BF7682"/>
    <w:rsid w:val="00BF7CC3"/>
    <w:rsid w:val="00BF7DB3"/>
    <w:rsid w:val="00BF7E38"/>
    <w:rsid w:val="00C001AB"/>
    <w:rsid w:val="00C0166A"/>
    <w:rsid w:val="00C01A51"/>
    <w:rsid w:val="00C01D3B"/>
    <w:rsid w:val="00C024EE"/>
    <w:rsid w:val="00C0318D"/>
    <w:rsid w:val="00C03A5B"/>
    <w:rsid w:val="00C041C3"/>
    <w:rsid w:val="00C046E9"/>
    <w:rsid w:val="00C0482D"/>
    <w:rsid w:val="00C0516C"/>
    <w:rsid w:val="00C05499"/>
    <w:rsid w:val="00C0560B"/>
    <w:rsid w:val="00C057E0"/>
    <w:rsid w:val="00C05924"/>
    <w:rsid w:val="00C0643B"/>
    <w:rsid w:val="00C06BEE"/>
    <w:rsid w:val="00C06F97"/>
    <w:rsid w:val="00C07BAA"/>
    <w:rsid w:val="00C07CA6"/>
    <w:rsid w:val="00C1001B"/>
    <w:rsid w:val="00C101A9"/>
    <w:rsid w:val="00C10AA8"/>
    <w:rsid w:val="00C1146B"/>
    <w:rsid w:val="00C116AB"/>
    <w:rsid w:val="00C1179E"/>
    <w:rsid w:val="00C11881"/>
    <w:rsid w:val="00C11E3D"/>
    <w:rsid w:val="00C11F86"/>
    <w:rsid w:val="00C12221"/>
    <w:rsid w:val="00C123A1"/>
    <w:rsid w:val="00C12F82"/>
    <w:rsid w:val="00C12FF5"/>
    <w:rsid w:val="00C13541"/>
    <w:rsid w:val="00C1369E"/>
    <w:rsid w:val="00C15003"/>
    <w:rsid w:val="00C15AFC"/>
    <w:rsid w:val="00C15D16"/>
    <w:rsid w:val="00C16949"/>
    <w:rsid w:val="00C16D39"/>
    <w:rsid w:val="00C16E91"/>
    <w:rsid w:val="00C174C8"/>
    <w:rsid w:val="00C17F1B"/>
    <w:rsid w:val="00C17F6E"/>
    <w:rsid w:val="00C2028B"/>
    <w:rsid w:val="00C20927"/>
    <w:rsid w:val="00C20A29"/>
    <w:rsid w:val="00C214EB"/>
    <w:rsid w:val="00C21579"/>
    <w:rsid w:val="00C219C0"/>
    <w:rsid w:val="00C21BBE"/>
    <w:rsid w:val="00C21DC7"/>
    <w:rsid w:val="00C2211B"/>
    <w:rsid w:val="00C22562"/>
    <w:rsid w:val="00C2286A"/>
    <w:rsid w:val="00C22A2D"/>
    <w:rsid w:val="00C22B0B"/>
    <w:rsid w:val="00C22F45"/>
    <w:rsid w:val="00C238EE"/>
    <w:rsid w:val="00C2412F"/>
    <w:rsid w:val="00C24B35"/>
    <w:rsid w:val="00C2548B"/>
    <w:rsid w:val="00C25785"/>
    <w:rsid w:val="00C257E7"/>
    <w:rsid w:val="00C26025"/>
    <w:rsid w:val="00C26BDF"/>
    <w:rsid w:val="00C270DB"/>
    <w:rsid w:val="00C2722E"/>
    <w:rsid w:val="00C272C6"/>
    <w:rsid w:val="00C27402"/>
    <w:rsid w:val="00C27408"/>
    <w:rsid w:val="00C27A6F"/>
    <w:rsid w:val="00C27C95"/>
    <w:rsid w:val="00C27E07"/>
    <w:rsid w:val="00C30027"/>
    <w:rsid w:val="00C305C6"/>
    <w:rsid w:val="00C307F8"/>
    <w:rsid w:val="00C30912"/>
    <w:rsid w:val="00C30B4E"/>
    <w:rsid w:val="00C31111"/>
    <w:rsid w:val="00C31BA5"/>
    <w:rsid w:val="00C31F15"/>
    <w:rsid w:val="00C31FAF"/>
    <w:rsid w:val="00C323E7"/>
    <w:rsid w:val="00C3241C"/>
    <w:rsid w:val="00C32544"/>
    <w:rsid w:val="00C32554"/>
    <w:rsid w:val="00C32AB7"/>
    <w:rsid w:val="00C32ADD"/>
    <w:rsid w:val="00C32E1F"/>
    <w:rsid w:val="00C32F0B"/>
    <w:rsid w:val="00C33318"/>
    <w:rsid w:val="00C33837"/>
    <w:rsid w:val="00C33D4D"/>
    <w:rsid w:val="00C34291"/>
    <w:rsid w:val="00C34428"/>
    <w:rsid w:val="00C34CA7"/>
    <w:rsid w:val="00C35796"/>
    <w:rsid w:val="00C359AA"/>
    <w:rsid w:val="00C35E94"/>
    <w:rsid w:val="00C360EC"/>
    <w:rsid w:val="00C36233"/>
    <w:rsid w:val="00C3669A"/>
    <w:rsid w:val="00C36CA1"/>
    <w:rsid w:val="00C377EC"/>
    <w:rsid w:val="00C401D3"/>
    <w:rsid w:val="00C402FF"/>
    <w:rsid w:val="00C40558"/>
    <w:rsid w:val="00C40FCB"/>
    <w:rsid w:val="00C4122B"/>
    <w:rsid w:val="00C419AB"/>
    <w:rsid w:val="00C41A54"/>
    <w:rsid w:val="00C41BD7"/>
    <w:rsid w:val="00C42103"/>
    <w:rsid w:val="00C421FB"/>
    <w:rsid w:val="00C4262C"/>
    <w:rsid w:val="00C42853"/>
    <w:rsid w:val="00C428C1"/>
    <w:rsid w:val="00C42EA0"/>
    <w:rsid w:val="00C44149"/>
    <w:rsid w:val="00C442EF"/>
    <w:rsid w:val="00C44756"/>
    <w:rsid w:val="00C4482C"/>
    <w:rsid w:val="00C44A8E"/>
    <w:rsid w:val="00C44E7B"/>
    <w:rsid w:val="00C44FC3"/>
    <w:rsid w:val="00C4510F"/>
    <w:rsid w:val="00C451C9"/>
    <w:rsid w:val="00C454A2"/>
    <w:rsid w:val="00C4573C"/>
    <w:rsid w:val="00C45D59"/>
    <w:rsid w:val="00C466F3"/>
    <w:rsid w:val="00C4673B"/>
    <w:rsid w:val="00C46CAC"/>
    <w:rsid w:val="00C46E0A"/>
    <w:rsid w:val="00C46FDC"/>
    <w:rsid w:val="00C47193"/>
    <w:rsid w:val="00C50017"/>
    <w:rsid w:val="00C50026"/>
    <w:rsid w:val="00C50037"/>
    <w:rsid w:val="00C503ED"/>
    <w:rsid w:val="00C504C5"/>
    <w:rsid w:val="00C50BE3"/>
    <w:rsid w:val="00C50EA2"/>
    <w:rsid w:val="00C517BD"/>
    <w:rsid w:val="00C51F37"/>
    <w:rsid w:val="00C527EF"/>
    <w:rsid w:val="00C52889"/>
    <w:rsid w:val="00C538A6"/>
    <w:rsid w:val="00C53A62"/>
    <w:rsid w:val="00C53C29"/>
    <w:rsid w:val="00C53D93"/>
    <w:rsid w:val="00C54517"/>
    <w:rsid w:val="00C545D4"/>
    <w:rsid w:val="00C54614"/>
    <w:rsid w:val="00C54AB3"/>
    <w:rsid w:val="00C55DDC"/>
    <w:rsid w:val="00C55F9E"/>
    <w:rsid w:val="00C55FF8"/>
    <w:rsid w:val="00C563E0"/>
    <w:rsid w:val="00C563F6"/>
    <w:rsid w:val="00C56404"/>
    <w:rsid w:val="00C569DE"/>
    <w:rsid w:val="00C56CB5"/>
    <w:rsid w:val="00C57404"/>
    <w:rsid w:val="00C5778D"/>
    <w:rsid w:val="00C57974"/>
    <w:rsid w:val="00C57A30"/>
    <w:rsid w:val="00C57A53"/>
    <w:rsid w:val="00C57FB4"/>
    <w:rsid w:val="00C60899"/>
    <w:rsid w:val="00C613EE"/>
    <w:rsid w:val="00C619C5"/>
    <w:rsid w:val="00C62492"/>
    <w:rsid w:val="00C626D3"/>
    <w:rsid w:val="00C6292F"/>
    <w:rsid w:val="00C631B4"/>
    <w:rsid w:val="00C632A6"/>
    <w:rsid w:val="00C63552"/>
    <w:rsid w:val="00C63767"/>
    <w:rsid w:val="00C6431B"/>
    <w:rsid w:val="00C649E7"/>
    <w:rsid w:val="00C64B02"/>
    <w:rsid w:val="00C64CB4"/>
    <w:rsid w:val="00C6517D"/>
    <w:rsid w:val="00C651DA"/>
    <w:rsid w:val="00C651F6"/>
    <w:rsid w:val="00C65683"/>
    <w:rsid w:val="00C656F7"/>
    <w:rsid w:val="00C65847"/>
    <w:rsid w:val="00C65AD5"/>
    <w:rsid w:val="00C66094"/>
    <w:rsid w:val="00C6671D"/>
    <w:rsid w:val="00C6678F"/>
    <w:rsid w:val="00C66E16"/>
    <w:rsid w:val="00C6760D"/>
    <w:rsid w:val="00C67664"/>
    <w:rsid w:val="00C679E6"/>
    <w:rsid w:val="00C67ED9"/>
    <w:rsid w:val="00C70125"/>
    <w:rsid w:val="00C71879"/>
    <w:rsid w:val="00C72382"/>
    <w:rsid w:val="00C724CE"/>
    <w:rsid w:val="00C72AD6"/>
    <w:rsid w:val="00C730C5"/>
    <w:rsid w:val="00C7323F"/>
    <w:rsid w:val="00C736E5"/>
    <w:rsid w:val="00C73BD7"/>
    <w:rsid w:val="00C73D45"/>
    <w:rsid w:val="00C751A3"/>
    <w:rsid w:val="00C75476"/>
    <w:rsid w:val="00C75A09"/>
    <w:rsid w:val="00C7618E"/>
    <w:rsid w:val="00C7671E"/>
    <w:rsid w:val="00C76E83"/>
    <w:rsid w:val="00C76F99"/>
    <w:rsid w:val="00C774A6"/>
    <w:rsid w:val="00C77C57"/>
    <w:rsid w:val="00C8001B"/>
    <w:rsid w:val="00C80137"/>
    <w:rsid w:val="00C80263"/>
    <w:rsid w:val="00C80C54"/>
    <w:rsid w:val="00C814E3"/>
    <w:rsid w:val="00C81AF9"/>
    <w:rsid w:val="00C81FA2"/>
    <w:rsid w:val="00C82413"/>
    <w:rsid w:val="00C82515"/>
    <w:rsid w:val="00C8317B"/>
    <w:rsid w:val="00C832FC"/>
    <w:rsid w:val="00C836EA"/>
    <w:rsid w:val="00C8392E"/>
    <w:rsid w:val="00C83D92"/>
    <w:rsid w:val="00C844C2"/>
    <w:rsid w:val="00C844D6"/>
    <w:rsid w:val="00C84AF2"/>
    <w:rsid w:val="00C84F8A"/>
    <w:rsid w:val="00C85177"/>
    <w:rsid w:val="00C8559D"/>
    <w:rsid w:val="00C855B4"/>
    <w:rsid w:val="00C85823"/>
    <w:rsid w:val="00C86643"/>
    <w:rsid w:val="00C866F4"/>
    <w:rsid w:val="00C867B3"/>
    <w:rsid w:val="00C86A41"/>
    <w:rsid w:val="00C86E1E"/>
    <w:rsid w:val="00C86F20"/>
    <w:rsid w:val="00C8749F"/>
    <w:rsid w:val="00C87579"/>
    <w:rsid w:val="00C87650"/>
    <w:rsid w:val="00C87847"/>
    <w:rsid w:val="00C87FC2"/>
    <w:rsid w:val="00C902CB"/>
    <w:rsid w:val="00C9099D"/>
    <w:rsid w:val="00C90A5F"/>
    <w:rsid w:val="00C90BE8"/>
    <w:rsid w:val="00C91318"/>
    <w:rsid w:val="00C91C1C"/>
    <w:rsid w:val="00C91FD6"/>
    <w:rsid w:val="00C925F0"/>
    <w:rsid w:val="00C93173"/>
    <w:rsid w:val="00C93364"/>
    <w:rsid w:val="00C9347C"/>
    <w:rsid w:val="00C943E9"/>
    <w:rsid w:val="00C94EA2"/>
    <w:rsid w:val="00C95382"/>
    <w:rsid w:val="00C95875"/>
    <w:rsid w:val="00C96005"/>
    <w:rsid w:val="00C9627E"/>
    <w:rsid w:val="00C962F7"/>
    <w:rsid w:val="00C96424"/>
    <w:rsid w:val="00C964B3"/>
    <w:rsid w:val="00C969F7"/>
    <w:rsid w:val="00C96A8F"/>
    <w:rsid w:val="00C97202"/>
    <w:rsid w:val="00C97396"/>
    <w:rsid w:val="00C973C5"/>
    <w:rsid w:val="00C97508"/>
    <w:rsid w:val="00C977F7"/>
    <w:rsid w:val="00CA0343"/>
    <w:rsid w:val="00CA038D"/>
    <w:rsid w:val="00CA1B07"/>
    <w:rsid w:val="00CA1B34"/>
    <w:rsid w:val="00CA1D2B"/>
    <w:rsid w:val="00CA21A2"/>
    <w:rsid w:val="00CA22EA"/>
    <w:rsid w:val="00CA2493"/>
    <w:rsid w:val="00CA254F"/>
    <w:rsid w:val="00CA25B8"/>
    <w:rsid w:val="00CA2829"/>
    <w:rsid w:val="00CA283E"/>
    <w:rsid w:val="00CA2855"/>
    <w:rsid w:val="00CA2E32"/>
    <w:rsid w:val="00CA47D4"/>
    <w:rsid w:val="00CA4A43"/>
    <w:rsid w:val="00CA4B57"/>
    <w:rsid w:val="00CA55CD"/>
    <w:rsid w:val="00CA5B5D"/>
    <w:rsid w:val="00CA5D0B"/>
    <w:rsid w:val="00CA6135"/>
    <w:rsid w:val="00CA6D9F"/>
    <w:rsid w:val="00CA72C8"/>
    <w:rsid w:val="00CA78F0"/>
    <w:rsid w:val="00CB0D95"/>
    <w:rsid w:val="00CB12AB"/>
    <w:rsid w:val="00CB1458"/>
    <w:rsid w:val="00CB1FE5"/>
    <w:rsid w:val="00CB22BB"/>
    <w:rsid w:val="00CB260D"/>
    <w:rsid w:val="00CB2706"/>
    <w:rsid w:val="00CB2B4F"/>
    <w:rsid w:val="00CB2E96"/>
    <w:rsid w:val="00CB2F47"/>
    <w:rsid w:val="00CB384C"/>
    <w:rsid w:val="00CB3BAC"/>
    <w:rsid w:val="00CB41C5"/>
    <w:rsid w:val="00CB4B44"/>
    <w:rsid w:val="00CB54F4"/>
    <w:rsid w:val="00CB56E2"/>
    <w:rsid w:val="00CB5C76"/>
    <w:rsid w:val="00CB5F57"/>
    <w:rsid w:val="00CB6491"/>
    <w:rsid w:val="00CB6A52"/>
    <w:rsid w:val="00CB6F73"/>
    <w:rsid w:val="00CB74E3"/>
    <w:rsid w:val="00CB7831"/>
    <w:rsid w:val="00CB7B06"/>
    <w:rsid w:val="00CB7B29"/>
    <w:rsid w:val="00CB7B4B"/>
    <w:rsid w:val="00CB7E84"/>
    <w:rsid w:val="00CB7EF3"/>
    <w:rsid w:val="00CB7FB5"/>
    <w:rsid w:val="00CC0103"/>
    <w:rsid w:val="00CC0240"/>
    <w:rsid w:val="00CC09C9"/>
    <w:rsid w:val="00CC0AA7"/>
    <w:rsid w:val="00CC0B14"/>
    <w:rsid w:val="00CC13DE"/>
    <w:rsid w:val="00CC152B"/>
    <w:rsid w:val="00CC1665"/>
    <w:rsid w:val="00CC1EFF"/>
    <w:rsid w:val="00CC20ED"/>
    <w:rsid w:val="00CC255A"/>
    <w:rsid w:val="00CC27E3"/>
    <w:rsid w:val="00CC2984"/>
    <w:rsid w:val="00CC29CE"/>
    <w:rsid w:val="00CC3CBD"/>
    <w:rsid w:val="00CC4378"/>
    <w:rsid w:val="00CC4C17"/>
    <w:rsid w:val="00CC5BC0"/>
    <w:rsid w:val="00CC5FD4"/>
    <w:rsid w:val="00CC60CB"/>
    <w:rsid w:val="00CC6AC9"/>
    <w:rsid w:val="00CC76E1"/>
    <w:rsid w:val="00CC774E"/>
    <w:rsid w:val="00CD03D6"/>
    <w:rsid w:val="00CD0532"/>
    <w:rsid w:val="00CD0C9C"/>
    <w:rsid w:val="00CD1076"/>
    <w:rsid w:val="00CD10F7"/>
    <w:rsid w:val="00CD1D3C"/>
    <w:rsid w:val="00CD20F7"/>
    <w:rsid w:val="00CD2620"/>
    <w:rsid w:val="00CD319A"/>
    <w:rsid w:val="00CD3834"/>
    <w:rsid w:val="00CD39F1"/>
    <w:rsid w:val="00CD4BB3"/>
    <w:rsid w:val="00CD4D5B"/>
    <w:rsid w:val="00CD531F"/>
    <w:rsid w:val="00CD5751"/>
    <w:rsid w:val="00CD60D7"/>
    <w:rsid w:val="00CD66D0"/>
    <w:rsid w:val="00CD6AD5"/>
    <w:rsid w:val="00CD6B50"/>
    <w:rsid w:val="00CD719C"/>
    <w:rsid w:val="00CD7536"/>
    <w:rsid w:val="00CD77AF"/>
    <w:rsid w:val="00CD7AC6"/>
    <w:rsid w:val="00CD7CEB"/>
    <w:rsid w:val="00CE071B"/>
    <w:rsid w:val="00CE0DB3"/>
    <w:rsid w:val="00CE0F1C"/>
    <w:rsid w:val="00CE0F20"/>
    <w:rsid w:val="00CE0FD4"/>
    <w:rsid w:val="00CE1532"/>
    <w:rsid w:val="00CE245A"/>
    <w:rsid w:val="00CE26FC"/>
    <w:rsid w:val="00CE281A"/>
    <w:rsid w:val="00CE2AE1"/>
    <w:rsid w:val="00CE2AFB"/>
    <w:rsid w:val="00CE3837"/>
    <w:rsid w:val="00CE3A4A"/>
    <w:rsid w:val="00CE3EEE"/>
    <w:rsid w:val="00CE47A4"/>
    <w:rsid w:val="00CE4906"/>
    <w:rsid w:val="00CE4F19"/>
    <w:rsid w:val="00CE51FD"/>
    <w:rsid w:val="00CE56A7"/>
    <w:rsid w:val="00CE5821"/>
    <w:rsid w:val="00CE6933"/>
    <w:rsid w:val="00CE6CA0"/>
    <w:rsid w:val="00CE6F72"/>
    <w:rsid w:val="00CE71B8"/>
    <w:rsid w:val="00CE7333"/>
    <w:rsid w:val="00CE75ED"/>
    <w:rsid w:val="00CE763D"/>
    <w:rsid w:val="00CE76AE"/>
    <w:rsid w:val="00CE7C82"/>
    <w:rsid w:val="00CF03C2"/>
    <w:rsid w:val="00CF0D66"/>
    <w:rsid w:val="00CF1234"/>
    <w:rsid w:val="00CF1509"/>
    <w:rsid w:val="00CF1597"/>
    <w:rsid w:val="00CF182F"/>
    <w:rsid w:val="00CF23BC"/>
    <w:rsid w:val="00CF23F8"/>
    <w:rsid w:val="00CF255E"/>
    <w:rsid w:val="00CF2841"/>
    <w:rsid w:val="00CF332D"/>
    <w:rsid w:val="00CF33F9"/>
    <w:rsid w:val="00CF39C6"/>
    <w:rsid w:val="00CF40A7"/>
    <w:rsid w:val="00CF417E"/>
    <w:rsid w:val="00CF4197"/>
    <w:rsid w:val="00CF4424"/>
    <w:rsid w:val="00CF4A4A"/>
    <w:rsid w:val="00CF4C3E"/>
    <w:rsid w:val="00CF4E4C"/>
    <w:rsid w:val="00CF5610"/>
    <w:rsid w:val="00CF5E7E"/>
    <w:rsid w:val="00CF67E2"/>
    <w:rsid w:val="00CF682E"/>
    <w:rsid w:val="00CF68E5"/>
    <w:rsid w:val="00CF6923"/>
    <w:rsid w:val="00CF715F"/>
    <w:rsid w:val="00CF7507"/>
    <w:rsid w:val="00CF7537"/>
    <w:rsid w:val="00D00303"/>
    <w:rsid w:val="00D009D8"/>
    <w:rsid w:val="00D01161"/>
    <w:rsid w:val="00D0124E"/>
    <w:rsid w:val="00D012C5"/>
    <w:rsid w:val="00D015D8"/>
    <w:rsid w:val="00D01A88"/>
    <w:rsid w:val="00D02F7D"/>
    <w:rsid w:val="00D03438"/>
    <w:rsid w:val="00D038EE"/>
    <w:rsid w:val="00D03E0B"/>
    <w:rsid w:val="00D03F20"/>
    <w:rsid w:val="00D04115"/>
    <w:rsid w:val="00D0498C"/>
    <w:rsid w:val="00D04BE9"/>
    <w:rsid w:val="00D053BE"/>
    <w:rsid w:val="00D06108"/>
    <w:rsid w:val="00D06161"/>
    <w:rsid w:val="00D06174"/>
    <w:rsid w:val="00D06C3A"/>
    <w:rsid w:val="00D06F37"/>
    <w:rsid w:val="00D07E9E"/>
    <w:rsid w:val="00D07FC2"/>
    <w:rsid w:val="00D1069E"/>
    <w:rsid w:val="00D10746"/>
    <w:rsid w:val="00D10856"/>
    <w:rsid w:val="00D117B5"/>
    <w:rsid w:val="00D118A1"/>
    <w:rsid w:val="00D12375"/>
    <w:rsid w:val="00D12904"/>
    <w:rsid w:val="00D12A46"/>
    <w:rsid w:val="00D12B98"/>
    <w:rsid w:val="00D136C0"/>
    <w:rsid w:val="00D139D2"/>
    <w:rsid w:val="00D13C47"/>
    <w:rsid w:val="00D1430A"/>
    <w:rsid w:val="00D14B11"/>
    <w:rsid w:val="00D14C02"/>
    <w:rsid w:val="00D151A1"/>
    <w:rsid w:val="00D1544B"/>
    <w:rsid w:val="00D1591E"/>
    <w:rsid w:val="00D1616A"/>
    <w:rsid w:val="00D161CB"/>
    <w:rsid w:val="00D1688C"/>
    <w:rsid w:val="00D16C72"/>
    <w:rsid w:val="00D16EF1"/>
    <w:rsid w:val="00D17010"/>
    <w:rsid w:val="00D17367"/>
    <w:rsid w:val="00D17BB8"/>
    <w:rsid w:val="00D17BC1"/>
    <w:rsid w:val="00D17F59"/>
    <w:rsid w:val="00D20164"/>
    <w:rsid w:val="00D20347"/>
    <w:rsid w:val="00D20E14"/>
    <w:rsid w:val="00D20EDB"/>
    <w:rsid w:val="00D20F9C"/>
    <w:rsid w:val="00D2108E"/>
    <w:rsid w:val="00D212F4"/>
    <w:rsid w:val="00D21763"/>
    <w:rsid w:val="00D2198B"/>
    <w:rsid w:val="00D21D7F"/>
    <w:rsid w:val="00D22062"/>
    <w:rsid w:val="00D22553"/>
    <w:rsid w:val="00D226E5"/>
    <w:rsid w:val="00D228BC"/>
    <w:rsid w:val="00D22AF5"/>
    <w:rsid w:val="00D22D34"/>
    <w:rsid w:val="00D23717"/>
    <w:rsid w:val="00D239D2"/>
    <w:rsid w:val="00D240B8"/>
    <w:rsid w:val="00D253FA"/>
    <w:rsid w:val="00D25A22"/>
    <w:rsid w:val="00D25C9E"/>
    <w:rsid w:val="00D25D0F"/>
    <w:rsid w:val="00D26A72"/>
    <w:rsid w:val="00D26DDD"/>
    <w:rsid w:val="00D276B9"/>
    <w:rsid w:val="00D277AC"/>
    <w:rsid w:val="00D27E84"/>
    <w:rsid w:val="00D30AF8"/>
    <w:rsid w:val="00D310E8"/>
    <w:rsid w:val="00D314A2"/>
    <w:rsid w:val="00D31BAF"/>
    <w:rsid w:val="00D328F4"/>
    <w:rsid w:val="00D330D7"/>
    <w:rsid w:val="00D33555"/>
    <w:rsid w:val="00D3363A"/>
    <w:rsid w:val="00D33944"/>
    <w:rsid w:val="00D33FFD"/>
    <w:rsid w:val="00D340EC"/>
    <w:rsid w:val="00D348C5"/>
    <w:rsid w:val="00D34DF6"/>
    <w:rsid w:val="00D358AB"/>
    <w:rsid w:val="00D35ADC"/>
    <w:rsid w:val="00D35D36"/>
    <w:rsid w:val="00D35E13"/>
    <w:rsid w:val="00D361A0"/>
    <w:rsid w:val="00D36679"/>
    <w:rsid w:val="00D368D7"/>
    <w:rsid w:val="00D36C71"/>
    <w:rsid w:val="00D37342"/>
    <w:rsid w:val="00D3737F"/>
    <w:rsid w:val="00D37D8E"/>
    <w:rsid w:val="00D4054D"/>
    <w:rsid w:val="00D408A6"/>
    <w:rsid w:val="00D408B3"/>
    <w:rsid w:val="00D41102"/>
    <w:rsid w:val="00D411D6"/>
    <w:rsid w:val="00D41497"/>
    <w:rsid w:val="00D41927"/>
    <w:rsid w:val="00D42421"/>
    <w:rsid w:val="00D425C7"/>
    <w:rsid w:val="00D42ADC"/>
    <w:rsid w:val="00D42D65"/>
    <w:rsid w:val="00D43158"/>
    <w:rsid w:val="00D4352A"/>
    <w:rsid w:val="00D436D3"/>
    <w:rsid w:val="00D438E8"/>
    <w:rsid w:val="00D43CC4"/>
    <w:rsid w:val="00D44620"/>
    <w:rsid w:val="00D45195"/>
    <w:rsid w:val="00D451D7"/>
    <w:rsid w:val="00D454AB"/>
    <w:rsid w:val="00D458DA"/>
    <w:rsid w:val="00D459CF"/>
    <w:rsid w:val="00D45A00"/>
    <w:rsid w:val="00D46D50"/>
    <w:rsid w:val="00D46D55"/>
    <w:rsid w:val="00D47D11"/>
    <w:rsid w:val="00D47E2C"/>
    <w:rsid w:val="00D504AF"/>
    <w:rsid w:val="00D5067B"/>
    <w:rsid w:val="00D508CE"/>
    <w:rsid w:val="00D50A1E"/>
    <w:rsid w:val="00D51117"/>
    <w:rsid w:val="00D51C83"/>
    <w:rsid w:val="00D51F00"/>
    <w:rsid w:val="00D524F1"/>
    <w:rsid w:val="00D52864"/>
    <w:rsid w:val="00D5286D"/>
    <w:rsid w:val="00D52903"/>
    <w:rsid w:val="00D52AF0"/>
    <w:rsid w:val="00D52B62"/>
    <w:rsid w:val="00D537F3"/>
    <w:rsid w:val="00D53A86"/>
    <w:rsid w:val="00D53DEC"/>
    <w:rsid w:val="00D5418B"/>
    <w:rsid w:val="00D54DE1"/>
    <w:rsid w:val="00D5543A"/>
    <w:rsid w:val="00D55DBA"/>
    <w:rsid w:val="00D55EE6"/>
    <w:rsid w:val="00D5624C"/>
    <w:rsid w:val="00D565BC"/>
    <w:rsid w:val="00D573DB"/>
    <w:rsid w:val="00D575EC"/>
    <w:rsid w:val="00D5788D"/>
    <w:rsid w:val="00D57BFF"/>
    <w:rsid w:val="00D6037B"/>
    <w:rsid w:val="00D60D63"/>
    <w:rsid w:val="00D61A99"/>
    <w:rsid w:val="00D61B2E"/>
    <w:rsid w:val="00D61D56"/>
    <w:rsid w:val="00D61F03"/>
    <w:rsid w:val="00D6211F"/>
    <w:rsid w:val="00D6292C"/>
    <w:rsid w:val="00D62972"/>
    <w:rsid w:val="00D62FB5"/>
    <w:rsid w:val="00D632C3"/>
    <w:rsid w:val="00D633B5"/>
    <w:rsid w:val="00D63F5C"/>
    <w:rsid w:val="00D640C7"/>
    <w:rsid w:val="00D64BBC"/>
    <w:rsid w:val="00D6513D"/>
    <w:rsid w:val="00D6541D"/>
    <w:rsid w:val="00D65A39"/>
    <w:rsid w:val="00D66086"/>
    <w:rsid w:val="00D6609C"/>
    <w:rsid w:val="00D67EFF"/>
    <w:rsid w:val="00D70674"/>
    <w:rsid w:val="00D717EA"/>
    <w:rsid w:val="00D71847"/>
    <w:rsid w:val="00D723D0"/>
    <w:rsid w:val="00D72549"/>
    <w:rsid w:val="00D72804"/>
    <w:rsid w:val="00D73975"/>
    <w:rsid w:val="00D73AB2"/>
    <w:rsid w:val="00D73CED"/>
    <w:rsid w:val="00D73DE2"/>
    <w:rsid w:val="00D74028"/>
    <w:rsid w:val="00D741B2"/>
    <w:rsid w:val="00D742C8"/>
    <w:rsid w:val="00D74445"/>
    <w:rsid w:val="00D748F8"/>
    <w:rsid w:val="00D75C5E"/>
    <w:rsid w:val="00D75ED7"/>
    <w:rsid w:val="00D76ACB"/>
    <w:rsid w:val="00D773F8"/>
    <w:rsid w:val="00D774FE"/>
    <w:rsid w:val="00D776C1"/>
    <w:rsid w:val="00D77F1A"/>
    <w:rsid w:val="00D8021F"/>
    <w:rsid w:val="00D80CBF"/>
    <w:rsid w:val="00D80F5E"/>
    <w:rsid w:val="00D817EB"/>
    <w:rsid w:val="00D81899"/>
    <w:rsid w:val="00D81967"/>
    <w:rsid w:val="00D81975"/>
    <w:rsid w:val="00D81A91"/>
    <w:rsid w:val="00D81B5E"/>
    <w:rsid w:val="00D81C4F"/>
    <w:rsid w:val="00D81F99"/>
    <w:rsid w:val="00D81FD7"/>
    <w:rsid w:val="00D82190"/>
    <w:rsid w:val="00D8237A"/>
    <w:rsid w:val="00D8275B"/>
    <w:rsid w:val="00D8312B"/>
    <w:rsid w:val="00D832EA"/>
    <w:rsid w:val="00D83541"/>
    <w:rsid w:val="00D837A0"/>
    <w:rsid w:val="00D83EF9"/>
    <w:rsid w:val="00D842DE"/>
    <w:rsid w:val="00D84E45"/>
    <w:rsid w:val="00D857D8"/>
    <w:rsid w:val="00D85A3C"/>
    <w:rsid w:val="00D85CDA"/>
    <w:rsid w:val="00D8658B"/>
    <w:rsid w:val="00D8668D"/>
    <w:rsid w:val="00D8781B"/>
    <w:rsid w:val="00D87D47"/>
    <w:rsid w:val="00D87DA8"/>
    <w:rsid w:val="00D87E41"/>
    <w:rsid w:val="00D905A0"/>
    <w:rsid w:val="00D9083C"/>
    <w:rsid w:val="00D91114"/>
    <w:rsid w:val="00D91483"/>
    <w:rsid w:val="00D91547"/>
    <w:rsid w:val="00D915DF"/>
    <w:rsid w:val="00D91873"/>
    <w:rsid w:val="00D91D0E"/>
    <w:rsid w:val="00D921C7"/>
    <w:rsid w:val="00D925E9"/>
    <w:rsid w:val="00D92637"/>
    <w:rsid w:val="00D9305F"/>
    <w:rsid w:val="00D93AD3"/>
    <w:rsid w:val="00D93E4B"/>
    <w:rsid w:val="00D9499B"/>
    <w:rsid w:val="00D949AB"/>
    <w:rsid w:val="00D954BE"/>
    <w:rsid w:val="00D96482"/>
    <w:rsid w:val="00D964E6"/>
    <w:rsid w:val="00D9661D"/>
    <w:rsid w:val="00D96629"/>
    <w:rsid w:val="00D96965"/>
    <w:rsid w:val="00D96BFB"/>
    <w:rsid w:val="00D974E5"/>
    <w:rsid w:val="00D97AC8"/>
    <w:rsid w:val="00DA0A20"/>
    <w:rsid w:val="00DA0DC3"/>
    <w:rsid w:val="00DA10D5"/>
    <w:rsid w:val="00DA19E7"/>
    <w:rsid w:val="00DA1E6C"/>
    <w:rsid w:val="00DA2B5D"/>
    <w:rsid w:val="00DA2DD5"/>
    <w:rsid w:val="00DA38B8"/>
    <w:rsid w:val="00DA3B78"/>
    <w:rsid w:val="00DA3DFD"/>
    <w:rsid w:val="00DA3FFC"/>
    <w:rsid w:val="00DA4F50"/>
    <w:rsid w:val="00DA50DE"/>
    <w:rsid w:val="00DA5A42"/>
    <w:rsid w:val="00DA5B17"/>
    <w:rsid w:val="00DA5EB9"/>
    <w:rsid w:val="00DA6118"/>
    <w:rsid w:val="00DA6754"/>
    <w:rsid w:val="00DA67A2"/>
    <w:rsid w:val="00DA6B35"/>
    <w:rsid w:val="00DA6FAA"/>
    <w:rsid w:val="00DA71E5"/>
    <w:rsid w:val="00DA7467"/>
    <w:rsid w:val="00DA7603"/>
    <w:rsid w:val="00DA7A92"/>
    <w:rsid w:val="00DB0483"/>
    <w:rsid w:val="00DB05F1"/>
    <w:rsid w:val="00DB0AFF"/>
    <w:rsid w:val="00DB1735"/>
    <w:rsid w:val="00DB1AA4"/>
    <w:rsid w:val="00DB1FF5"/>
    <w:rsid w:val="00DB24E7"/>
    <w:rsid w:val="00DB2D4A"/>
    <w:rsid w:val="00DB3C67"/>
    <w:rsid w:val="00DB444E"/>
    <w:rsid w:val="00DB4608"/>
    <w:rsid w:val="00DB4770"/>
    <w:rsid w:val="00DB4918"/>
    <w:rsid w:val="00DB4A2E"/>
    <w:rsid w:val="00DB4E3D"/>
    <w:rsid w:val="00DB4F2B"/>
    <w:rsid w:val="00DB4F43"/>
    <w:rsid w:val="00DB5D43"/>
    <w:rsid w:val="00DB5E06"/>
    <w:rsid w:val="00DB5FC0"/>
    <w:rsid w:val="00DB6094"/>
    <w:rsid w:val="00DB6278"/>
    <w:rsid w:val="00DB6423"/>
    <w:rsid w:val="00DB6503"/>
    <w:rsid w:val="00DB70AD"/>
    <w:rsid w:val="00DB72B8"/>
    <w:rsid w:val="00DB74F8"/>
    <w:rsid w:val="00DB78BB"/>
    <w:rsid w:val="00DB7DC2"/>
    <w:rsid w:val="00DC05ED"/>
    <w:rsid w:val="00DC0D67"/>
    <w:rsid w:val="00DC2451"/>
    <w:rsid w:val="00DC2915"/>
    <w:rsid w:val="00DC358C"/>
    <w:rsid w:val="00DC3971"/>
    <w:rsid w:val="00DC3C9F"/>
    <w:rsid w:val="00DC4764"/>
    <w:rsid w:val="00DC4CDF"/>
    <w:rsid w:val="00DC4D07"/>
    <w:rsid w:val="00DC4D8A"/>
    <w:rsid w:val="00DC4DE8"/>
    <w:rsid w:val="00DC509F"/>
    <w:rsid w:val="00DC5762"/>
    <w:rsid w:val="00DC5D8B"/>
    <w:rsid w:val="00DC67D1"/>
    <w:rsid w:val="00DC6963"/>
    <w:rsid w:val="00DC6AD0"/>
    <w:rsid w:val="00DC6C6C"/>
    <w:rsid w:val="00DC71A1"/>
    <w:rsid w:val="00DC7868"/>
    <w:rsid w:val="00DC7CC6"/>
    <w:rsid w:val="00DD0835"/>
    <w:rsid w:val="00DD0B87"/>
    <w:rsid w:val="00DD0E75"/>
    <w:rsid w:val="00DD12E0"/>
    <w:rsid w:val="00DD14C1"/>
    <w:rsid w:val="00DD14C7"/>
    <w:rsid w:val="00DD1938"/>
    <w:rsid w:val="00DD1BE2"/>
    <w:rsid w:val="00DD228E"/>
    <w:rsid w:val="00DD24CD"/>
    <w:rsid w:val="00DD2854"/>
    <w:rsid w:val="00DD28BF"/>
    <w:rsid w:val="00DD2F87"/>
    <w:rsid w:val="00DD3532"/>
    <w:rsid w:val="00DD3E61"/>
    <w:rsid w:val="00DD419A"/>
    <w:rsid w:val="00DD486E"/>
    <w:rsid w:val="00DD4AF1"/>
    <w:rsid w:val="00DD6212"/>
    <w:rsid w:val="00DD630A"/>
    <w:rsid w:val="00DD6366"/>
    <w:rsid w:val="00DD66BA"/>
    <w:rsid w:val="00DD6AE3"/>
    <w:rsid w:val="00DD7147"/>
    <w:rsid w:val="00DD785C"/>
    <w:rsid w:val="00DD7A3C"/>
    <w:rsid w:val="00DE0359"/>
    <w:rsid w:val="00DE0540"/>
    <w:rsid w:val="00DE07B3"/>
    <w:rsid w:val="00DE0975"/>
    <w:rsid w:val="00DE18BB"/>
    <w:rsid w:val="00DE19BE"/>
    <w:rsid w:val="00DE1A65"/>
    <w:rsid w:val="00DE1E54"/>
    <w:rsid w:val="00DE2640"/>
    <w:rsid w:val="00DE287C"/>
    <w:rsid w:val="00DE2BB9"/>
    <w:rsid w:val="00DE35BB"/>
    <w:rsid w:val="00DE3924"/>
    <w:rsid w:val="00DE48A1"/>
    <w:rsid w:val="00DE49FF"/>
    <w:rsid w:val="00DE4C45"/>
    <w:rsid w:val="00DE4C99"/>
    <w:rsid w:val="00DE4F9E"/>
    <w:rsid w:val="00DE4FA1"/>
    <w:rsid w:val="00DE5633"/>
    <w:rsid w:val="00DE5767"/>
    <w:rsid w:val="00DE57D6"/>
    <w:rsid w:val="00DE661B"/>
    <w:rsid w:val="00DE7488"/>
    <w:rsid w:val="00DE7B5B"/>
    <w:rsid w:val="00DF04B7"/>
    <w:rsid w:val="00DF07DC"/>
    <w:rsid w:val="00DF0B71"/>
    <w:rsid w:val="00DF1DD9"/>
    <w:rsid w:val="00DF1EA7"/>
    <w:rsid w:val="00DF1F38"/>
    <w:rsid w:val="00DF21E1"/>
    <w:rsid w:val="00DF27C5"/>
    <w:rsid w:val="00DF284A"/>
    <w:rsid w:val="00DF2A12"/>
    <w:rsid w:val="00DF30CA"/>
    <w:rsid w:val="00DF3756"/>
    <w:rsid w:val="00DF3D64"/>
    <w:rsid w:val="00DF3FD4"/>
    <w:rsid w:val="00DF46C5"/>
    <w:rsid w:val="00DF490B"/>
    <w:rsid w:val="00DF4EA5"/>
    <w:rsid w:val="00DF546C"/>
    <w:rsid w:val="00DF5B7E"/>
    <w:rsid w:val="00DF5B9C"/>
    <w:rsid w:val="00DF6137"/>
    <w:rsid w:val="00DF618B"/>
    <w:rsid w:val="00DF692C"/>
    <w:rsid w:val="00DF7168"/>
    <w:rsid w:val="00DF774E"/>
    <w:rsid w:val="00E014EE"/>
    <w:rsid w:val="00E0160E"/>
    <w:rsid w:val="00E01CAE"/>
    <w:rsid w:val="00E01F4E"/>
    <w:rsid w:val="00E01FED"/>
    <w:rsid w:val="00E0294A"/>
    <w:rsid w:val="00E03504"/>
    <w:rsid w:val="00E035C0"/>
    <w:rsid w:val="00E03E16"/>
    <w:rsid w:val="00E03EB9"/>
    <w:rsid w:val="00E04222"/>
    <w:rsid w:val="00E049EF"/>
    <w:rsid w:val="00E04E33"/>
    <w:rsid w:val="00E052B0"/>
    <w:rsid w:val="00E05865"/>
    <w:rsid w:val="00E05AB6"/>
    <w:rsid w:val="00E065DE"/>
    <w:rsid w:val="00E0692B"/>
    <w:rsid w:val="00E0696F"/>
    <w:rsid w:val="00E06A32"/>
    <w:rsid w:val="00E06EF4"/>
    <w:rsid w:val="00E06FBD"/>
    <w:rsid w:val="00E0707A"/>
    <w:rsid w:val="00E07635"/>
    <w:rsid w:val="00E076A3"/>
    <w:rsid w:val="00E0796A"/>
    <w:rsid w:val="00E07FC4"/>
    <w:rsid w:val="00E10115"/>
    <w:rsid w:val="00E10271"/>
    <w:rsid w:val="00E10545"/>
    <w:rsid w:val="00E10A3B"/>
    <w:rsid w:val="00E10DA5"/>
    <w:rsid w:val="00E11FCC"/>
    <w:rsid w:val="00E12F1F"/>
    <w:rsid w:val="00E13129"/>
    <w:rsid w:val="00E13AAC"/>
    <w:rsid w:val="00E13BA4"/>
    <w:rsid w:val="00E13E46"/>
    <w:rsid w:val="00E1466C"/>
    <w:rsid w:val="00E14A54"/>
    <w:rsid w:val="00E14EC9"/>
    <w:rsid w:val="00E15042"/>
    <w:rsid w:val="00E1571E"/>
    <w:rsid w:val="00E15931"/>
    <w:rsid w:val="00E160D5"/>
    <w:rsid w:val="00E16238"/>
    <w:rsid w:val="00E167E1"/>
    <w:rsid w:val="00E16896"/>
    <w:rsid w:val="00E16CFF"/>
    <w:rsid w:val="00E16E04"/>
    <w:rsid w:val="00E177CD"/>
    <w:rsid w:val="00E178DA"/>
    <w:rsid w:val="00E17A0D"/>
    <w:rsid w:val="00E17DF7"/>
    <w:rsid w:val="00E20335"/>
    <w:rsid w:val="00E20B14"/>
    <w:rsid w:val="00E20B1E"/>
    <w:rsid w:val="00E211A6"/>
    <w:rsid w:val="00E21A27"/>
    <w:rsid w:val="00E21D82"/>
    <w:rsid w:val="00E21EE5"/>
    <w:rsid w:val="00E2208B"/>
    <w:rsid w:val="00E22265"/>
    <w:rsid w:val="00E22631"/>
    <w:rsid w:val="00E22636"/>
    <w:rsid w:val="00E22710"/>
    <w:rsid w:val="00E2272B"/>
    <w:rsid w:val="00E230A6"/>
    <w:rsid w:val="00E23B02"/>
    <w:rsid w:val="00E2403D"/>
    <w:rsid w:val="00E242D3"/>
    <w:rsid w:val="00E255F8"/>
    <w:rsid w:val="00E25850"/>
    <w:rsid w:val="00E262CE"/>
    <w:rsid w:val="00E265DD"/>
    <w:rsid w:val="00E26E5F"/>
    <w:rsid w:val="00E27065"/>
    <w:rsid w:val="00E278ED"/>
    <w:rsid w:val="00E279F9"/>
    <w:rsid w:val="00E27E2E"/>
    <w:rsid w:val="00E30191"/>
    <w:rsid w:val="00E302EC"/>
    <w:rsid w:val="00E30528"/>
    <w:rsid w:val="00E307FD"/>
    <w:rsid w:val="00E30EB4"/>
    <w:rsid w:val="00E30EDD"/>
    <w:rsid w:val="00E310A0"/>
    <w:rsid w:val="00E31120"/>
    <w:rsid w:val="00E314C3"/>
    <w:rsid w:val="00E317BA"/>
    <w:rsid w:val="00E318E5"/>
    <w:rsid w:val="00E31CB3"/>
    <w:rsid w:val="00E3227F"/>
    <w:rsid w:val="00E32931"/>
    <w:rsid w:val="00E32DE6"/>
    <w:rsid w:val="00E32EB9"/>
    <w:rsid w:val="00E3347B"/>
    <w:rsid w:val="00E334E1"/>
    <w:rsid w:val="00E3384E"/>
    <w:rsid w:val="00E3495B"/>
    <w:rsid w:val="00E34B68"/>
    <w:rsid w:val="00E34B9B"/>
    <w:rsid w:val="00E35436"/>
    <w:rsid w:val="00E35948"/>
    <w:rsid w:val="00E35CB5"/>
    <w:rsid w:val="00E35DDA"/>
    <w:rsid w:val="00E3617C"/>
    <w:rsid w:val="00E36B06"/>
    <w:rsid w:val="00E36BA8"/>
    <w:rsid w:val="00E3799F"/>
    <w:rsid w:val="00E37B0D"/>
    <w:rsid w:val="00E37C63"/>
    <w:rsid w:val="00E37F52"/>
    <w:rsid w:val="00E401AD"/>
    <w:rsid w:val="00E405EA"/>
    <w:rsid w:val="00E40AB1"/>
    <w:rsid w:val="00E412EE"/>
    <w:rsid w:val="00E414D0"/>
    <w:rsid w:val="00E414D3"/>
    <w:rsid w:val="00E41BF7"/>
    <w:rsid w:val="00E41D59"/>
    <w:rsid w:val="00E42CF3"/>
    <w:rsid w:val="00E4310C"/>
    <w:rsid w:val="00E43A80"/>
    <w:rsid w:val="00E4407B"/>
    <w:rsid w:val="00E44326"/>
    <w:rsid w:val="00E447B2"/>
    <w:rsid w:val="00E44B7F"/>
    <w:rsid w:val="00E44D62"/>
    <w:rsid w:val="00E4555A"/>
    <w:rsid w:val="00E45DD3"/>
    <w:rsid w:val="00E45E21"/>
    <w:rsid w:val="00E45E86"/>
    <w:rsid w:val="00E4645C"/>
    <w:rsid w:val="00E46777"/>
    <w:rsid w:val="00E46E65"/>
    <w:rsid w:val="00E46E79"/>
    <w:rsid w:val="00E47077"/>
    <w:rsid w:val="00E478B2"/>
    <w:rsid w:val="00E4792C"/>
    <w:rsid w:val="00E506C4"/>
    <w:rsid w:val="00E50D81"/>
    <w:rsid w:val="00E50E25"/>
    <w:rsid w:val="00E51075"/>
    <w:rsid w:val="00E514ED"/>
    <w:rsid w:val="00E51DD3"/>
    <w:rsid w:val="00E5265E"/>
    <w:rsid w:val="00E52B76"/>
    <w:rsid w:val="00E52C50"/>
    <w:rsid w:val="00E535F0"/>
    <w:rsid w:val="00E53611"/>
    <w:rsid w:val="00E5388E"/>
    <w:rsid w:val="00E54623"/>
    <w:rsid w:val="00E54945"/>
    <w:rsid w:val="00E55388"/>
    <w:rsid w:val="00E55BA6"/>
    <w:rsid w:val="00E561C5"/>
    <w:rsid w:val="00E56409"/>
    <w:rsid w:val="00E56687"/>
    <w:rsid w:val="00E56E58"/>
    <w:rsid w:val="00E574A3"/>
    <w:rsid w:val="00E5757E"/>
    <w:rsid w:val="00E57886"/>
    <w:rsid w:val="00E57E06"/>
    <w:rsid w:val="00E57E96"/>
    <w:rsid w:val="00E57EF8"/>
    <w:rsid w:val="00E600DF"/>
    <w:rsid w:val="00E605FE"/>
    <w:rsid w:val="00E60A7D"/>
    <w:rsid w:val="00E60B03"/>
    <w:rsid w:val="00E61282"/>
    <w:rsid w:val="00E61A05"/>
    <w:rsid w:val="00E61AE7"/>
    <w:rsid w:val="00E6252A"/>
    <w:rsid w:val="00E626F2"/>
    <w:rsid w:val="00E62F2F"/>
    <w:rsid w:val="00E6382E"/>
    <w:rsid w:val="00E6471A"/>
    <w:rsid w:val="00E64762"/>
    <w:rsid w:val="00E64872"/>
    <w:rsid w:val="00E64C76"/>
    <w:rsid w:val="00E64E31"/>
    <w:rsid w:val="00E65115"/>
    <w:rsid w:val="00E653C2"/>
    <w:rsid w:val="00E6550D"/>
    <w:rsid w:val="00E65724"/>
    <w:rsid w:val="00E65E2E"/>
    <w:rsid w:val="00E66270"/>
    <w:rsid w:val="00E66346"/>
    <w:rsid w:val="00E669AD"/>
    <w:rsid w:val="00E66D9E"/>
    <w:rsid w:val="00E66F29"/>
    <w:rsid w:val="00E67071"/>
    <w:rsid w:val="00E671EB"/>
    <w:rsid w:val="00E673B3"/>
    <w:rsid w:val="00E67AD5"/>
    <w:rsid w:val="00E707F3"/>
    <w:rsid w:val="00E70A2A"/>
    <w:rsid w:val="00E71164"/>
    <w:rsid w:val="00E711D5"/>
    <w:rsid w:val="00E71289"/>
    <w:rsid w:val="00E71B5A"/>
    <w:rsid w:val="00E71C0D"/>
    <w:rsid w:val="00E71C71"/>
    <w:rsid w:val="00E71DAC"/>
    <w:rsid w:val="00E71EE2"/>
    <w:rsid w:val="00E72B8D"/>
    <w:rsid w:val="00E72C1C"/>
    <w:rsid w:val="00E72F18"/>
    <w:rsid w:val="00E73011"/>
    <w:rsid w:val="00E73037"/>
    <w:rsid w:val="00E731F5"/>
    <w:rsid w:val="00E73455"/>
    <w:rsid w:val="00E7360A"/>
    <w:rsid w:val="00E736AD"/>
    <w:rsid w:val="00E73F67"/>
    <w:rsid w:val="00E742CB"/>
    <w:rsid w:val="00E74BFE"/>
    <w:rsid w:val="00E74C9C"/>
    <w:rsid w:val="00E75329"/>
    <w:rsid w:val="00E7548C"/>
    <w:rsid w:val="00E76179"/>
    <w:rsid w:val="00E76389"/>
    <w:rsid w:val="00E772E2"/>
    <w:rsid w:val="00E77F7F"/>
    <w:rsid w:val="00E80D47"/>
    <w:rsid w:val="00E8101E"/>
    <w:rsid w:val="00E812E1"/>
    <w:rsid w:val="00E81526"/>
    <w:rsid w:val="00E817F8"/>
    <w:rsid w:val="00E8181A"/>
    <w:rsid w:val="00E81C97"/>
    <w:rsid w:val="00E81FB5"/>
    <w:rsid w:val="00E8274B"/>
    <w:rsid w:val="00E82A33"/>
    <w:rsid w:val="00E82C68"/>
    <w:rsid w:val="00E82F55"/>
    <w:rsid w:val="00E831AD"/>
    <w:rsid w:val="00E83431"/>
    <w:rsid w:val="00E83667"/>
    <w:rsid w:val="00E83E34"/>
    <w:rsid w:val="00E84215"/>
    <w:rsid w:val="00E84566"/>
    <w:rsid w:val="00E84627"/>
    <w:rsid w:val="00E84B51"/>
    <w:rsid w:val="00E854F3"/>
    <w:rsid w:val="00E85D77"/>
    <w:rsid w:val="00E8600C"/>
    <w:rsid w:val="00E86843"/>
    <w:rsid w:val="00E87179"/>
    <w:rsid w:val="00E87633"/>
    <w:rsid w:val="00E8769B"/>
    <w:rsid w:val="00E87A00"/>
    <w:rsid w:val="00E87C2C"/>
    <w:rsid w:val="00E90AE2"/>
    <w:rsid w:val="00E90C00"/>
    <w:rsid w:val="00E90C8F"/>
    <w:rsid w:val="00E911ED"/>
    <w:rsid w:val="00E91632"/>
    <w:rsid w:val="00E91C82"/>
    <w:rsid w:val="00E91FD9"/>
    <w:rsid w:val="00E9221B"/>
    <w:rsid w:val="00E92653"/>
    <w:rsid w:val="00E92EF9"/>
    <w:rsid w:val="00E93388"/>
    <w:rsid w:val="00E94A5A"/>
    <w:rsid w:val="00E94C93"/>
    <w:rsid w:val="00E94DFC"/>
    <w:rsid w:val="00E94E33"/>
    <w:rsid w:val="00E953E7"/>
    <w:rsid w:val="00E954B1"/>
    <w:rsid w:val="00E95DC4"/>
    <w:rsid w:val="00E962D2"/>
    <w:rsid w:val="00E96805"/>
    <w:rsid w:val="00E96E65"/>
    <w:rsid w:val="00E97013"/>
    <w:rsid w:val="00EA0161"/>
    <w:rsid w:val="00EA0A35"/>
    <w:rsid w:val="00EA0C5A"/>
    <w:rsid w:val="00EA25CF"/>
    <w:rsid w:val="00EA270C"/>
    <w:rsid w:val="00EA2879"/>
    <w:rsid w:val="00EA2D0E"/>
    <w:rsid w:val="00EA303D"/>
    <w:rsid w:val="00EA3375"/>
    <w:rsid w:val="00EA37CA"/>
    <w:rsid w:val="00EA3DF9"/>
    <w:rsid w:val="00EA47D0"/>
    <w:rsid w:val="00EA4F71"/>
    <w:rsid w:val="00EA5ED7"/>
    <w:rsid w:val="00EA5FD7"/>
    <w:rsid w:val="00EA6A41"/>
    <w:rsid w:val="00EA6C3F"/>
    <w:rsid w:val="00EA6E41"/>
    <w:rsid w:val="00EA709E"/>
    <w:rsid w:val="00EA78B7"/>
    <w:rsid w:val="00EA7ACF"/>
    <w:rsid w:val="00EA7C26"/>
    <w:rsid w:val="00EB08A0"/>
    <w:rsid w:val="00EB09CC"/>
    <w:rsid w:val="00EB0CD4"/>
    <w:rsid w:val="00EB0CF6"/>
    <w:rsid w:val="00EB1089"/>
    <w:rsid w:val="00EB16AF"/>
    <w:rsid w:val="00EB1965"/>
    <w:rsid w:val="00EB1ABD"/>
    <w:rsid w:val="00EB1EA2"/>
    <w:rsid w:val="00EB2348"/>
    <w:rsid w:val="00EB276F"/>
    <w:rsid w:val="00EB3055"/>
    <w:rsid w:val="00EB316D"/>
    <w:rsid w:val="00EB3931"/>
    <w:rsid w:val="00EB3F0A"/>
    <w:rsid w:val="00EB40DB"/>
    <w:rsid w:val="00EB41D0"/>
    <w:rsid w:val="00EB4DFF"/>
    <w:rsid w:val="00EB5882"/>
    <w:rsid w:val="00EB6607"/>
    <w:rsid w:val="00EB69A9"/>
    <w:rsid w:val="00EB722C"/>
    <w:rsid w:val="00EB7391"/>
    <w:rsid w:val="00EB7E00"/>
    <w:rsid w:val="00EC08A6"/>
    <w:rsid w:val="00EC090B"/>
    <w:rsid w:val="00EC11FF"/>
    <w:rsid w:val="00EC18F5"/>
    <w:rsid w:val="00EC1D36"/>
    <w:rsid w:val="00EC2197"/>
    <w:rsid w:val="00EC2659"/>
    <w:rsid w:val="00EC2911"/>
    <w:rsid w:val="00EC2986"/>
    <w:rsid w:val="00EC31B0"/>
    <w:rsid w:val="00EC4487"/>
    <w:rsid w:val="00EC46CD"/>
    <w:rsid w:val="00EC4A75"/>
    <w:rsid w:val="00EC4DD8"/>
    <w:rsid w:val="00EC51C0"/>
    <w:rsid w:val="00EC5230"/>
    <w:rsid w:val="00EC542D"/>
    <w:rsid w:val="00EC54F0"/>
    <w:rsid w:val="00EC55A6"/>
    <w:rsid w:val="00EC5B0D"/>
    <w:rsid w:val="00EC6048"/>
    <w:rsid w:val="00EC6688"/>
    <w:rsid w:val="00EC66CA"/>
    <w:rsid w:val="00EC6F39"/>
    <w:rsid w:val="00EC6FA8"/>
    <w:rsid w:val="00EC709E"/>
    <w:rsid w:val="00EC7DE2"/>
    <w:rsid w:val="00EC7FEF"/>
    <w:rsid w:val="00ED0475"/>
    <w:rsid w:val="00ED1125"/>
    <w:rsid w:val="00ED16E3"/>
    <w:rsid w:val="00ED1B75"/>
    <w:rsid w:val="00ED1E2A"/>
    <w:rsid w:val="00ED239E"/>
    <w:rsid w:val="00ED2509"/>
    <w:rsid w:val="00ED3A44"/>
    <w:rsid w:val="00ED4540"/>
    <w:rsid w:val="00ED4852"/>
    <w:rsid w:val="00ED49CE"/>
    <w:rsid w:val="00ED4F92"/>
    <w:rsid w:val="00ED5088"/>
    <w:rsid w:val="00ED57B0"/>
    <w:rsid w:val="00ED5F92"/>
    <w:rsid w:val="00ED6266"/>
    <w:rsid w:val="00ED62C3"/>
    <w:rsid w:val="00ED66FC"/>
    <w:rsid w:val="00ED6909"/>
    <w:rsid w:val="00ED6DCF"/>
    <w:rsid w:val="00ED737D"/>
    <w:rsid w:val="00ED7508"/>
    <w:rsid w:val="00ED7EA4"/>
    <w:rsid w:val="00ED7EE8"/>
    <w:rsid w:val="00EE0367"/>
    <w:rsid w:val="00EE07A2"/>
    <w:rsid w:val="00EE0BE4"/>
    <w:rsid w:val="00EE0D43"/>
    <w:rsid w:val="00EE122D"/>
    <w:rsid w:val="00EE128C"/>
    <w:rsid w:val="00EE16A4"/>
    <w:rsid w:val="00EE188D"/>
    <w:rsid w:val="00EE18D6"/>
    <w:rsid w:val="00EE1B47"/>
    <w:rsid w:val="00EE1FFE"/>
    <w:rsid w:val="00EE21F8"/>
    <w:rsid w:val="00EE23B4"/>
    <w:rsid w:val="00EE253E"/>
    <w:rsid w:val="00EE28B3"/>
    <w:rsid w:val="00EE3323"/>
    <w:rsid w:val="00EE335B"/>
    <w:rsid w:val="00EE352B"/>
    <w:rsid w:val="00EE37C4"/>
    <w:rsid w:val="00EE3834"/>
    <w:rsid w:val="00EE3C66"/>
    <w:rsid w:val="00EE3CB6"/>
    <w:rsid w:val="00EE496C"/>
    <w:rsid w:val="00EE4A2F"/>
    <w:rsid w:val="00EE4BEF"/>
    <w:rsid w:val="00EE4C7D"/>
    <w:rsid w:val="00EE4D4F"/>
    <w:rsid w:val="00EE4E27"/>
    <w:rsid w:val="00EE501F"/>
    <w:rsid w:val="00EE558C"/>
    <w:rsid w:val="00EE5873"/>
    <w:rsid w:val="00EE5B21"/>
    <w:rsid w:val="00EE7318"/>
    <w:rsid w:val="00EE73E6"/>
    <w:rsid w:val="00EE74A6"/>
    <w:rsid w:val="00EE78B4"/>
    <w:rsid w:val="00EE78FE"/>
    <w:rsid w:val="00EF063B"/>
    <w:rsid w:val="00EF0741"/>
    <w:rsid w:val="00EF0761"/>
    <w:rsid w:val="00EF0DE9"/>
    <w:rsid w:val="00EF10C6"/>
    <w:rsid w:val="00EF123C"/>
    <w:rsid w:val="00EF156D"/>
    <w:rsid w:val="00EF17BF"/>
    <w:rsid w:val="00EF2AB8"/>
    <w:rsid w:val="00EF2B05"/>
    <w:rsid w:val="00EF2C06"/>
    <w:rsid w:val="00EF2C40"/>
    <w:rsid w:val="00EF2F6B"/>
    <w:rsid w:val="00EF2F7B"/>
    <w:rsid w:val="00EF51DB"/>
    <w:rsid w:val="00EF527B"/>
    <w:rsid w:val="00EF5484"/>
    <w:rsid w:val="00EF5630"/>
    <w:rsid w:val="00EF58E3"/>
    <w:rsid w:val="00EF5F0D"/>
    <w:rsid w:val="00EF6056"/>
    <w:rsid w:val="00EF6278"/>
    <w:rsid w:val="00EF70E9"/>
    <w:rsid w:val="00EF7336"/>
    <w:rsid w:val="00EF74CE"/>
    <w:rsid w:val="00EF7B4B"/>
    <w:rsid w:val="00EF7C0A"/>
    <w:rsid w:val="00EF7CA1"/>
    <w:rsid w:val="00F002CD"/>
    <w:rsid w:val="00F0063E"/>
    <w:rsid w:val="00F00CF3"/>
    <w:rsid w:val="00F01637"/>
    <w:rsid w:val="00F016C6"/>
    <w:rsid w:val="00F023AD"/>
    <w:rsid w:val="00F02681"/>
    <w:rsid w:val="00F02803"/>
    <w:rsid w:val="00F0315A"/>
    <w:rsid w:val="00F0345D"/>
    <w:rsid w:val="00F03976"/>
    <w:rsid w:val="00F039DC"/>
    <w:rsid w:val="00F03C56"/>
    <w:rsid w:val="00F04B3C"/>
    <w:rsid w:val="00F04BC9"/>
    <w:rsid w:val="00F04DDE"/>
    <w:rsid w:val="00F04E4C"/>
    <w:rsid w:val="00F04F2A"/>
    <w:rsid w:val="00F04FFA"/>
    <w:rsid w:val="00F05472"/>
    <w:rsid w:val="00F054FD"/>
    <w:rsid w:val="00F05B89"/>
    <w:rsid w:val="00F05C04"/>
    <w:rsid w:val="00F0618E"/>
    <w:rsid w:val="00F06367"/>
    <w:rsid w:val="00F066DA"/>
    <w:rsid w:val="00F068F0"/>
    <w:rsid w:val="00F07488"/>
    <w:rsid w:val="00F07EC9"/>
    <w:rsid w:val="00F10424"/>
    <w:rsid w:val="00F10A8A"/>
    <w:rsid w:val="00F10B5C"/>
    <w:rsid w:val="00F10BC6"/>
    <w:rsid w:val="00F1112B"/>
    <w:rsid w:val="00F11698"/>
    <w:rsid w:val="00F11A28"/>
    <w:rsid w:val="00F11EDA"/>
    <w:rsid w:val="00F120C7"/>
    <w:rsid w:val="00F12CF0"/>
    <w:rsid w:val="00F12EEF"/>
    <w:rsid w:val="00F13076"/>
    <w:rsid w:val="00F13E17"/>
    <w:rsid w:val="00F14806"/>
    <w:rsid w:val="00F151A5"/>
    <w:rsid w:val="00F1568B"/>
    <w:rsid w:val="00F15EEA"/>
    <w:rsid w:val="00F161A5"/>
    <w:rsid w:val="00F161B0"/>
    <w:rsid w:val="00F1654D"/>
    <w:rsid w:val="00F165DE"/>
    <w:rsid w:val="00F16C49"/>
    <w:rsid w:val="00F17004"/>
    <w:rsid w:val="00F1737A"/>
    <w:rsid w:val="00F175DE"/>
    <w:rsid w:val="00F20056"/>
    <w:rsid w:val="00F20680"/>
    <w:rsid w:val="00F20A7B"/>
    <w:rsid w:val="00F21057"/>
    <w:rsid w:val="00F21B0C"/>
    <w:rsid w:val="00F222A4"/>
    <w:rsid w:val="00F22503"/>
    <w:rsid w:val="00F23D25"/>
    <w:rsid w:val="00F23D3B"/>
    <w:rsid w:val="00F24172"/>
    <w:rsid w:val="00F24AD0"/>
    <w:rsid w:val="00F24C54"/>
    <w:rsid w:val="00F24D9B"/>
    <w:rsid w:val="00F2515D"/>
    <w:rsid w:val="00F253A5"/>
    <w:rsid w:val="00F257E1"/>
    <w:rsid w:val="00F25A0D"/>
    <w:rsid w:val="00F25A68"/>
    <w:rsid w:val="00F261AA"/>
    <w:rsid w:val="00F266BB"/>
    <w:rsid w:val="00F26AE1"/>
    <w:rsid w:val="00F26D2F"/>
    <w:rsid w:val="00F2720F"/>
    <w:rsid w:val="00F27281"/>
    <w:rsid w:val="00F276D5"/>
    <w:rsid w:val="00F27F59"/>
    <w:rsid w:val="00F3014B"/>
    <w:rsid w:val="00F3037F"/>
    <w:rsid w:val="00F30416"/>
    <w:rsid w:val="00F30420"/>
    <w:rsid w:val="00F30B01"/>
    <w:rsid w:val="00F30E25"/>
    <w:rsid w:val="00F30F23"/>
    <w:rsid w:val="00F31795"/>
    <w:rsid w:val="00F31A4F"/>
    <w:rsid w:val="00F321BD"/>
    <w:rsid w:val="00F323F2"/>
    <w:rsid w:val="00F32474"/>
    <w:rsid w:val="00F325D6"/>
    <w:rsid w:val="00F329AA"/>
    <w:rsid w:val="00F32A47"/>
    <w:rsid w:val="00F331D8"/>
    <w:rsid w:val="00F33400"/>
    <w:rsid w:val="00F3396A"/>
    <w:rsid w:val="00F342F0"/>
    <w:rsid w:val="00F3432A"/>
    <w:rsid w:val="00F34335"/>
    <w:rsid w:val="00F344A1"/>
    <w:rsid w:val="00F34F9B"/>
    <w:rsid w:val="00F35736"/>
    <w:rsid w:val="00F35E1D"/>
    <w:rsid w:val="00F35EAC"/>
    <w:rsid w:val="00F35F37"/>
    <w:rsid w:val="00F36227"/>
    <w:rsid w:val="00F3626D"/>
    <w:rsid w:val="00F36C30"/>
    <w:rsid w:val="00F36CD0"/>
    <w:rsid w:val="00F36DBD"/>
    <w:rsid w:val="00F36DD0"/>
    <w:rsid w:val="00F36E45"/>
    <w:rsid w:val="00F36F20"/>
    <w:rsid w:val="00F37144"/>
    <w:rsid w:val="00F372A2"/>
    <w:rsid w:val="00F377A6"/>
    <w:rsid w:val="00F37A04"/>
    <w:rsid w:val="00F37CB3"/>
    <w:rsid w:val="00F37D1C"/>
    <w:rsid w:val="00F37F1A"/>
    <w:rsid w:val="00F40411"/>
    <w:rsid w:val="00F4169A"/>
    <w:rsid w:val="00F41D5B"/>
    <w:rsid w:val="00F4218A"/>
    <w:rsid w:val="00F42551"/>
    <w:rsid w:val="00F425F1"/>
    <w:rsid w:val="00F428D2"/>
    <w:rsid w:val="00F42B30"/>
    <w:rsid w:val="00F4304A"/>
    <w:rsid w:val="00F4322F"/>
    <w:rsid w:val="00F432E7"/>
    <w:rsid w:val="00F43A7D"/>
    <w:rsid w:val="00F43E4B"/>
    <w:rsid w:val="00F446E8"/>
    <w:rsid w:val="00F44734"/>
    <w:rsid w:val="00F44FB6"/>
    <w:rsid w:val="00F44FDA"/>
    <w:rsid w:val="00F450DD"/>
    <w:rsid w:val="00F452D0"/>
    <w:rsid w:val="00F4556D"/>
    <w:rsid w:val="00F45C92"/>
    <w:rsid w:val="00F45DAE"/>
    <w:rsid w:val="00F461F2"/>
    <w:rsid w:val="00F46368"/>
    <w:rsid w:val="00F46DC1"/>
    <w:rsid w:val="00F474F6"/>
    <w:rsid w:val="00F477AD"/>
    <w:rsid w:val="00F4793D"/>
    <w:rsid w:val="00F47A47"/>
    <w:rsid w:val="00F500EB"/>
    <w:rsid w:val="00F500FB"/>
    <w:rsid w:val="00F5014C"/>
    <w:rsid w:val="00F5086A"/>
    <w:rsid w:val="00F50934"/>
    <w:rsid w:val="00F50D6D"/>
    <w:rsid w:val="00F50EA3"/>
    <w:rsid w:val="00F516E8"/>
    <w:rsid w:val="00F52975"/>
    <w:rsid w:val="00F53182"/>
    <w:rsid w:val="00F535CA"/>
    <w:rsid w:val="00F54BEC"/>
    <w:rsid w:val="00F54F90"/>
    <w:rsid w:val="00F552EF"/>
    <w:rsid w:val="00F55855"/>
    <w:rsid w:val="00F55F14"/>
    <w:rsid w:val="00F561FC"/>
    <w:rsid w:val="00F566C5"/>
    <w:rsid w:val="00F56759"/>
    <w:rsid w:val="00F56867"/>
    <w:rsid w:val="00F56DF0"/>
    <w:rsid w:val="00F56EEB"/>
    <w:rsid w:val="00F56F14"/>
    <w:rsid w:val="00F5753E"/>
    <w:rsid w:val="00F57655"/>
    <w:rsid w:val="00F57760"/>
    <w:rsid w:val="00F57925"/>
    <w:rsid w:val="00F57A5D"/>
    <w:rsid w:val="00F57C27"/>
    <w:rsid w:val="00F57F67"/>
    <w:rsid w:val="00F60017"/>
    <w:rsid w:val="00F60049"/>
    <w:rsid w:val="00F60180"/>
    <w:rsid w:val="00F60332"/>
    <w:rsid w:val="00F60E18"/>
    <w:rsid w:val="00F615F8"/>
    <w:rsid w:val="00F621FC"/>
    <w:rsid w:val="00F6248A"/>
    <w:rsid w:val="00F638B0"/>
    <w:rsid w:val="00F64051"/>
    <w:rsid w:val="00F640BC"/>
    <w:rsid w:val="00F6415F"/>
    <w:rsid w:val="00F646FC"/>
    <w:rsid w:val="00F64A36"/>
    <w:rsid w:val="00F658D3"/>
    <w:rsid w:val="00F6634D"/>
    <w:rsid w:val="00F6640A"/>
    <w:rsid w:val="00F669EF"/>
    <w:rsid w:val="00F670EF"/>
    <w:rsid w:val="00F67A09"/>
    <w:rsid w:val="00F70199"/>
    <w:rsid w:val="00F704A3"/>
    <w:rsid w:val="00F70550"/>
    <w:rsid w:val="00F70826"/>
    <w:rsid w:val="00F7089B"/>
    <w:rsid w:val="00F70B16"/>
    <w:rsid w:val="00F716F3"/>
    <w:rsid w:val="00F7180C"/>
    <w:rsid w:val="00F718DF"/>
    <w:rsid w:val="00F71EF9"/>
    <w:rsid w:val="00F72038"/>
    <w:rsid w:val="00F726C2"/>
    <w:rsid w:val="00F727CF"/>
    <w:rsid w:val="00F72A0F"/>
    <w:rsid w:val="00F735C9"/>
    <w:rsid w:val="00F73C66"/>
    <w:rsid w:val="00F73E3A"/>
    <w:rsid w:val="00F73FDE"/>
    <w:rsid w:val="00F74CAE"/>
    <w:rsid w:val="00F74D70"/>
    <w:rsid w:val="00F74E3A"/>
    <w:rsid w:val="00F74F45"/>
    <w:rsid w:val="00F7554F"/>
    <w:rsid w:val="00F76953"/>
    <w:rsid w:val="00F76C4F"/>
    <w:rsid w:val="00F77200"/>
    <w:rsid w:val="00F7758B"/>
    <w:rsid w:val="00F77AFD"/>
    <w:rsid w:val="00F8017B"/>
    <w:rsid w:val="00F802FB"/>
    <w:rsid w:val="00F80ABE"/>
    <w:rsid w:val="00F80B44"/>
    <w:rsid w:val="00F810B4"/>
    <w:rsid w:val="00F8123E"/>
    <w:rsid w:val="00F8125A"/>
    <w:rsid w:val="00F8163A"/>
    <w:rsid w:val="00F826A4"/>
    <w:rsid w:val="00F835D3"/>
    <w:rsid w:val="00F83E21"/>
    <w:rsid w:val="00F83E75"/>
    <w:rsid w:val="00F840F7"/>
    <w:rsid w:val="00F84287"/>
    <w:rsid w:val="00F844E9"/>
    <w:rsid w:val="00F845FE"/>
    <w:rsid w:val="00F85AFE"/>
    <w:rsid w:val="00F85B3D"/>
    <w:rsid w:val="00F86615"/>
    <w:rsid w:val="00F86E2F"/>
    <w:rsid w:val="00F86E83"/>
    <w:rsid w:val="00F87974"/>
    <w:rsid w:val="00F87B05"/>
    <w:rsid w:val="00F9091E"/>
    <w:rsid w:val="00F9100A"/>
    <w:rsid w:val="00F91779"/>
    <w:rsid w:val="00F91C88"/>
    <w:rsid w:val="00F9206C"/>
    <w:rsid w:val="00F923E3"/>
    <w:rsid w:val="00F9257D"/>
    <w:rsid w:val="00F92923"/>
    <w:rsid w:val="00F92AD8"/>
    <w:rsid w:val="00F92C77"/>
    <w:rsid w:val="00F9301B"/>
    <w:rsid w:val="00F93075"/>
    <w:rsid w:val="00F933DE"/>
    <w:rsid w:val="00F937D5"/>
    <w:rsid w:val="00F938E4"/>
    <w:rsid w:val="00F93DC8"/>
    <w:rsid w:val="00F9419C"/>
    <w:rsid w:val="00F941AC"/>
    <w:rsid w:val="00F95D90"/>
    <w:rsid w:val="00F9696E"/>
    <w:rsid w:val="00F96A4F"/>
    <w:rsid w:val="00F96BB8"/>
    <w:rsid w:val="00F96E79"/>
    <w:rsid w:val="00F97C86"/>
    <w:rsid w:val="00FA04DF"/>
    <w:rsid w:val="00FA0EF3"/>
    <w:rsid w:val="00FA1AAA"/>
    <w:rsid w:val="00FA1EEF"/>
    <w:rsid w:val="00FA208C"/>
    <w:rsid w:val="00FA237A"/>
    <w:rsid w:val="00FA277F"/>
    <w:rsid w:val="00FA2967"/>
    <w:rsid w:val="00FA29B5"/>
    <w:rsid w:val="00FA322B"/>
    <w:rsid w:val="00FA3ECD"/>
    <w:rsid w:val="00FA4F0C"/>
    <w:rsid w:val="00FA517F"/>
    <w:rsid w:val="00FA5304"/>
    <w:rsid w:val="00FA575C"/>
    <w:rsid w:val="00FA5E11"/>
    <w:rsid w:val="00FA6C5B"/>
    <w:rsid w:val="00FA6FF0"/>
    <w:rsid w:val="00FA706A"/>
    <w:rsid w:val="00FA70B5"/>
    <w:rsid w:val="00FA7ABA"/>
    <w:rsid w:val="00FA7DB1"/>
    <w:rsid w:val="00FB037B"/>
    <w:rsid w:val="00FB1DEC"/>
    <w:rsid w:val="00FB285B"/>
    <w:rsid w:val="00FB3785"/>
    <w:rsid w:val="00FB3A86"/>
    <w:rsid w:val="00FB3D44"/>
    <w:rsid w:val="00FB4FBA"/>
    <w:rsid w:val="00FB4FEA"/>
    <w:rsid w:val="00FB549C"/>
    <w:rsid w:val="00FB5BAE"/>
    <w:rsid w:val="00FB618A"/>
    <w:rsid w:val="00FB62F3"/>
    <w:rsid w:val="00FB6619"/>
    <w:rsid w:val="00FB6A4E"/>
    <w:rsid w:val="00FB6A82"/>
    <w:rsid w:val="00FB6C7F"/>
    <w:rsid w:val="00FB75E7"/>
    <w:rsid w:val="00FB78AC"/>
    <w:rsid w:val="00FB7DCB"/>
    <w:rsid w:val="00FC02EC"/>
    <w:rsid w:val="00FC0999"/>
    <w:rsid w:val="00FC0F80"/>
    <w:rsid w:val="00FC0FFF"/>
    <w:rsid w:val="00FC1639"/>
    <w:rsid w:val="00FC1957"/>
    <w:rsid w:val="00FC1ADD"/>
    <w:rsid w:val="00FC1B56"/>
    <w:rsid w:val="00FC257A"/>
    <w:rsid w:val="00FC2AC3"/>
    <w:rsid w:val="00FC2B55"/>
    <w:rsid w:val="00FC335C"/>
    <w:rsid w:val="00FC40C0"/>
    <w:rsid w:val="00FC4363"/>
    <w:rsid w:val="00FC54F8"/>
    <w:rsid w:val="00FC56BD"/>
    <w:rsid w:val="00FC5CCD"/>
    <w:rsid w:val="00FC6910"/>
    <w:rsid w:val="00FC6B8F"/>
    <w:rsid w:val="00FC7180"/>
    <w:rsid w:val="00FC76B2"/>
    <w:rsid w:val="00FC7898"/>
    <w:rsid w:val="00FC7A41"/>
    <w:rsid w:val="00FC7D25"/>
    <w:rsid w:val="00FC7EFC"/>
    <w:rsid w:val="00FD02AB"/>
    <w:rsid w:val="00FD084E"/>
    <w:rsid w:val="00FD0C04"/>
    <w:rsid w:val="00FD16A3"/>
    <w:rsid w:val="00FD1A1B"/>
    <w:rsid w:val="00FD1E4D"/>
    <w:rsid w:val="00FD2014"/>
    <w:rsid w:val="00FD216D"/>
    <w:rsid w:val="00FD28EB"/>
    <w:rsid w:val="00FD28FF"/>
    <w:rsid w:val="00FD2ADB"/>
    <w:rsid w:val="00FD2B4A"/>
    <w:rsid w:val="00FD2E37"/>
    <w:rsid w:val="00FD31A3"/>
    <w:rsid w:val="00FD33BB"/>
    <w:rsid w:val="00FD3463"/>
    <w:rsid w:val="00FD37DC"/>
    <w:rsid w:val="00FD3845"/>
    <w:rsid w:val="00FD3CB1"/>
    <w:rsid w:val="00FD40CA"/>
    <w:rsid w:val="00FD42DB"/>
    <w:rsid w:val="00FD4499"/>
    <w:rsid w:val="00FD45B1"/>
    <w:rsid w:val="00FD48C0"/>
    <w:rsid w:val="00FD4A97"/>
    <w:rsid w:val="00FD4D9B"/>
    <w:rsid w:val="00FD5D9B"/>
    <w:rsid w:val="00FD6785"/>
    <w:rsid w:val="00FD67D6"/>
    <w:rsid w:val="00FD70F9"/>
    <w:rsid w:val="00FE0192"/>
    <w:rsid w:val="00FE038A"/>
    <w:rsid w:val="00FE0506"/>
    <w:rsid w:val="00FE0AD1"/>
    <w:rsid w:val="00FE1028"/>
    <w:rsid w:val="00FE144D"/>
    <w:rsid w:val="00FE1A86"/>
    <w:rsid w:val="00FE1BA7"/>
    <w:rsid w:val="00FE207C"/>
    <w:rsid w:val="00FE23C6"/>
    <w:rsid w:val="00FE2523"/>
    <w:rsid w:val="00FE2D91"/>
    <w:rsid w:val="00FE3753"/>
    <w:rsid w:val="00FE3A9E"/>
    <w:rsid w:val="00FE3DCF"/>
    <w:rsid w:val="00FE4326"/>
    <w:rsid w:val="00FE4369"/>
    <w:rsid w:val="00FE48F7"/>
    <w:rsid w:val="00FE50EF"/>
    <w:rsid w:val="00FE5A25"/>
    <w:rsid w:val="00FE5B3F"/>
    <w:rsid w:val="00FE5C2C"/>
    <w:rsid w:val="00FE5C83"/>
    <w:rsid w:val="00FE616E"/>
    <w:rsid w:val="00FE61F1"/>
    <w:rsid w:val="00FE6298"/>
    <w:rsid w:val="00FE6362"/>
    <w:rsid w:val="00FE6670"/>
    <w:rsid w:val="00FE6E73"/>
    <w:rsid w:val="00FE7384"/>
    <w:rsid w:val="00FE77CF"/>
    <w:rsid w:val="00FE7811"/>
    <w:rsid w:val="00FF0ABA"/>
    <w:rsid w:val="00FF0C05"/>
    <w:rsid w:val="00FF0EB2"/>
    <w:rsid w:val="00FF1BB9"/>
    <w:rsid w:val="00FF2A30"/>
    <w:rsid w:val="00FF2BB8"/>
    <w:rsid w:val="00FF2D57"/>
    <w:rsid w:val="00FF3AD5"/>
    <w:rsid w:val="00FF4000"/>
    <w:rsid w:val="00FF46CF"/>
    <w:rsid w:val="00FF4759"/>
    <w:rsid w:val="00FF4ACC"/>
    <w:rsid w:val="00FF4B25"/>
    <w:rsid w:val="00FF5538"/>
    <w:rsid w:val="00FF59D5"/>
    <w:rsid w:val="00FF61B8"/>
    <w:rsid w:val="00FF6365"/>
    <w:rsid w:val="00FF6A4E"/>
    <w:rsid w:val="00FF6A9C"/>
    <w:rsid w:val="00FF6DA4"/>
    <w:rsid w:val="01026CBF"/>
    <w:rsid w:val="010825B3"/>
    <w:rsid w:val="010A56DE"/>
    <w:rsid w:val="010B405F"/>
    <w:rsid w:val="01113D6B"/>
    <w:rsid w:val="01135915"/>
    <w:rsid w:val="01141165"/>
    <w:rsid w:val="01193755"/>
    <w:rsid w:val="01234BD5"/>
    <w:rsid w:val="012F2443"/>
    <w:rsid w:val="01326454"/>
    <w:rsid w:val="013D4597"/>
    <w:rsid w:val="014337F8"/>
    <w:rsid w:val="01443F22"/>
    <w:rsid w:val="014B4F11"/>
    <w:rsid w:val="014C411F"/>
    <w:rsid w:val="014C4DA3"/>
    <w:rsid w:val="015533ED"/>
    <w:rsid w:val="0162151D"/>
    <w:rsid w:val="016519C1"/>
    <w:rsid w:val="01675739"/>
    <w:rsid w:val="0170404F"/>
    <w:rsid w:val="01710365"/>
    <w:rsid w:val="017240DE"/>
    <w:rsid w:val="01777DB4"/>
    <w:rsid w:val="01860A7C"/>
    <w:rsid w:val="018633E0"/>
    <w:rsid w:val="01901B71"/>
    <w:rsid w:val="01A22C15"/>
    <w:rsid w:val="01A52CC1"/>
    <w:rsid w:val="01A71AF5"/>
    <w:rsid w:val="01B140D9"/>
    <w:rsid w:val="01B82438"/>
    <w:rsid w:val="01BB7833"/>
    <w:rsid w:val="01C0750D"/>
    <w:rsid w:val="01C40DDD"/>
    <w:rsid w:val="01C81F50"/>
    <w:rsid w:val="01C963F3"/>
    <w:rsid w:val="01CA3F1A"/>
    <w:rsid w:val="01D37272"/>
    <w:rsid w:val="01E44FDB"/>
    <w:rsid w:val="01E96C2E"/>
    <w:rsid w:val="01E97BFD"/>
    <w:rsid w:val="01EB6E21"/>
    <w:rsid w:val="01F1594A"/>
    <w:rsid w:val="01FE010B"/>
    <w:rsid w:val="01FF3BC3"/>
    <w:rsid w:val="02000CDD"/>
    <w:rsid w:val="020479C8"/>
    <w:rsid w:val="020B0321"/>
    <w:rsid w:val="020B6A0C"/>
    <w:rsid w:val="020C396B"/>
    <w:rsid w:val="0213766F"/>
    <w:rsid w:val="02174ECC"/>
    <w:rsid w:val="021D66BF"/>
    <w:rsid w:val="022E7AB4"/>
    <w:rsid w:val="022F025D"/>
    <w:rsid w:val="022F5195"/>
    <w:rsid w:val="02322A46"/>
    <w:rsid w:val="02331ABF"/>
    <w:rsid w:val="023615AF"/>
    <w:rsid w:val="024261A6"/>
    <w:rsid w:val="024937CF"/>
    <w:rsid w:val="02493E28"/>
    <w:rsid w:val="0250093A"/>
    <w:rsid w:val="02570F77"/>
    <w:rsid w:val="026A54AC"/>
    <w:rsid w:val="02714395"/>
    <w:rsid w:val="028326B0"/>
    <w:rsid w:val="02832A46"/>
    <w:rsid w:val="02875833"/>
    <w:rsid w:val="02897F00"/>
    <w:rsid w:val="028A67B7"/>
    <w:rsid w:val="028C11CF"/>
    <w:rsid w:val="02900CBF"/>
    <w:rsid w:val="029A5019"/>
    <w:rsid w:val="029B0B09"/>
    <w:rsid w:val="029F1C83"/>
    <w:rsid w:val="02A041DE"/>
    <w:rsid w:val="02A42BE4"/>
    <w:rsid w:val="02A604E3"/>
    <w:rsid w:val="02A93B2F"/>
    <w:rsid w:val="02AD7AC3"/>
    <w:rsid w:val="02AE55E9"/>
    <w:rsid w:val="02BF77F6"/>
    <w:rsid w:val="02C31D09"/>
    <w:rsid w:val="02C93D1E"/>
    <w:rsid w:val="02D46041"/>
    <w:rsid w:val="02D870C1"/>
    <w:rsid w:val="02DE7C7D"/>
    <w:rsid w:val="02E35293"/>
    <w:rsid w:val="02E7546D"/>
    <w:rsid w:val="02E87E56"/>
    <w:rsid w:val="02EE4EA9"/>
    <w:rsid w:val="02F14C9A"/>
    <w:rsid w:val="02F434AA"/>
    <w:rsid w:val="02F6644C"/>
    <w:rsid w:val="02FB0D7A"/>
    <w:rsid w:val="03054555"/>
    <w:rsid w:val="030B2604"/>
    <w:rsid w:val="03190CB5"/>
    <w:rsid w:val="031A4A2D"/>
    <w:rsid w:val="031E451D"/>
    <w:rsid w:val="0335736E"/>
    <w:rsid w:val="03451707"/>
    <w:rsid w:val="034F0B7A"/>
    <w:rsid w:val="03525F75"/>
    <w:rsid w:val="03563CB7"/>
    <w:rsid w:val="035717DD"/>
    <w:rsid w:val="03577A2F"/>
    <w:rsid w:val="035F5C73"/>
    <w:rsid w:val="036D5657"/>
    <w:rsid w:val="037447F6"/>
    <w:rsid w:val="0377199F"/>
    <w:rsid w:val="03786440"/>
    <w:rsid w:val="037A3B41"/>
    <w:rsid w:val="037B54CB"/>
    <w:rsid w:val="038165B2"/>
    <w:rsid w:val="038E05E4"/>
    <w:rsid w:val="039667A9"/>
    <w:rsid w:val="039C537B"/>
    <w:rsid w:val="03A2514E"/>
    <w:rsid w:val="03A82039"/>
    <w:rsid w:val="03B1713F"/>
    <w:rsid w:val="03B26944"/>
    <w:rsid w:val="03B409DD"/>
    <w:rsid w:val="03B60BF9"/>
    <w:rsid w:val="03B61D50"/>
    <w:rsid w:val="03BA7B49"/>
    <w:rsid w:val="03BB23AE"/>
    <w:rsid w:val="03CD1A9F"/>
    <w:rsid w:val="03D90266"/>
    <w:rsid w:val="03DB240E"/>
    <w:rsid w:val="03DE02AC"/>
    <w:rsid w:val="03E147AD"/>
    <w:rsid w:val="03E34488"/>
    <w:rsid w:val="03E35B15"/>
    <w:rsid w:val="03EA08A3"/>
    <w:rsid w:val="03EB7101"/>
    <w:rsid w:val="03EC7301"/>
    <w:rsid w:val="03FC0AFB"/>
    <w:rsid w:val="04063740"/>
    <w:rsid w:val="040825D2"/>
    <w:rsid w:val="04082AD7"/>
    <w:rsid w:val="040A5C15"/>
    <w:rsid w:val="04327B7C"/>
    <w:rsid w:val="04333FF8"/>
    <w:rsid w:val="043A5F14"/>
    <w:rsid w:val="043B1A01"/>
    <w:rsid w:val="043C4C6A"/>
    <w:rsid w:val="04473600"/>
    <w:rsid w:val="044E5DAF"/>
    <w:rsid w:val="0459572E"/>
    <w:rsid w:val="046562D2"/>
    <w:rsid w:val="0473688A"/>
    <w:rsid w:val="047C774D"/>
    <w:rsid w:val="047D4C5E"/>
    <w:rsid w:val="047F2B80"/>
    <w:rsid w:val="047F2D99"/>
    <w:rsid w:val="0491590C"/>
    <w:rsid w:val="049C446B"/>
    <w:rsid w:val="04A2774E"/>
    <w:rsid w:val="04A369D5"/>
    <w:rsid w:val="04A726D5"/>
    <w:rsid w:val="04AC5B58"/>
    <w:rsid w:val="04AC63C2"/>
    <w:rsid w:val="04B03BBE"/>
    <w:rsid w:val="04B80EE2"/>
    <w:rsid w:val="04C146CD"/>
    <w:rsid w:val="04C9687C"/>
    <w:rsid w:val="04D1736D"/>
    <w:rsid w:val="04E46D12"/>
    <w:rsid w:val="04F512AE"/>
    <w:rsid w:val="04F55751"/>
    <w:rsid w:val="04F62444"/>
    <w:rsid w:val="0504144A"/>
    <w:rsid w:val="050563C0"/>
    <w:rsid w:val="050B6D23"/>
    <w:rsid w:val="05206FE9"/>
    <w:rsid w:val="052B1309"/>
    <w:rsid w:val="05311C9B"/>
    <w:rsid w:val="053A3164"/>
    <w:rsid w:val="0544724B"/>
    <w:rsid w:val="054E78CA"/>
    <w:rsid w:val="05545FD4"/>
    <w:rsid w:val="055727FC"/>
    <w:rsid w:val="05586E49"/>
    <w:rsid w:val="05595CE0"/>
    <w:rsid w:val="056866AA"/>
    <w:rsid w:val="05687D89"/>
    <w:rsid w:val="056A68A7"/>
    <w:rsid w:val="056B2CE8"/>
    <w:rsid w:val="057036D5"/>
    <w:rsid w:val="05774D37"/>
    <w:rsid w:val="057D1EAF"/>
    <w:rsid w:val="057E0D3C"/>
    <w:rsid w:val="05825924"/>
    <w:rsid w:val="05826C83"/>
    <w:rsid w:val="05853D58"/>
    <w:rsid w:val="05984941"/>
    <w:rsid w:val="059B00A7"/>
    <w:rsid w:val="05A21435"/>
    <w:rsid w:val="05A24258"/>
    <w:rsid w:val="05A26688"/>
    <w:rsid w:val="05AF2DD5"/>
    <w:rsid w:val="05B20F4D"/>
    <w:rsid w:val="05BB511F"/>
    <w:rsid w:val="05BD626F"/>
    <w:rsid w:val="05C607EB"/>
    <w:rsid w:val="05D1531A"/>
    <w:rsid w:val="05D76C05"/>
    <w:rsid w:val="05DB784B"/>
    <w:rsid w:val="05DD06BF"/>
    <w:rsid w:val="05DD6A60"/>
    <w:rsid w:val="05DF05AD"/>
    <w:rsid w:val="05E05ABA"/>
    <w:rsid w:val="05E50D22"/>
    <w:rsid w:val="05EC26B0"/>
    <w:rsid w:val="05EE5F4A"/>
    <w:rsid w:val="05F11A75"/>
    <w:rsid w:val="05F40986"/>
    <w:rsid w:val="05F652DD"/>
    <w:rsid w:val="060B6678"/>
    <w:rsid w:val="06106B90"/>
    <w:rsid w:val="061816F7"/>
    <w:rsid w:val="06260E97"/>
    <w:rsid w:val="062A31D9"/>
    <w:rsid w:val="062F1292"/>
    <w:rsid w:val="062F6A41"/>
    <w:rsid w:val="06373C7E"/>
    <w:rsid w:val="063B575A"/>
    <w:rsid w:val="065F10D4"/>
    <w:rsid w:val="06695AAF"/>
    <w:rsid w:val="06696793"/>
    <w:rsid w:val="067314F3"/>
    <w:rsid w:val="068037E6"/>
    <w:rsid w:val="068A6CC7"/>
    <w:rsid w:val="06961855"/>
    <w:rsid w:val="069B4E15"/>
    <w:rsid w:val="069B7C33"/>
    <w:rsid w:val="069F5975"/>
    <w:rsid w:val="06A42F8B"/>
    <w:rsid w:val="06A853E5"/>
    <w:rsid w:val="06AD2BC5"/>
    <w:rsid w:val="06AD76D5"/>
    <w:rsid w:val="06B623E7"/>
    <w:rsid w:val="06BE0C4E"/>
    <w:rsid w:val="06C54CB0"/>
    <w:rsid w:val="06C70A28"/>
    <w:rsid w:val="06CB676A"/>
    <w:rsid w:val="06D15481"/>
    <w:rsid w:val="06D45E42"/>
    <w:rsid w:val="06D75085"/>
    <w:rsid w:val="06E15F8D"/>
    <w:rsid w:val="06E21934"/>
    <w:rsid w:val="06E60D29"/>
    <w:rsid w:val="06EC5DE4"/>
    <w:rsid w:val="06F850C8"/>
    <w:rsid w:val="06FC1585"/>
    <w:rsid w:val="070677A2"/>
    <w:rsid w:val="070C5F9C"/>
    <w:rsid w:val="070D72A1"/>
    <w:rsid w:val="07111880"/>
    <w:rsid w:val="07124399"/>
    <w:rsid w:val="071D689A"/>
    <w:rsid w:val="072563D4"/>
    <w:rsid w:val="072F4F4B"/>
    <w:rsid w:val="07367F98"/>
    <w:rsid w:val="073C7E19"/>
    <w:rsid w:val="073D3A19"/>
    <w:rsid w:val="0758565F"/>
    <w:rsid w:val="075C1AB8"/>
    <w:rsid w:val="07696335"/>
    <w:rsid w:val="077508CA"/>
    <w:rsid w:val="0777549D"/>
    <w:rsid w:val="07782B6C"/>
    <w:rsid w:val="077E0859"/>
    <w:rsid w:val="07974470"/>
    <w:rsid w:val="0797489E"/>
    <w:rsid w:val="079A613C"/>
    <w:rsid w:val="079E7F01"/>
    <w:rsid w:val="07A1571D"/>
    <w:rsid w:val="07AA637F"/>
    <w:rsid w:val="07AB20F7"/>
    <w:rsid w:val="07B13BB2"/>
    <w:rsid w:val="07B42F31"/>
    <w:rsid w:val="07C1191B"/>
    <w:rsid w:val="07C66F31"/>
    <w:rsid w:val="07CA0A77"/>
    <w:rsid w:val="07CB277B"/>
    <w:rsid w:val="07CB6D1E"/>
    <w:rsid w:val="07E13D6B"/>
    <w:rsid w:val="07E2562F"/>
    <w:rsid w:val="07E74A05"/>
    <w:rsid w:val="07F92E63"/>
    <w:rsid w:val="07FB052C"/>
    <w:rsid w:val="07FD5ED5"/>
    <w:rsid w:val="07FF14F4"/>
    <w:rsid w:val="08055CAB"/>
    <w:rsid w:val="080E09C0"/>
    <w:rsid w:val="080F490D"/>
    <w:rsid w:val="081A525A"/>
    <w:rsid w:val="081E5E8C"/>
    <w:rsid w:val="081F5915"/>
    <w:rsid w:val="082500FC"/>
    <w:rsid w:val="08255AB1"/>
    <w:rsid w:val="08261C72"/>
    <w:rsid w:val="082A3964"/>
    <w:rsid w:val="082D0D5E"/>
    <w:rsid w:val="0831084F"/>
    <w:rsid w:val="08320BD9"/>
    <w:rsid w:val="083579E3"/>
    <w:rsid w:val="08407581"/>
    <w:rsid w:val="084A5633"/>
    <w:rsid w:val="084B6928"/>
    <w:rsid w:val="084C38DA"/>
    <w:rsid w:val="084D42F2"/>
    <w:rsid w:val="085070A9"/>
    <w:rsid w:val="085A36BF"/>
    <w:rsid w:val="085B1D6F"/>
    <w:rsid w:val="085B687E"/>
    <w:rsid w:val="08766754"/>
    <w:rsid w:val="087F780C"/>
    <w:rsid w:val="08814923"/>
    <w:rsid w:val="0890373E"/>
    <w:rsid w:val="08950684"/>
    <w:rsid w:val="08A25975"/>
    <w:rsid w:val="08AB6853"/>
    <w:rsid w:val="08C2594B"/>
    <w:rsid w:val="08CB2DC3"/>
    <w:rsid w:val="08D37B58"/>
    <w:rsid w:val="08D4742C"/>
    <w:rsid w:val="08DA0CD4"/>
    <w:rsid w:val="08DD3116"/>
    <w:rsid w:val="08E053C9"/>
    <w:rsid w:val="08E21B49"/>
    <w:rsid w:val="08E50D18"/>
    <w:rsid w:val="08E55169"/>
    <w:rsid w:val="08F024B8"/>
    <w:rsid w:val="08F60C71"/>
    <w:rsid w:val="08F63846"/>
    <w:rsid w:val="08F8607B"/>
    <w:rsid w:val="08FD2E27"/>
    <w:rsid w:val="08FF6B9F"/>
    <w:rsid w:val="09044BE9"/>
    <w:rsid w:val="09065A80"/>
    <w:rsid w:val="09075302"/>
    <w:rsid w:val="09075A53"/>
    <w:rsid w:val="09081DCF"/>
    <w:rsid w:val="090B72F2"/>
    <w:rsid w:val="091414F2"/>
    <w:rsid w:val="091C14FF"/>
    <w:rsid w:val="091D2FED"/>
    <w:rsid w:val="09267C87"/>
    <w:rsid w:val="09290516"/>
    <w:rsid w:val="092B7994"/>
    <w:rsid w:val="09331CD3"/>
    <w:rsid w:val="09372EA9"/>
    <w:rsid w:val="093A1985"/>
    <w:rsid w:val="0949237B"/>
    <w:rsid w:val="095223A2"/>
    <w:rsid w:val="095B7DEA"/>
    <w:rsid w:val="09623EF2"/>
    <w:rsid w:val="0962641F"/>
    <w:rsid w:val="09672392"/>
    <w:rsid w:val="096802A0"/>
    <w:rsid w:val="096C3723"/>
    <w:rsid w:val="09722ECD"/>
    <w:rsid w:val="09750C0F"/>
    <w:rsid w:val="097E7426"/>
    <w:rsid w:val="09867C39"/>
    <w:rsid w:val="098849BD"/>
    <w:rsid w:val="098B0432"/>
    <w:rsid w:val="098B2B38"/>
    <w:rsid w:val="09951F61"/>
    <w:rsid w:val="0999410B"/>
    <w:rsid w:val="099C619C"/>
    <w:rsid w:val="09A92503"/>
    <w:rsid w:val="09BE680A"/>
    <w:rsid w:val="09C15C02"/>
    <w:rsid w:val="09CB4CD3"/>
    <w:rsid w:val="09D354AA"/>
    <w:rsid w:val="09D516AE"/>
    <w:rsid w:val="09DB613A"/>
    <w:rsid w:val="09DE1204"/>
    <w:rsid w:val="09DE547F"/>
    <w:rsid w:val="09E15FE0"/>
    <w:rsid w:val="09E21AAA"/>
    <w:rsid w:val="09E9254A"/>
    <w:rsid w:val="09EA6F07"/>
    <w:rsid w:val="09F4422A"/>
    <w:rsid w:val="09F676EA"/>
    <w:rsid w:val="09F71624"/>
    <w:rsid w:val="09FE6E56"/>
    <w:rsid w:val="0A02484E"/>
    <w:rsid w:val="0A0A3406"/>
    <w:rsid w:val="0A0E2EF1"/>
    <w:rsid w:val="0A133D15"/>
    <w:rsid w:val="0A193C90"/>
    <w:rsid w:val="0A1F46DF"/>
    <w:rsid w:val="0A267937"/>
    <w:rsid w:val="0A2763AD"/>
    <w:rsid w:val="0A2B4DF2"/>
    <w:rsid w:val="0A3221EC"/>
    <w:rsid w:val="0A3751CF"/>
    <w:rsid w:val="0A3925DE"/>
    <w:rsid w:val="0A4557E9"/>
    <w:rsid w:val="0A4B7E76"/>
    <w:rsid w:val="0A4D56E8"/>
    <w:rsid w:val="0A546CFD"/>
    <w:rsid w:val="0A550002"/>
    <w:rsid w:val="0A5D1DCF"/>
    <w:rsid w:val="0A604AAB"/>
    <w:rsid w:val="0A7D11C6"/>
    <w:rsid w:val="0A7D16CE"/>
    <w:rsid w:val="0A80786B"/>
    <w:rsid w:val="0A825391"/>
    <w:rsid w:val="0A891756"/>
    <w:rsid w:val="0A8A71D7"/>
    <w:rsid w:val="0A904964"/>
    <w:rsid w:val="0A911A78"/>
    <w:rsid w:val="0AA03A6A"/>
    <w:rsid w:val="0AA55524"/>
    <w:rsid w:val="0AA71FBE"/>
    <w:rsid w:val="0ABA0FCF"/>
    <w:rsid w:val="0ABC29C4"/>
    <w:rsid w:val="0AC27E84"/>
    <w:rsid w:val="0AC30308"/>
    <w:rsid w:val="0ACB7906"/>
    <w:rsid w:val="0AEA6FA5"/>
    <w:rsid w:val="0AEE6ECB"/>
    <w:rsid w:val="0AEF7AA7"/>
    <w:rsid w:val="0AF21165"/>
    <w:rsid w:val="0AFD0EBC"/>
    <w:rsid w:val="0B01399E"/>
    <w:rsid w:val="0B07253A"/>
    <w:rsid w:val="0B1371C8"/>
    <w:rsid w:val="0B172DA4"/>
    <w:rsid w:val="0B195776"/>
    <w:rsid w:val="0B27470D"/>
    <w:rsid w:val="0B2915C9"/>
    <w:rsid w:val="0B2A46A1"/>
    <w:rsid w:val="0B2B0D6D"/>
    <w:rsid w:val="0B2C47E2"/>
    <w:rsid w:val="0B2F3C0A"/>
    <w:rsid w:val="0B300C6A"/>
    <w:rsid w:val="0B5268C2"/>
    <w:rsid w:val="0B5E289E"/>
    <w:rsid w:val="0B621AB9"/>
    <w:rsid w:val="0B635F2E"/>
    <w:rsid w:val="0B666A61"/>
    <w:rsid w:val="0B6B1D48"/>
    <w:rsid w:val="0B6C26DF"/>
    <w:rsid w:val="0B6E1DBA"/>
    <w:rsid w:val="0B7218AA"/>
    <w:rsid w:val="0B744969"/>
    <w:rsid w:val="0B756F29"/>
    <w:rsid w:val="0B7C44D7"/>
    <w:rsid w:val="0B86023C"/>
    <w:rsid w:val="0BA46483"/>
    <w:rsid w:val="0BA72079"/>
    <w:rsid w:val="0BAF003C"/>
    <w:rsid w:val="0BB43C70"/>
    <w:rsid w:val="0BB67821"/>
    <w:rsid w:val="0BBA0B5B"/>
    <w:rsid w:val="0BBE37BD"/>
    <w:rsid w:val="0BCA3A41"/>
    <w:rsid w:val="0BD7436C"/>
    <w:rsid w:val="0BDF05C2"/>
    <w:rsid w:val="0BE20F31"/>
    <w:rsid w:val="0BF0195A"/>
    <w:rsid w:val="0BF31EC4"/>
    <w:rsid w:val="0C0679C8"/>
    <w:rsid w:val="0C0F2856"/>
    <w:rsid w:val="0C177928"/>
    <w:rsid w:val="0C1F1EFB"/>
    <w:rsid w:val="0C2A3F33"/>
    <w:rsid w:val="0C352A96"/>
    <w:rsid w:val="0C395F24"/>
    <w:rsid w:val="0C3C39C0"/>
    <w:rsid w:val="0C456213"/>
    <w:rsid w:val="0C4D5E73"/>
    <w:rsid w:val="0C4F74F5"/>
    <w:rsid w:val="0C50326D"/>
    <w:rsid w:val="0C5340AD"/>
    <w:rsid w:val="0C534244"/>
    <w:rsid w:val="0C601702"/>
    <w:rsid w:val="0C693011"/>
    <w:rsid w:val="0C6B7CEE"/>
    <w:rsid w:val="0C73257B"/>
    <w:rsid w:val="0C794484"/>
    <w:rsid w:val="0C851169"/>
    <w:rsid w:val="0C895E62"/>
    <w:rsid w:val="0C8B34A5"/>
    <w:rsid w:val="0C8E57F0"/>
    <w:rsid w:val="0C8E6234"/>
    <w:rsid w:val="0C903EFB"/>
    <w:rsid w:val="0C911B2B"/>
    <w:rsid w:val="0C913F1B"/>
    <w:rsid w:val="0C970E9C"/>
    <w:rsid w:val="0C9870EE"/>
    <w:rsid w:val="0CA830A9"/>
    <w:rsid w:val="0CAF268A"/>
    <w:rsid w:val="0CB11F5E"/>
    <w:rsid w:val="0CBD6B55"/>
    <w:rsid w:val="0CBF656E"/>
    <w:rsid w:val="0CD13905"/>
    <w:rsid w:val="0CDA749A"/>
    <w:rsid w:val="0CE02E41"/>
    <w:rsid w:val="0CE40664"/>
    <w:rsid w:val="0CE73BD2"/>
    <w:rsid w:val="0CEA3757"/>
    <w:rsid w:val="0CEC442E"/>
    <w:rsid w:val="0CED7178"/>
    <w:rsid w:val="0CF808FB"/>
    <w:rsid w:val="0CF956B3"/>
    <w:rsid w:val="0CFB0654"/>
    <w:rsid w:val="0CFF53BF"/>
    <w:rsid w:val="0D01773E"/>
    <w:rsid w:val="0D093B48"/>
    <w:rsid w:val="0D0A3F6A"/>
    <w:rsid w:val="0D103128"/>
    <w:rsid w:val="0D140B10"/>
    <w:rsid w:val="0D1B387B"/>
    <w:rsid w:val="0D215B97"/>
    <w:rsid w:val="0D263B6E"/>
    <w:rsid w:val="0D2D174A"/>
    <w:rsid w:val="0D3061B1"/>
    <w:rsid w:val="0D3659AD"/>
    <w:rsid w:val="0D38591F"/>
    <w:rsid w:val="0D38685D"/>
    <w:rsid w:val="0D3A7D8F"/>
    <w:rsid w:val="0D3D1615"/>
    <w:rsid w:val="0D3D7AFE"/>
    <w:rsid w:val="0D4479D1"/>
    <w:rsid w:val="0D483D51"/>
    <w:rsid w:val="0D4B4161"/>
    <w:rsid w:val="0D4D140C"/>
    <w:rsid w:val="0D5079C9"/>
    <w:rsid w:val="0D531267"/>
    <w:rsid w:val="0D5A6781"/>
    <w:rsid w:val="0D5C24F8"/>
    <w:rsid w:val="0D5D38A4"/>
    <w:rsid w:val="0D5D3E94"/>
    <w:rsid w:val="0D6549E6"/>
    <w:rsid w:val="0D6E60A1"/>
    <w:rsid w:val="0D725B91"/>
    <w:rsid w:val="0D7E5820"/>
    <w:rsid w:val="0D8A1D43"/>
    <w:rsid w:val="0D9474D1"/>
    <w:rsid w:val="0D9D1DC9"/>
    <w:rsid w:val="0D9F7600"/>
    <w:rsid w:val="0DA91A52"/>
    <w:rsid w:val="0DAE46EF"/>
    <w:rsid w:val="0DB717F6"/>
    <w:rsid w:val="0DBF1197"/>
    <w:rsid w:val="0DC17C9E"/>
    <w:rsid w:val="0DD35E02"/>
    <w:rsid w:val="0DD405FA"/>
    <w:rsid w:val="0DDE7B81"/>
    <w:rsid w:val="0DE314D8"/>
    <w:rsid w:val="0DE4306B"/>
    <w:rsid w:val="0DE50E8A"/>
    <w:rsid w:val="0DE55DC9"/>
    <w:rsid w:val="0DEA2F67"/>
    <w:rsid w:val="0DEE2D3E"/>
    <w:rsid w:val="0DFE11D3"/>
    <w:rsid w:val="0E0116CF"/>
    <w:rsid w:val="0E091207"/>
    <w:rsid w:val="0E0B565D"/>
    <w:rsid w:val="0E0C604A"/>
    <w:rsid w:val="0E0D7180"/>
    <w:rsid w:val="0E0D7668"/>
    <w:rsid w:val="0E1053AA"/>
    <w:rsid w:val="0E19425F"/>
    <w:rsid w:val="0E2322C1"/>
    <w:rsid w:val="0E3A41D5"/>
    <w:rsid w:val="0E5159F0"/>
    <w:rsid w:val="0E530D6A"/>
    <w:rsid w:val="0E56100F"/>
    <w:rsid w:val="0E5E6115"/>
    <w:rsid w:val="0E675D26"/>
    <w:rsid w:val="0E7145BF"/>
    <w:rsid w:val="0E731F27"/>
    <w:rsid w:val="0E817A45"/>
    <w:rsid w:val="0E817BF5"/>
    <w:rsid w:val="0E8358DE"/>
    <w:rsid w:val="0E836FC3"/>
    <w:rsid w:val="0E872C6D"/>
    <w:rsid w:val="0E8811B2"/>
    <w:rsid w:val="0E8B5169"/>
    <w:rsid w:val="0E8C2BEA"/>
    <w:rsid w:val="0E8D2557"/>
    <w:rsid w:val="0E9E516B"/>
    <w:rsid w:val="0EA55AF2"/>
    <w:rsid w:val="0EAA135B"/>
    <w:rsid w:val="0EBD2E3C"/>
    <w:rsid w:val="0EC57F43"/>
    <w:rsid w:val="0ED777E6"/>
    <w:rsid w:val="0ED9579C"/>
    <w:rsid w:val="0EE0109A"/>
    <w:rsid w:val="0EE070CB"/>
    <w:rsid w:val="0EE20AF5"/>
    <w:rsid w:val="0EE660FC"/>
    <w:rsid w:val="0EE874FD"/>
    <w:rsid w:val="0EEE5E2D"/>
    <w:rsid w:val="0EF978E6"/>
    <w:rsid w:val="0EFA0A08"/>
    <w:rsid w:val="0F02192F"/>
    <w:rsid w:val="0F030DFB"/>
    <w:rsid w:val="0F073C1A"/>
    <w:rsid w:val="0F0E1EBF"/>
    <w:rsid w:val="0F0E7B3C"/>
    <w:rsid w:val="0F1C24D9"/>
    <w:rsid w:val="0F1E2041"/>
    <w:rsid w:val="0F220AB8"/>
    <w:rsid w:val="0F334EAC"/>
    <w:rsid w:val="0F370B05"/>
    <w:rsid w:val="0F3B245C"/>
    <w:rsid w:val="0F3B3E5E"/>
    <w:rsid w:val="0F3B6457"/>
    <w:rsid w:val="0F3F7763"/>
    <w:rsid w:val="0F431D1A"/>
    <w:rsid w:val="0F470958"/>
    <w:rsid w:val="0F476CCD"/>
    <w:rsid w:val="0F501F02"/>
    <w:rsid w:val="0F54301E"/>
    <w:rsid w:val="0F572B3C"/>
    <w:rsid w:val="0F5A1B1C"/>
    <w:rsid w:val="0F5A47E6"/>
    <w:rsid w:val="0F5A68DD"/>
    <w:rsid w:val="0F5C575C"/>
    <w:rsid w:val="0F5D0A30"/>
    <w:rsid w:val="0F5D2ECD"/>
    <w:rsid w:val="0F64150A"/>
    <w:rsid w:val="0F6F44E2"/>
    <w:rsid w:val="0F706100"/>
    <w:rsid w:val="0F794DF1"/>
    <w:rsid w:val="0F9420F7"/>
    <w:rsid w:val="0F9B0829"/>
    <w:rsid w:val="0FA61B22"/>
    <w:rsid w:val="0FA701EB"/>
    <w:rsid w:val="0FAF35EE"/>
    <w:rsid w:val="0FBF7EA1"/>
    <w:rsid w:val="0FC30926"/>
    <w:rsid w:val="0FCA44B0"/>
    <w:rsid w:val="0FD05800"/>
    <w:rsid w:val="0FD20B92"/>
    <w:rsid w:val="0FD91EF8"/>
    <w:rsid w:val="0FDB5D8F"/>
    <w:rsid w:val="0FDE750E"/>
    <w:rsid w:val="0FE27B00"/>
    <w:rsid w:val="0FE346D0"/>
    <w:rsid w:val="0FE54120"/>
    <w:rsid w:val="0FEB5787"/>
    <w:rsid w:val="0FEB6A9F"/>
    <w:rsid w:val="0FF54858"/>
    <w:rsid w:val="0FF67453"/>
    <w:rsid w:val="0FF8216B"/>
    <w:rsid w:val="10013B8F"/>
    <w:rsid w:val="10014FAA"/>
    <w:rsid w:val="1002130E"/>
    <w:rsid w:val="10192A93"/>
    <w:rsid w:val="10227809"/>
    <w:rsid w:val="10273C90"/>
    <w:rsid w:val="102962AF"/>
    <w:rsid w:val="10344853"/>
    <w:rsid w:val="10474470"/>
    <w:rsid w:val="10504E9F"/>
    <w:rsid w:val="10507CE0"/>
    <w:rsid w:val="105552F6"/>
    <w:rsid w:val="10570CC2"/>
    <w:rsid w:val="105D0107"/>
    <w:rsid w:val="106A2B50"/>
    <w:rsid w:val="107141F6"/>
    <w:rsid w:val="107439CE"/>
    <w:rsid w:val="10786F12"/>
    <w:rsid w:val="10817822"/>
    <w:rsid w:val="108B3943"/>
    <w:rsid w:val="109A3E3C"/>
    <w:rsid w:val="10A429C8"/>
    <w:rsid w:val="10AE1E3E"/>
    <w:rsid w:val="10B50F76"/>
    <w:rsid w:val="10B64D47"/>
    <w:rsid w:val="10B95885"/>
    <w:rsid w:val="10BF197B"/>
    <w:rsid w:val="10C33B0F"/>
    <w:rsid w:val="10C37048"/>
    <w:rsid w:val="10C55FD8"/>
    <w:rsid w:val="10C81652"/>
    <w:rsid w:val="10CF32FA"/>
    <w:rsid w:val="10D1116B"/>
    <w:rsid w:val="10D34B99"/>
    <w:rsid w:val="10D644C6"/>
    <w:rsid w:val="10D82A14"/>
    <w:rsid w:val="10E21A30"/>
    <w:rsid w:val="10E25BF2"/>
    <w:rsid w:val="10E741A0"/>
    <w:rsid w:val="10EB1450"/>
    <w:rsid w:val="11034D52"/>
    <w:rsid w:val="11082369"/>
    <w:rsid w:val="110C3C07"/>
    <w:rsid w:val="1115264F"/>
    <w:rsid w:val="111A2D07"/>
    <w:rsid w:val="11280ED6"/>
    <w:rsid w:val="112812B5"/>
    <w:rsid w:val="112F0C3F"/>
    <w:rsid w:val="113B273E"/>
    <w:rsid w:val="113C1785"/>
    <w:rsid w:val="114A0E1D"/>
    <w:rsid w:val="1158509E"/>
    <w:rsid w:val="115C2A08"/>
    <w:rsid w:val="11654177"/>
    <w:rsid w:val="1166045F"/>
    <w:rsid w:val="116752E1"/>
    <w:rsid w:val="116A2C71"/>
    <w:rsid w:val="116A3B65"/>
    <w:rsid w:val="11755C50"/>
    <w:rsid w:val="1176465F"/>
    <w:rsid w:val="117F6ACF"/>
    <w:rsid w:val="11875983"/>
    <w:rsid w:val="118E6D12"/>
    <w:rsid w:val="119500A0"/>
    <w:rsid w:val="11A24985"/>
    <w:rsid w:val="11A30A08"/>
    <w:rsid w:val="11A93C63"/>
    <w:rsid w:val="11AA0589"/>
    <w:rsid w:val="11AC0F46"/>
    <w:rsid w:val="11BF1B96"/>
    <w:rsid w:val="11C87B39"/>
    <w:rsid w:val="11CD3FC1"/>
    <w:rsid w:val="11D010D8"/>
    <w:rsid w:val="11D1624A"/>
    <w:rsid w:val="11D5049D"/>
    <w:rsid w:val="11D54C50"/>
    <w:rsid w:val="11E0520A"/>
    <w:rsid w:val="11E91067"/>
    <w:rsid w:val="11EE155E"/>
    <w:rsid w:val="11EE77B0"/>
    <w:rsid w:val="11F0352F"/>
    <w:rsid w:val="11F7263A"/>
    <w:rsid w:val="1202325C"/>
    <w:rsid w:val="120610C8"/>
    <w:rsid w:val="120D40DA"/>
    <w:rsid w:val="120E1F6D"/>
    <w:rsid w:val="121534BC"/>
    <w:rsid w:val="1216272A"/>
    <w:rsid w:val="12170AB5"/>
    <w:rsid w:val="121B53C5"/>
    <w:rsid w:val="1224631A"/>
    <w:rsid w:val="12263756"/>
    <w:rsid w:val="123C051C"/>
    <w:rsid w:val="123C676E"/>
    <w:rsid w:val="1246139A"/>
    <w:rsid w:val="12463148"/>
    <w:rsid w:val="12527EEC"/>
    <w:rsid w:val="12543588"/>
    <w:rsid w:val="12555E15"/>
    <w:rsid w:val="1267545F"/>
    <w:rsid w:val="126A0B67"/>
    <w:rsid w:val="12745A53"/>
    <w:rsid w:val="12767ED2"/>
    <w:rsid w:val="12791770"/>
    <w:rsid w:val="127A1044"/>
    <w:rsid w:val="127C300E"/>
    <w:rsid w:val="12883761"/>
    <w:rsid w:val="129465AA"/>
    <w:rsid w:val="12955E7E"/>
    <w:rsid w:val="129B16E6"/>
    <w:rsid w:val="129C6C18"/>
    <w:rsid w:val="129D2490"/>
    <w:rsid w:val="12A20B21"/>
    <w:rsid w:val="12AA012C"/>
    <w:rsid w:val="12B21BE1"/>
    <w:rsid w:val="12B25CDE"/>
    <w:rsid w:val="12B42AD2"/>
    <w:rsid w:val="12B81A1F"/>
    <w:rsid w:val="12C00B11"/>
    <w:rsid w:val="12C755C0"/>
    <w:rsid w:val="12CA3D79"/>
    <w:rsid w:val="12CD11C3"/>
    <w:rsid w:val="12D270D2"/>
    <w:rsid w:val="12D9220E"/>
    <w:rsid w:val="12E34E3B"/>
    <w:rsid w:val="12F64B6E"/>
    <w:rsid w:val="12FD2134"/>
    <w:rsid w:val="12FD2E51"/>
    <w:rsid w:val="131D6462"/>
    <w:rsid w:val="13223BB5"/>
    <w:rsid w:val="132316DC"/>
    <w:rsid w:val="132A4818"/>
    <w:rsid w:val="1337424A"/>
    <w:rsid w:val="133C549C"/>
    <w:rsid w:val="133F6421"/>
    <w:rsid w:val="1340403C"/>
    <w:rsid w:val="1346162F"/>
    <w:rsid w:val="134B4466"/>
    <w:rsid w:val="134C741F"/>
    <w:rsid w:val="13533D6F"/>
    <w:rsid w:val="135A4049"/>
    <w:rsid w:val="135B2C24"/>
    <w:rsid w:val="135B4BD1"/>
    <w:rsid w:val="135D20D3"/>
    <w:rsid w:val="136046DE"/>
    <w:rsid w:val="13620456"/>
    <w:rsid w:val="13632E3B"/>
    <w:rsid w:val="13656661"/>
    <w:rsid w:val="136629A8"/>
    <w:rsid w:val="13694312"/>
    <w:rsid w:val="136C6BDF"/>
    <w:rsid w:val="13714672"/>
    <w:rsid w:val="137155C7"/>
    <w:rsid w:val="13724C51"/>
    <w:rsid w:val="137328CD"/>
    <w:rsid w:val="137A31B8"/>
    <w:rsid w:val="137B1518"/>
    <w:rsid w:val="138C102F"/>
    <w:rsid w:val="138C3762"/>
    <w:rsid w:val="1390200A"/>
    <w:rsid w:val="139A5A83"/>
    <w:rsid w:val="139A5E3D"/>
    <w:rsid w:val="139A7BF0"/>
    <w:rsid w:val="13A445CA"/>
    <w:rsid w:val="13BE2CE4"/>
    <w:rsid w:val="13BE3769"/>
    <w:rsid w:val="13C20EF5"/>
    <w:rsid w:val="13C407C9"/>
    <w:rsid w:val="13C80904"/>
    <w:rsid w:val="13CD41F6"/>
    <w:rsid w:val="13D86F36"/>
    <w:rsid w:val="13E07585"/>
    <w:rsid w:val="13E21884"/>
    <w:rsid w:val="13E250F3"/>
    <w:rsid w:val="13E83E31"/>
    <w:rsid w:val="13EA433B"/>
    <w:rsid w:val="13F37300"/>
    <w:rsid w:val="13F647D2"/>
    <w:rsid w:val="13FD017F"/>
    <w:rsid w:val="1404150D"/>
    <w:rsid w:val="140B464A"/>
    <w:rsid w:val="14100C88"/>
    <w:rsid w:val="14103A0E"/>
    <w:rsid w:val="14226B92"/>
    <w:rsid w:val="14324702"/>
    <w:rsid w:val="1437543F"/>
    <w:rsid w:val="14397409"/>
    <w:rsid w:val="1441006B"/>
    <w:rsid w:val="144227CC"/>
    <w:rsid w:val="14432035"/>
    <w:rsid w:val="1444190A"/>
    <w:rsid w:val="14502BC5"/>
    <w:rsid w:val="14504752"/>
    <w:rsid w:val="14553B17"/>
    <w:rsid w:val="145F0D59"/>
    <w:rsid w:val="145F39B5"/>
    <w:rsid w:val="146C3610"/>
    <w:rsid w:val="146D6339"/>
    <w:rsid w:val="14714D7C"/>
    <w:rsid w:val="14731246"/>
    <w:rsid w:val="1475753B"/>
    <w:rsid w:val="14771AE8"/>
    <w:rsid w:val="147A17CF"/>
    <w:rsid w:val="148152D6"/>
    <w:rsid w:val="14817798"/>
    <w:rsid w:val="14825723"/>
    <w:rsid w:val="148B578A"/>
    <w:rsid w:val="149040D2"/>
    <w:rsid w:val="149A3C1F"/>
    <w:rsid w:val="149C1746"/>
    <w:rsid w:val="149D101A"/>
    <w:rsid w:val="14A800EA"/>
    <w:rsid w:val="14A8633C"/>
    <w:rsid w:val="14AB3737"/>
    <w:rsid w:val="14B11E8D"/>
    <w:rsid w:val="14B14FFE"/>
    <w:rsid w:val="14BA53E4"/>
    <w:rsid w:val="14BB1870"/>
    <w:rsid w:val="14C15FBD"/>
    <w:rsid w:val="14C33176"/>
    <w:rsid w:val="14CB1AD7"/>
    <w:rsid w:val="14CC1982"/>
    <w:rsid w:val="14D577BC"/>
    <w:rsid w:val="14DE3B0C"/>
    <w:rsid w:val="14E248D3"/>
    <w:rsid w:val="14E60C13"/>
    <w:rsid w:val="14EE311D"/>
    <w:rsid w:val="14F055ED"/>
    <w:rsid w:val="14FE5F5C"/>
    <w:rsid w:val="1503683F"/>
    <w:rsid w:val="150809CD"/>
    <w:rsid w:val="15086DDB"/>
    <w:rsid w:val="151039CC"/>
    <w:rsid w:val="15202377"/>
    <w:rsid w:val="152A5E2B"/>
    <w:rsid w:val="152B4878"/>
    <w:rsid w:val="152D0EF1"/>
    <w:rsid w:val="15304F09"/>
    <w:rsid w:val="1542236E"/>
    <w:rsid w:val="15482F55"/>
    <w:rsid w:val="1553008A"/>
    <w:rsid w:val="155E3630"/>
    <w:rsid w:val="15652E85"/>
    <w:rsid w:val="157438D4"/>
    <w:rsid w:val="157818BB"/>
    <w:rsid w:val="157D0980"/>
    <w:rsid w:val="157E352E"/>
    <w:rsid w:val="158431DE"/>
    <w:rsid w:val="158F11A7"/>
    <w:rsid w:val="158F1717"/>
    <w:rsid w:val="159C433B"/>
    <w:rsid w:val="159D0129"/>
    <w:rsid w:val="15A10189"/>
    <w:rsid w:val="15A30D28"/>
    <w:rsid w:val="15B54B72"/>
    <w:rsid w:val="15B55D35"/>
    <w:rsid w:val="15B56E2A"/>
    <w:rsid w:val="15B631FD"/>
    <w:rsid w:val="15C57E6D"/>
    <w:rsid w:val="15C659ED"/>
    <w:rsid w:val="15C72F70"/>
    <w:rsid w:val="15CB091C"/>
    <w:rsid w:val="15D05BBD"/>
    <w:rsid w:val="15D10982"/>
    <w:rsid w:val="15D45280"/>
    <w:rsid w:val="15D50EB5"/>
    <w:rsid w:val="15D834DC"/>
    <w:rsid w:val="15D942D4"/>
    <w:rsid w:val="15DA59AA"/>
    <w:rsid w:val="15DB1268"/>
    <w:rsid w:val="15F15AC1"/>
    <w:rsid w:val="15F224E7"/>
    <w:rsid w:val="15F8661A"/>
    <w:rsid w:val="16061228"/>
    <w:rsid w:val="160752E5"/>
    <w:rsid w:val="1612307E"/>
    <w:rsid w:val="16133201"/>
    <w:rsid w:val="161B58D5"/>
    <w:rsid w:val="161D2412"/>
    <w:rsid w:val="161E6859"/>
    <w:rsid w:val="16257519"/>
    <w:rsid w:val="16281DB8"/>
    <w:rsid w:val="162854A9"/>
    <w:rsid w:val="162C7CB7"/>
    <w:rsid w:val="162D1F80"/>
    <w:rsid w:val="16300397"/>
    <w:rsid w:val="16337E88"/>
    <w:rsid w:val="163750D5"/>
    <w:rsid w:val="164E1DE4"/>
    <w:rsid w:val="16557315"/>
    <w:rsid w:val="165A6A81"/>
    <w:rsid w:val="166455C0"/>
    <w:rsid w:val="16646293"/>
    <w:rsid w:val="1666200B"/>
    <w:rsid w:val="166804DD"/>
    <w:rsid w:val="166A5654"/>
    <w:rsid w:val="167304E2"/>
    <w:rsid w:val="167A5AB7"/>
    <w:rsid w:val="1683496B"/>
    <w:rsid w:val="168A398A"/>
    <w:rsid w:val="168D6569"/>
    <w:rsid w:val="169C7F0D"/>
    <w:rsid w:val="169F118A"/>
    <w:rsid w:val="16A03CA3"/>
    <w:rsid w:val="16A402D4"/>
    <w:rsid w:val="16A53C19"/>
    <w:rsid w:val="16BC6BF9"/>
    <w:rsid w:val="16C304C7"/>
    <w:rsid w:val="16C32FBA"/>
    <w:rsid w:val="16C60419"/>
    <w:rsid w:val="16CB00C0"/>
    <w:rsid w:val="16EB5B18"/>
    <w:rsid w:val="16F05A82"/>
    <w:rsid w:val="16FC5626"/>
    <w:rsid w:val="1702234F"/>
    <w:rsid w:val="17027C18"/>
    <w:rsid w:val="17034063"/>
    <w:rsid w:val="170406BD"/>
    <w:rsid w:val="170415AA"/>
    <w:rsid w:val="17147CB9"/>
    <w:rsid w:val="17157CEB"/>
    <w:rsid w:val="17173305"/>
    <w:rsid w:val="17240306"/>
    <w:rsid w:val="172B1C15"/>
    <w:rsid w:val="172F10C9"/>
    <w:rsid w:val="17325B3B"/>
    <w:rsid w:val="173C25AE"/>
    <w:rsid w:val="17446A3D"/>
    <w:rsid w:val="17463BEB"/>
    <w:rsid w:val="175747D8"/>
    <w:rsid w:val="175A07E0"/>
    <w:rsid w:val="175F13E4"/>
    <w:rsid w:val="176522C3"/>
    <w:rsid w:val="1765521B"/>
    <w:rsid w:val="177611ED"/>
    <w:rsid w:val="177B1687"/>
    <w:rsid w:val="17845DA0"/>
    <w:rsid w:val="178F79B5"/>
    <w:rsid w:val="179207B9"/>
    <w:rsid w:val="1796247C"/>
    <w:rsid w:val="17A11877"/>
    <w:rsid w:val="17AF2468"/>
    <w:rsid w:val="17B4247F"/>
    <w:rsid w:val="17BD5C5B"/>
    <w:rsid w:val="17BE7C25"/>
    <w:rsid w:val="17C16D94"/>
    <w:rsid w:val="17C76AD9"/>
    <w:rsid w:val="17C92852"/>
    <w:rsid w:val="17CD1C16"/>
    <w:rsid w:val="17D00627"/>
    <w:rsid w:val="17D15BAA"/>
    <w:rsid w:val="17D905BB"/>
    <w:rsid w:val="17E458DD"/>
    <w:rsid w:val="17FF272F"/>
    <w:rsid w:val="18037974"/>
    <w:rsid w:val="180453F5"/>
    <w:rsid w:val="180558F4"/>
    <w:rsid w:val="18082CB8"/>
    <w:rsid w:val="1809319E"/>
    <w:rsid w:val="180D7253"/>
    <w:rsid w:val="1811730C"/>
    <w:rsid w:val="181B27DD"/>
    <w:rsid w:val="181F06C4"/>
    <w:rsid w:val="182076AF"/>
    <w:rsid w:val="18251A52"/>
    <w:rsid w:val="18256FA2"/>
    <w:rsid w:val="182757CA"/>
    <w:rsid w:val="183574AF"/>
    <w:rsid w:val="183C08E0"/>
    <w:rsid w:val="183D386E"/>
    <w:rsid w:val="183D6D9C"/>
    <w:rsid w:val="18414ADE"/>
    <w:rsid w:val="184B7080"/>
    <w:rsid w:val="184B770B"/>
    <w:rsid w:val="18553EFB"/>
    <w:rsid w:val="1858486E"/>
    <w:rsid w:val="18602A8A"/>
    <w:rsid w:val="1870271A"/>
    <w:rsid w:val="18725B1B"/>
    <w:rsid w:val="18752231"/>
    <w:rsid w:val="187622AE"/>
    <w:rsid w:val="18787DD4"/>
    <w:rsid w:val="187B08B7"/>
    <w:rsid w:val="187D3DBA"/>
    <w:rsid w:val="187F1162"/>
    <w:rsid w:val="188449CB"/>
    <w:rsid w:val="188B4D90"/>
    <w:rsid w:val="188E3CBD"/>
    <w:rsid w:val="188E5BA7"/>
    <w:rsid w:val="189D5A8C"/>
    <w:rsid w:val="189E1B42"/>
    <w:rsid w:val="18A81B03"/>
    <w:rsid w:val="18B0756E"/>
    <w:rsid w:val="18B15A81"/>
    <w:rsid w:val="18B43502"/>
    <w:rsid w:val="18B941BF"/>
    <w:rsid w:val="18C35FB7"/>
    <w:rsid w:val="18C654B3"/>
    <w:rsid w:val="18CA67BC"/>
    <w:rsid w:val="18DD50D8"/>
    <w:rsid w:val="18E65685"/>
    <w:rsid w:val="18EC33BC"/>
    <w:rsid w:val="18F33745"/>
    <w:rsid w:val="18FF4908"/>
    <w:rsid w:val="190954B9"/>
    <w:rsid w:val="19121B31"/>
    <w:rsid w:val="1912647A"/>
    <w:rsid w:val="191A0E8B"/>
    <w:rsid w:val="192E77EA"/>
    <w:rsid w:val="19397563"/>
    <w:rsid w:val="19406B43"/>
    <w:rsid w:val="19422FB2"/>
    <w:rsid w:val="194B03C0"/>
    <w:rsid w:val="194D1260"/>
    <w:rsid w:val="19513473"/>
    <w:rsid w:val="19616ABA"/>
    <w:rsid w:val="196B16E7"/>
    <w:rsid w:val="19744A3F"/>
    <w:rsid w:val="197B520E"/>
    <w:rsid w:val="198E7A9A"/>
    <w:rsid w:val="198F43E7"/>
    <w:rsid w:val="199030F5"/>
    <w:rsid w:val="19921369"/>
    <w:rsid w:val="19940C3D"/>
    <w:rsid w:val="19A5109C"/>
    <w:rsid w:val="19AF0CB4"/>
    <w:rsid w:val="19B418B8"/>
    <w:rsid w:val="19B84BD7"/>
    <w:rsid w:val="19BF14B9"/>
    <w:rsid w:val="19C72DC1"/>
    <w:rsid w:val="19CA3A5C"/>
    <w:rsid w:val="19CC0292"/>
    <w:rsid w:val="19CF7EC7"/>
    <w:rsid w:val="19D40595"/>
    <w:rsid w:val="19D578FB"/>
    <w:rsid w:val="19E604BC"/>
    <w:rsid w:val="19F426A2"/>
    <w:rsid w:val="19F551E2"/>
    <w:rsid w:val="1A002777"/>
    <w:rsid w:val="1A0538E9"/>
    <w:rsid w:val="1A0B0557"/>
    <w:rsid w:val="1A1104E0"/>
    <w:rsid w:val="1A1324AA"/>
    <w:rsid w:val="1A153EDB"/>
    <w:rsid w:val="1A187AC0"/>
    <w:rsid w:val="1A220D29"/>
    <w:rsid w:val="1A387913"/>
    <w:rsid w:val="1A3B37AF"/>
    <w:rsid w:val="1A420699"/>
    <w:rsid w:val="1A4C32C6"/>
    <w:rsid w:val="1A501008"/>
    <w:rsid w:val="1A511F6A"/>
    <w:rsid w:val="1A56010D"/>
    <w:rsid w:val="1A606D71"/>
    <w:rsid w:val="1A6517C3"/>
    <w:rsid w:val="1A673E83"/>
    <w:rsid w:val="1A6C1BBA"/>
    <w:rsid w:val="1A6C61D4"/>
    <w:rsid w:val="1A7267BE"/>
    <w:rsid w:val="1A75528C"/>
    <w:rsid w:val="1A774E7A"/>
    <w:rsid w:val="1A7806FD"/>
    <w:rsid w:val="1A7D3DC7"/>
    <w:rsid w:val="1A872F16"/>
    <w:rsid w:val="1A896419"/>
    <w:rsid w:val="1A915A23"/>
    <w:rsid w:val="1A954C6D"/>
    <w:rsid w:val="1A9A04D5"/>
    <w:rsid w:val="1AA057BD"/>
    <w:rsid w:val="1AAE21D3"/>
    <w:rsid w:val="1AAF077D"/>
    <w:rsid w:val="1AB01AA7"/>
    <w:rsid w:val="1AB27051"/>
    <w:rsid w:val="1AB75C63"/>
    <w:rsid w:val="1ABF1CEA"/>
    <w:rsid w:val="1AC02F72"/>
    <w:rsid w:val="1AC13CB4"/>
    <w:rsid w:val="1AC612CA"/>
    <w:rsid w:val="1ACC25A2"/>
    <w:rsid w:val="1ACF725C"/>
    <w:rsid w:val="1AE57BC5"/>
    <w:rsid w:val="1AED2CFB"/>
    <w:rsid w:val="1AF0002E"/>
    <w:rsid w:val="1AF67FA6"/>
    <w:rsid w:val="1AF75928"/>
    <w:rsid w:val="1AFC119B"/>
    <w:rsid w:val="1B0D1A1F"/>
    <w:rsid w:val="1B0E67CD"/>
    <w:rsid w:val="1B1508E4"/>
    <w:rsid w:val="1B172C74"/>
    <w:rsid w:val="1B183432"/>
    <w:rsid w:val="1B186F81"/>
    <w:rsid w:val="1B2F50C2"/>
    <w:rsid w:val="1B363FB3"/>
    <w:rsid w:val="1B3D5227"/>
    <w:rsid w:val="1B434A71"/>
    <w:rsid w:val="1B482BAE"/>
    <w:rsid w:val="1B4865C8"/>
    <w:rsid w:val="1B487750"/>
    <w:rsid w:val="1B5C7641"/>
    <w:rsid w:val="1B5E7B86"/>
    <w:rsid w:val="1B635D7C"/>
    <w:rsid w:val="1B6805D3"/>
    <w:rsid w:val="1B6B5508"/>
    <w:rsid w:val="1B6F1962"/>
    <w:rsid w:val="1B6F54BE"/>
    <w:rsid w:val="1B710A03"/>
    <w:rsid w:val="1B731DBB"/>
    <w:rsid w:val="1B7E7DF7"/>
    <w:rsid w:val="1B7F1E29"/>
    <w:rsid w:val="1B844ABD"/>
    <w:rsid w:val="1B8A22F8"/>
    <w:rsid w:val="1B8C2FC4"/>
    <w:rsid w:val="1B8F5B61"/>
    <w:rsid w:val="1B925650"/>
    <w:rsid w:val="1B9312CC"/>
    <w:rsid w:val="1B935744"/>
    <w:rsid w:val="1B9A4616"/>
    <w:rsid w:val="1B9C027D"/>
    <w:rsid w:val="1BA535D6"/>
    <w:rsid w:val="1BAB17A1"/>
    <w:rsid w:val="1BAD248A"/>
    <w:rsid w:val="1BAF6202"/>
    <w:rsid w:val="1BB750B7"/>
    <w:rsid w:val="1BB9458C"/>
    <w:rsid w:val="1BD21EF1"/>
    <w:rsid w:val="1BD73063"/>
    <w:rsid w:val="1BD90B08"/>
    <w:rsid w:val="1BDD0015"/>
    <w:rsid w:val="1BF03128"/>
    <w:rsid w:val="1BF260EF"/>
    <w:rsid w:val="1BF34341"/>
    <w:rsid w:val="1BF70FEB"/>
    <w:rsid w:val="1BFC7609"/>
    <w:rsid w:val="1C052907"/>
    <w:rsid w:val="1C095F95"/>
    <w:rsid w:val="1C0C5403"/>
    <w:rsid w:val="1C122873"/>
    <w:rsid w:val="1C174926"/>
    <w:rsid w:val="1C2B1935"/>
    <w:rsid w:val="1C2B50C5"/>
    <w:rsid w:val="1C3162F7"/>
    <w:rsid w:val="1C3465FE"/>
    <w:rsid w:val="1C3D34E0"/>
    <w:rsid w:val="1C407C61"/>
    <w:rsid w:val="1C424981"/>
    <w:rsid w:val="1C4F49A6"/>
    <w:rsid w:val="1C585975"/>
    <w:rsid w:val="1C594000"/>
    <w:rsid w:val="1C5F7351"/>
    <w:rsid w:val="1C6E39C8"/>
    <w:rsid w:val="1C6E4240"/>
    <w:rsid w:val="1C7162B9"/>
    <w:rsid w:val="1C73703B"/>
    <w:rsid w:val="1C7B4C46"/>
    <w:rsid w:val="1C8036FB"/>
    <w:rsid w:val="1CA23671"/>
    <w:rsid w:val="1CA90EA4"/>
    <w:rsid w:val="1CA94462"/>
    <w:rsid w:val="1CB11538"/>
    <w:rsid w:val="1CB15B56"/>
    <w:rsid w:val="1CB21A1A"/>
    <w:rsid w:val="1CC309C7"/>
    <w:rsid w:val="1CD37CCF"/>
    <w:rsid w:val="1CD76DC7"/>
    <w:rsid w:val="1CD777BF"/>
    <w:rsid w:val="1CDD79E7"/>
    <w:rsid w:val="1CE01DF0"/>
    <w:rsid w:val="1CE20682"/>
    <w:rsid w:val="1CE4506C"/>
    <w:rsid w:val="1CF60711"/>
    <w:rsid w:val="1D027701"/>
    <w:rsid w:val="1D034197"/>
    <w:rsid w:val="1D0453B6"/>
    <w:rsid w:val="1D0779F4"/>
    <w:rsid w:val="1D0D796C"/>
    <w:rsid w:val="1D1247BD"/>
    <w:rsid w:val="1D1A60BF"/>
    <w:rsid w:val="1D232A04"/>
    <w:rsid w:val="1D31526B"/>
    <w:rsid w:val="1D322AF4"/>
    <w:rsid w:val="1D402711"/>
    <w:rsid w:val="1D41530D"/>
    <w:rsid w:val="1D4E2424"/>
    <w:rsid w:val="1D5726AE"/>
    <w:rsid w:val="1D5801D4"/>
    <w:rsid w:val="1D5E7D05"/>
    <w:rsid w:val="1D5F3925"/>
    <w:rsid w:val="1D631052"/>
    <w:rsid w:val="1D7059A8"/>
    <w:rsid w:val="1D706292"/>
    <w:rsid w:val="1D771F63"/>
    <w:rsid w:val="1D792624"/>
    <w:rsid w:val="1D877D51"/>
    <w:rsid w:val="1D916391"/>
    <w:rsid w:val="1D9531D6"/>
    <w:rsid w:val="1D9A77F3"/>
    <w:rsid w:val="1DA13929"/>
    <w:rsid w:val="1DA151FB"/>
    <w:rsid w:val="1DA72E39"/>
    <w:rsid w:val="1DA922D4"/>
    <w:rsid w:val="1DAD5CC1"/>
    <w:rsid w:val="1DAF11C4"/>
    <w:rsid w:val="1DB07CC0"/>
    <w:rsid w:val="1DB22149"/>
    <w:rsid w:val="1DB6051E"/>
    <w:rsid w:val="1DB93368"/>
    <w:rsid w:val="1DD3151F"/>
    <w:rsid w:val="1DDC7057"/>
    <w:rsid w:val="1DDF37CB"/>
    <w:rsid w:val="1DE83638"/>
    <w:rsid w:val="1DE860DD"/>
    <w:rsid w:val="1DEA1774"/>
    <w:rsid w:val="1DED4DC0"/>
    <w:rsid w:val="1DF466B5"/>
    <w:rsid w:val="1DF61EC7"/>
    <w:rsid w:val="1E004AF3"/>
    <w:rsid w:val="1E006691"/>
    <w:rsid w:val="1E05035C"/>
    <w:rsid w:val="1E0A4D56"/>
    <w:rsid w:val="1E0A5972"/>
    <w:rsid w:val="1E0F11DA"/>
    <w:rsid w:val="1E200CF1"/>
    <w:rsid w:val="1E30214B"/>
    <w:rsid w:val="1E332637"/>
    <w:rsid w:val="1E3326C0"/>
    <w:rsid w:val="1E3723A2"/>
    <w:rsid w:val="1E3B0DA8"/>
    <w:rsid w:val="1E3E228F"/>
    <w:rsid w:val="1E3E561C"/>
    <w:rsid w:val="1E3F6C3A"/>
    <w:rsid w:val="1E54477C"/>
    <w:rsid w:val="1E544E3F"/>
    <w:rsid w:val="1E5767C3"/>
    <w:rsid w:val="1E58492F"/>
    <w:rsid w:val="1E595BF3"/>
    <w:rsid w:val="1E5B76B2"/>
    <w:rsid w:val="1E5D0198"/>
    <w:rsid w:val="1E71154D"/>
    <w:rsid w:val="1E785259"/>
    <w:rsid w:val="1E7D4396"/>
    <w:rsid w:val="1E7F679A"/>
    <w:rsid w:val="1E8170BF"/>
    <w:rsid w:val="1E82681D"/>
    <w:rsid w:val="1E8E0351"/>
    <w:rsid w:val="1E935967"/>
    <w:rsid w:val="1E960FB4"/>
    <w:rsid w:val="1E9774EC"/>
    <w:rsid w:val="1EA24B43"/>
    <w:rsid w:val="1EB1440B"/>
    <w:rsid w:val="1EB264EF"/>
    <w:rsid w:val="1EBA1146"/>
    <w:rsid w:val="1EBF675C"/>
    <w:rsid w:val="1EC14D9D"/>
    <w:rsid w:val="1EC71AB5"/>
    <w:rsid w:val="1EC93137"/>
    <w:rsid w:val="1EC975DB"/>
    <w:rsid w:val="1EDB10BC"/>
    <w:rsid w:val="1EDC58EB"/>
    <w:rsid w:val="1EDD5DEA"/>
    <w:rsid w:val="1EDF00C6"/>
    <w:rsid w:val="1EE40F06"/>
    <w:rsid w:val="1EE639F6"/>
    <w:rsid w:val="1EE839AA"/>
    <w:rsid w:val="1EF53A59"/>
    <w:rsid w:val="1EF94842"/>
    <w:rsid w:val="1F016D75"/>
    <w:rsid w:val="1F0C40F4"/>
    <w:rsid w:val="1F0E65DF"/>
    <w:rsid w:val="1F100D66"/>
    <w:rsid w:val="1F17089A"/>
    <w:rsid w:val="1F190944"/>
    <w:rsid w:val="1F1F369F"/>
    <w:rsid w:val="1F310593"/>
    <w:rsid w:val="1F3A2EC9"/>
    <w:rsid w:val="1F404DD2"/>
    <w:rsid w:val="1F451F92"/>
    <w:rsid w:val="1F5275D0"/>
    <w:rsid w:val="1F5350F7"/>
    <w:rsid w:val="1F5642FC"/>
    <w:rsid w:val="1F5C044F"/>
    <w:rsid w:val="1F62533A"/>
    <w:rsid w:val="1F63358C"/>
    <w:rsid w:val="1F672950"/>
    <w:rsid w:val="1F6B2440"/>
    <w:rsid w:val="1F6D3B5D"/>
    <w:rsid w:val="1F7262BF"/>
    <w:rsid w:val="1F7315FD"/>
    <w:rsid w:val="1F7A20A3"/>
    <w:rsid w:val="1F7D59F7"/>
    <w:rsid w:val="1F7F3E57"/>
    <w:rsid w:val="1F7F5EEC"/>
    <w:rsid w:val="1F841754"/>
    <w:rsid w:val="1F8777BF"/>
    <w:rsid w:val="1F8A60CC"/>
    <w:rsid w:val="1F8D23B7"/>
    <w:rsid w:val="1F927768"/>
    <w:rsid w:val="1F974FE3"/>
    <w:rsid w:val="1F977940"/>
    <w:rsid w:val="1F9F20EA"/>
    <w:rsid w:val="1FAA2B29"/>
    <w:rsid w:val="1FAE5406"/>
    <w:rsid w:val="1FB47A5D"/>
    <w:rsid w:val="1FC12D40"/>
    <w:rsid w:val="1FCE373D"/>
    <w:rsid w:val="1FD5031B"/>
    <w:rsid w:val="1FD60C92"/>
    <w:rsid w:val="1FD9747B"/>
    <w:rsid w:val="1FD9754F"/>
    <w:rsid w:val="1FEE3C71"/>
    <w:rsid w:val="1FEF10F4"/>
    <w:rsid w:val="1FEF6BCD"/>
    <w:rsid w:val="1FF97A4C"/>
    <w:rsid w:val="1FFD0A09"/>
    <w:rsid w:val="20000DDB"/>
    <w:rsid w:val="20076707"/>
    <w:rsid w:val="200777D4"/>
    <w:rsid w:val="20097C80"/>
    <w:rsid w:val="200A1C59"/>
    <w:rsid w:val="200F0416"/>
    <w:rsid w:val="200F071D"/>
    <w:rsid w:val="20124FB2"/>
    <w:rsid w:val="201B5A3A"/>
    <w:rsid w:val="202251F5"/>
    <w:rsid w:val="202B4E25"/>
    <w:rsid w:val="20326B91"/>
    <w:rsid w:val="20442539"/>
    <w:rsid w:val="2045234B"/>
    <w:rsid w:val="204F3B10"/>
    <w:rsid w:val="205077FE"/>
    <w:rsid w:val="205739C6"/>
    <w:rsid w:val="20621A95"/>
    <w:rsid w:val="20651585"/>
    <w:rsid w:val="206D1FC1"/>
    <w:rsid w:val="207600A7"/>
    <w:rsid w:val="207728D1"/>
    <w:rsid w:val="20823B9E"/>
    <w:rsid w:val="208D6830"/>
    <w:rsid w:val="209634ED"/>
    <w:rsid w:val="20A0436C"/>
    <w:rsid w:val="20AC7E9E"/>
    <w:rsid w:val="20AE6A88"/>
    <w:rsid w:val="20AF2A2B"/>
    <w:rsid w:val="20B06DD3"/>
    <w:rsid w:val="20C20786"/>
    <w:rsid w:val="20C30F68"/>
    <w:rsid w:val="20C937CC"/>
    <w:rsid w:val="20D61C4E"/>
    <w:rsid w:val="20DA037C"/>
    <w:rsid w:val="20E029BA"/>
    <w:rsid w:val="20E73D48"/>
    <w:rsid w:val="21090163"/>
    <w:rsid w:val="210A78C1"/>
    <w:rsid w:val="211641D5"/>
    <w:rsid w:val="211D706E"/>
    <w:rsid w:val="212233C8"/>
    <w:rsid w:val="21250AF1"/>
    <w:rsid w:val="214112A9"/>
    <w:rsid w:val="21450B9F"/>
    <w:rsid w:val="21486EDD"/>
    <w:rsid w:val="215313DE"/>
    <w:rsid w:val="2153426A"/>
    <w:rsid w:val="21552C79"/>
    <w:rsid w:val="215D2F53"/>
    <w:rsid w:val="215F4DCD"/>
    <w:rsid w:val="217630C8"/>
    <w:rsid w:val="217B481E"/>
    <w:rsid w:val="217C68FB"/>
    <w:rsid w:val="21814864"/>
    <w:rsid w:val="21821CC3"/>
    <w:rsid w:val="21853131"/>
    <w:rsid w:val="219209AE"/>
    <w:rsid w:val="21966074"/>
    <w:rsid w:val="219B5EA6"/>
    <w:rsid w:val="219E45EB"/>
    <w:rsid w:val="21AC5E36"/>
    <w:rsid w:val="21AD71AC"/>
    <w:rsid w:val="21AF7F27"/>
    <w:rsid w:val="21B6105F"/>
    <w:rsid w:val="21C83B7A"/>
    <w:rsid w:val="21D268D1"/>
    <w:rsid w:val="21D86B82"/>
    <w:rsid w:val="21DF7ADC"/>
    <w:rsid w:val="21E408A9"/>
    <w:rsid w:val="21E62252"/>
    <w:rsid w:val="21E800AB"/>
    <w:rsid w:val="21E83A2C"/>
    <w:rsid w:val="21EF55AB"/>
    <w:rsid w:val="21F31263"/>
    <w:rsid w:val="21F5629F"/>
    <w:rsid w:val="21FC4D42"/>
    <w:rsid w:val="22001EA8"/>
    <w:rsid w:val="22021204"/>
    <w:rsid w:val="220646A2"/>
    <w:rsid w:val="2212736A"/>
    <w:rsid w:val="22146294"/>
    <w:rsid w:val="22166E27"/>
    <w:rsid w:val="221A3776"/>
    <w:rsid w:val="221B2F81"/>
    <w:rsid w:val="22201EA1"/>
    <w:rsid w:val="222515C0"/>
    <w:rsid w:val="222601B8"/>
    <w:rsid w:val="222C6A9F"/>
    <w:rsid w:val="2234120F"/>
    <w:rsid w:val="223573AF"/>
    <w:rsid w:val="223728B2"/>
    <w:rsid w:val="22383517"/>
    <w:rsid w:val="22460F43"/>
    <w:rsid w:val="224A0705"/>
    <w:rsid w:val="22525B39"/>
    <w:rsid w:val="225E0C71"/>
    <w:rsid w:val="226024F6"/>
    <w:rsid w:val="226118D9"/>
    <w:rsid w:val="226338A3"/>
    <w:rsid w:val="22681AF0"/>
    <w:rsid w:val="22683081"/>
    <w:rsid w:val="2273396A"/>
    <w:rsid w:val="227A65A4"/>
    <w:rsid w:val="228468C6"/>
    <w:rsid w:val="22993768"/>
    <w:rsid w:val="229D32CF"/>
    <w:rsid w:val="229E75D3"/>
    <w:rsid w:val="22A06435"/>
    <w:rsid w:val="22A34CB2"/>
    <w:rsid w:val="22AA0426"/>
    <w:rsid w:val="22AC2983"/>
    <w:rsid w:val="22AF37F5"/>
    <w:rsid w:val="22B302D9"/>
    <w:rsid w:val="22B71913"/>
    <w:rsid w:val="22BD1205"/>
    <w:rsid w:val="22C75BE0"/>
    <w:rsid w:val="22C844A4"/>
    <w:rsid w:val="22D21D69"/>
    <w:rsid w:val="22D402FC"/>
    <w:rsid w:val="22EB74B2"/>
    <w:rsid w:val="22EF3388"/>
    <w:rsid w:val="22F619EB"/>
    <w:rsid w:val="22F66168"/>
    <w:rsid w:val="22F8048F"/>
    <w:rsid w:val="22F84AE5"/>
    <w:rsid w:val="22F95B04"/>
    <w:rsid w:val="23052BAC"/>
    <w:rsid w:val="23073E84"/>
    <w:rsid w:val="230760A9"/>
    <w:rsid w:val="230A6F25"/>
    <w:rsid w:val="231164F7"/>
    <w:rsid w:val="23171A2D"/>
    <w:rsid w:val="231A5500"/>
    <w:rsid w:val="23217258"/>
    <w:rsid w:val="232337B4"/>
    <w:rsid w:val="232C638A"/>
    <w:rsid w:val="233D0598"/>
    <w:rsid w:val="233F7861"/>
    <w:rsid w:val="2343765F"/>
    <w:rsid w:val="23447230"/>
    <w:rsid w:val="23531D85"/>
    <w:rsid w:val="235356C5"/>
    <w:rsid w:val="23580F2E"/>
    <w:rsid w:val="235B7191"/>
    <w:rsid w:val="235C3F0C"/>
    <w:rsid w:val="236F6BEA"/>
    <w:rsid w:val="237422B9"/>
    <w:rsid w:val="2377323E"/>
    <w:rsid w:val="23810484"/>
    <w:rsid w:val="238F1045"/>
    <w:rsid w:val="23952F37"/>
    <w:rsid w:val="239F4C4F"/>
    <w:rsid w:val="23A10B26"/>
    <w:rsid w:val="23A202CD"/>
    <w:rsid w:val="23B019B9"/>
    <w:rsid w:val="23B9525D"/>
    <w:rsid w:val="23BD102E"/>
    <w:rsid w:val="23BF0FAD"/>
    <w:rsid w:val="23BF7CE0"/>
    <w:rsid w:val="23D031BA"/>
    <w:rsid w:val="23D83E1C"/>
    <w:rsid w:val="23D9206E"/>
    <w:rsid w:val="23E348DF"/>
    <w:rsid w:val="23E81414"/>
    <w:rsid w:val="23E94A37"/>
    <w:rsid w:val="23EB1DA2"/>
    <w:rsid w:val="23F5677C"/>
    <w:rsid w:val="23FC7C0D"/>
    <w:rsid w:val="23FE7D27"/>
    <w:rsid w:val="23FF441C"/>
    <w:rsid w:val="2401791F"/>
    <w:rsid w:val="240A6118"/>
    <w:rsid w:val="240D265F"/>
    <w:rsid w:val="2411121D"/>
    <w:rsid w:val="24131063"/>
    <w:rsid w:val="24155071"/>
    <w:rsid w:val="241629E9"/>
    <w:rsid w:val="241D32F4"/>
    <w:rsid w:val="24247062"/>
    <w:rsid w:val="24286B52"/>
    <w:rsid w:val="24295CCE"/>
    <w:rsid w:val="242A482E"/>
    <w:rsid w:val="242E5732"/>
    <w:rsid w:val="243517B6"/>
    <w:rsid w:val="24395E35"/>
    <w:rsid w:val="244061E6"/>
    <w:rsid w:val="24432C1B"/>
    <w:rsid w:val="244B547E"/>
    <w:rsid w:val="244D52CB"/>
    <w:rsid w:val="245473A9"/>
    <w:rsid w:val="245768BA"/>
    <w:rsid w:val="245869F4"/>
    <w:rsid w:val="246D27B7"/>
    <w:rsid w:val="247413E0"/>
    <w:rsid w:val="247D4CF8"/>
    <w:rsid w:val="247D50F0"/>
    <w:rsid w:val="247E40AC"/>
    <w:rsid w:val="2480698E"/>
    <w:rsid w:val="24816262"/>
    <w:rsid w:val="24856D25"/>
    <w:rsid w:val="248B2440"/>
    <w:rsid w:val="248F0784"/>
    <w:rsid w:val="249266C1"/>
    <w:rsid w:val="24952D5A"/>
    <w:rsid w:val="2499362A"/>
    <w:rsid w:val="249D3020"/>
    <w:rsid w:val="24A501A2"/>
    <w:rsid w:val="24A65CC9"/>
    <w:rsid w:val="24A75B2E"/>
    <w:rsid w:val="24AD1699"/>
    <w:rsid w:val="24C26FA6"/>
    <w:rsid w:val="24C4336F"/>
    <w:rsid w:val="24C46990"/>
    <w:rsid w:val="24CA69A8"/>
    <w:rsid w:val="24D171E9"/>
    <w:rsid w:val="24D4317A"/>
    <w:rsid w:val="24E15DEE"/>
    <w:rsid w:val="24E32626"/>
    <w:rsid w:val="24E52E58"/>
    <w:rsid w:val="24E94533"/>
    <w:rsid w:val="24F30B15"/>
    <w:rsid w:val="24F37160"/>
    <w:rsid w:val="24F46070"/>
    <w:rsid w:val="250C710F"/>
    <w:rsid w:val="25113A8A"/>
    <w:rsid w:val="25132F85"/>
    <w:rsid w:val="251610A0"/>
    <w:rsid w:val="251A117C"/>
    <w:rsid w:val="25201F1F"/>
    <w:rsid w:val="252803B5"/>
    <w:rsid w:val="25333A00"/>
    <w:rsid w:val="2533755C"/>
    <w:rsid w:val="2537799C"/>
    <w:rsid w:val="253E7040"/>
    <w:rsid w:val="2548391D"/>
    <w:rsid w:val="254C7172"/>
    <w:rsid w:val="254F1F39"/>
    <w:rsid w:val="255816B9"/>
    <w:rsid w:val="255D0A7D"/>
    <w:rsid w:val="25643F3A"/>
    <w:rsid w:val="256F3F40"/>
    <w:rsid w:val="25723A60"/>
    <w:rsid w:val="25760785"/>
    <w:rsid w:val="25783EC9"/>
    <w:rsid w:val="257B138A"/>
    <w:rsid w:val="257B7624"/>
    <w:rsid w:val="258527A7"/>
    <w:rsid w:val="258D2929"/>
    <w:rsid w:val="258D4816"/>
    <w:rsid w:val="2590738E"/>
    <w:rsid w:val="25910727"/>
    <w:rsid w:val="259A3AD9"/>
    <w:rsid w:val="259D761D"/>
    <w:rsid w:val="25A94A26"/>
    <w:rsid w:val="25B17B16"/>
    <w:rsid w:val="25B66729"/>
    <w:rsid w:val="25B76642"/>
    <w:rsid w:val="25B82157"/>
    <w:rsid w:val="25C1725E"/>
    <w:rsid w:val="25C22111"/>
    <w:rsid w:val="25C82446"/>
    <w:rsid w:val="25C8430A"/>
    <w:rsid w:val="25C96F0A"/>
    <w:rsid w:val="25CB455E"/>
    <w:rsid w:val="25DA3E7C"/>
    <w:rsid w:val="25E371D4"/>
    <w:rsid w:val="25E51477"/>
    <w:rsid w:val="25F54811"/>
    <w:rsid w:val="25F62CFC"/>
    <w:rsid w:val="25F64B7C"/>
    <w:rsid w:val="25FD7B6A"/>
    <w:rsid w:val="260128E8"/>
    <w:rsid w:val="26062EC3"/>
    <w:rsid w:val="2609148A"/>
    <w:rsid w:val="260B3182"/>
    <w:rsid w:val="260F70FF"/>
    <w:rsid w:val="26153106"/>
    <w:rsid w:val="262F0D18"/>
    <w:rsid w:val="26325116"/>
    <w:rsid w:val="263D781A"/>
    <w:rsid w:val="26415CA9"/>
    <w:rsid w:val="264B009A"/>
    <w:rsid w:val="264E1CAE"/>
    <w:rsid w:val="2665242F"/>
    <w:rsid w:val="2670250C"/>
    <w:rsid w:val="26752256"/>
    <w:rsid w:val="267861A3"/>
    <w:rsid w:val="268112C4"/>
    <w:rsid w:val="268905CA"/>
    <w:rsid w:val="268A7650"/>
    <w:rsid w:val="268F2EB8"/>
    <w:rsid w:val="269828A5"/>
    <w:rsid w:val="26A050C5"/>
    <w:rsid w:val="26AF35E4"/>
    <w:rsid w:val="26B02E2F"/>
    <w:rsid w:val="26B44232"/>
    <w:rsid w:val="26BB3CAD"/>
    <w:rsid w:val="26BE7742"/>
    <w:rsid w:val="26C358C3"/>
    <w:rsid w:val="26C848AF"/>
    <w:rsid w:val="26DD354F"/>
    <w:rsid w:val="26DE5BEE"/>
    <w:rsid w:val="26E33204"/>
    <w:rsid w:val="26E90E79"/>
    <w:rsid w:val="26E95D2B"/>
    <w:rsid w:val="26F947D6"/>
    <w:rsid w:val="26FD2518"/>
    <w:rsid w:val="27012636"/>
    <w:rsid w:val="27075144"/>
    <w:rsid w:val="270C21CD"/>
    <w:rsid w:val="270D202F"/>
    <w:rsid w:val="27167136"/>
    <w:rsid w:val="271F7DC1"/>
    <w:rsid w:val="27206206"/>
    <w:rsid w:val="27253750"/>
    <w:rsid w:val="272555CB"/>
    <w:rsid w:val="272D447F"/>
    <w:rsid w:val="27374E33"/>
    <w:rsid w:val="273839B0"/>
    <w:rsid w:val="27383B65"/>
    <w:rsid w:val="273B0515"/>
    <w:rsid w:val="276458D2"/>
    <w:rsid w:val="27684DF9"/>
    <w:rsid w:val="276A7481"/>
    <w:rsid w:val="27765CCC"/>
    <w:rsid w:val="277C5E24"/>
    <w:rsid w:val="277D4ED1"/>
    <w:rsid w:val="27846795"/>
    <w:rsid w:val="27905B89"/>
    <w:rsid w:val="2796077F"/>
    <w:rsid w:val="27966BFF"/>
    <w:rsid w:val="27985A3D"/>
    <w:rsid w:val="279A7D67"/>
    <w:rsid w:val="27A33524"/>
    <w:rsid w:val="27AA7420"/>
    <w:rsid w:val="27AB7A4E"/>
    <w:rsid w:val="27B626C7"/>
    <w:rsid w:val="27BC14D7"/>
    <w:rsid w:val="27BD29B1"/>
    <w:rsid w:val="27BE6A79"/>
    <w:rsid w:val="27BF552C"/>
    <w:rsid w:val="27C707A9"/>
    <w:rsid w:val="27C84502"/>
    <w:rsid w:val="27CA1C33"/>
    <w:rsid w:val="27D06765"/>
    <w:rsid w:val="27D247DE"/>
    <w:rsid w:val="27D846D9"/>
    <w:rsid w:val="27E61803"/>
    <w:rsid w:val="27E6222F"/>
    <w:rsid w:val="27EF6F5A"/>
    <w:rsid w:val="27F531EF"/>
    <w:rsid w:val="27F84A8D"/>
    <w:rsid w:val="280904EA"/>
    <w:rsid w:val="28096127"/>
    <w:rsid w:val="280B0E76"/>
    <w:rsid w:val="280C22E7"/>
    <w:rsid w:val="280C74C5"/>
    <w:rsid w:val="28251BDD"/>
    <w:rsid w:val="2833397B"/>
    <w:rsid w:val="283A32F8"/>
    <w:rsid w:val="283B6BFB"/>
    <w:rsid w:val="284642ED"/>
    <w:rsid w:val="285271CA"/>
    <w:rsid w:val="28582E70"/>
    <w:rsid w:val="285F65B6"/>
    <w:rsid w:val="28634B22"/>
    <w:rsid w:val="28645A2F"/>
    <w:rsid w:val="28650375"/>
    <w:rsid w:val="286D0FD7"/>
    <w:rsid w:val="286D29E1"/>
    <w:rsid w:val="28724E88"/>
    <w:rsid w:val="2874680A"/>
    <w:rsid w:val="287C74F6"/>
    <w:rsid w:val="2886653D"/>
    <w:rsid w:val="288C2D07"/>
    <w:rsid w:val="28900897"/>
    <w:rsid w:val="2890116A"/>
    <w:rsid w:val="289D6624"/>
    <w:rsid w:val="289F15C5"/>
    <w:rsid w:val="28A54C15"/>
    <w:rsid w:val="28B15FA0"/>
    <w:rsid w:val="28C11538"/>
    <w:rsid w:val="28C725F5"/>
    <w:rsid w:val="28CA467C"/>
    <w:rsid w:val="28E229A0"/>
    <w:rsid w:val="28EF3AAA"/>
    <w:rsid w:val="28F83DC7"/>
    <w:rsid w:val="29032B32"/>
    <w:rsid w:val="29032EE2"/>
    <w:rsid w:val="290B3B64"/>
    <w:rsid w:val="291267F2"/>
    <w:rsid w:val="29127DD1"/>
    <w:rsid w:val="291D0C4F"/>
    <w:rsid w:val="291F622A"/>
    <w:rsid w:val="2920429C"/>
    <w:rsid w:val="292240FA"/>
    <w:rsid w:val="292902AA"/>
    <w:rsid w:val="29290B96"/>
    <w:rsid w:val="292E42A9"/>
    <w:rsid w:val="29312005"/>
    <w:rsid w:val="293E3388"/>
    <w:rsid w:val="293F0948"/>
    <w:rsid w:val="2941623D"/>
    <w:rsid w:val="294E3588"/>
    <w:rsid w:val="29521D5A"/>
    <w:rsid w:val="295403E9"/>
    <w:rsid w:val="296B7436"/>
    <w:rsid w:val="29722B97"/>
    <w:rsid w:val="29734BB0"/>
    <w:rsid w:val="29767F03"/>
    <w:rsid w:val="298D720A"/>
    <w:rsid w:val="298F3DBD"/>
    <w:rsid w:val="29927D26"/>
    <w:rsid w:val="29955DFC"/>
    <w:rsid w:val="2996455E"/>
    <w:rsid w:val="29A41A70"/>
    <w:rsid w:val="29A54DCE"/>
    <w:rsid w:val="29A719C6"/>
    <w:rsid w:val="29A749BD"/>
    <w:rsid w:val="29AD4C74"/>
    <w:rsid w:val="29BB4EA8"/>
    <w:rsid w:val="29BF3AB4"/>
    <w:rsid w:val="29C42E79"/>
    <w:rsid w:val="29C6273B"/>
    <w:rsid w:val="29CE407F"/>
    <w:rsid w:val="29CF1ECE"/>
    <w:rsid w:val="29CF741C"/>
    <w:rsid w:val="29D1040C"/>
    <w:rsid w:val="29D60CAE"/>
    <w:rsid w:val="29E86F14"/>
    <w:rsid w:val="29EA4D09"/>
    <w:rsid w:val="29F04DFA"/>
    <w:rsid w:val="29F37C02"/>
    <w:rsid w:val="29F766E0"/>
    <w:rsid w:val="2A032C08"/>
    <w:rsid w:val="2A1040EC"/>
    <w:rsid w:val="2A147CCF"/>
    <w:rsid w:val="2A171A08"/>
    <w:rsid w:val="2A1868BB"/>
    <w:rsid w:val="2A2102CB"/>
    <w:rsid w:val="2A351FC9"/>
    <w:rsid w:val="2A442A19"/>
    <w:rsid w:val="2A4807CC"/>
    <w:rsid w:val="2A491EB3"/>
    <w:rsid w:val="2A496F8C"/>
    <w:rsid w:val="2A4C7DF6"/>
    <w:rsid w:val="2A4D10C0"/>
    <w:rsid w:val="2A4E6BE6"/>
    <w:rsid w:val="2A4E7734"/>
    <w:rsid w:val="2A522B7B"/>
    <w:rsid w:val="2A593279"/>
    <w:rsid w:val="2A5C071E"/>
    <w:rsid w:val="2A6401B8"/>
    <w:rsid w:val="2A64465C"/>
    <w:rsid w:val="2A720B27"/>
    <w:rsid w:val="2A7356B5"/>
    <w:rsid w:val="2A751673"/>
    <w:rsid w:val="2A8048C3"/>
    <w:rsid w:val="2A84005F"/>
    <w:rsid w:val="2A842608"/>
    <w:rsid w:val="2A924BFE"/>
    <w:rsid w:val="2A9A6053"/>
    <w:rsid w:val="2A9B3DE9"/>
    <w:rsid w:val="2A9F369B"/>
    <w:rsid w:val="2AA016B4"/>
    <w:rsid w:val="2AA4607A"/>
    <w:rsid w:val="2AA54D8A"/>
    <w:rsid w:val="2AA55E34"/>
    <w:rsid w:val="2AAB67C7"/>
    <w:rsid w:val="2AAD37D1"/>
    <w:rsid w:val="2AAE0639"/>
    <w:rsid w:val="2AB26B7A"/>
    <w:rsid w:val="2AB47391"/>
    <w:rsid w:val="2AC25434"/>
    <w:rsid w:val="2ACB5D43"/>
    <w:rsid w:val="2AD01CF1"/>
    <w:rsid w:val="2AD0542B"/>
    <w:rsid w:val="2AD10E49"/>
    <w:rsid w:val="2AD5737D"/>
    <w:rsid w:val="2ADD010A"/>
    <w:rsid w:val="2ADE7F6A"/>
    <w:rsid w:val="2AED19FF"/>
    <w:rsid w:val="2AF07C9E"/>
    <w:rsid w:val="2AF36B65"/>
    <w:rsid w:val="2B0660B7"/>
    <w:rsid w:val="2B0875CE"/>
    <w:rsid w:val="2B0A396B"/>
    <w:rsid w:val="2B0F6B07"/>
    <w:rsid w:val="2B126377"/>
    <w:rsid w:val="2B2D4AE3"/>
    <w:rsid w:val="2B3134E9"/>
    <w:rsid w:val="2B3202B6"/>
    <w:rsid w:val="2B36061C"/>
    <w:rsid w:val="2B3E0FA0"/>
    <w:rsid w:val="2B510049"/>
    <w:rsid w:val="2B557836"/>
    <w:rsid w:val="2B572574"/>
    <w:rsid w:val="2B5A08D0"/>
    <w:rsid w:val="2B667F60"/>
    <w:rsid w:val="2B69017C"/>
    <w:rsid w:val="2B6E554D"/>
    <w:rsid w:val="2B7611C7"/>
    <w:rsid w:val="2B791AF2"/>
    <w:rsid w:val="2B844FB6"/>
    <w:rsid w:val="2B8F687A"/>
    <w:rsid w:val="2B940F71"/>
    <w:rsid w:val="2BA56A93"/>
    <w:rsid w:val="2BA85BC6"/>
    <w:rsid w:val="2BA90AFF"/>
    <w:rsid w:val="2BAB4636"/>
    <w:rsid w:val="2BB40CC1"/>
    <w:rsid w:val="2BBA2DC6"/>
    <w:rsid w:val="2BBC1957"/>
    <w:rsid w:val="2BC82763"/>
    <w:rsid w:val="2BCC434A"/>
    <w:rsid w:val="2BD51A91"/>
    <w:rsid w:val="2BDC3774"/>
    <w:rsid w:val="2BDE37AE"/>
    <w:rsid w:val="2BE51F8C"/>
    <w:rsid w:val="2BEA0B91"/>
    <w:rsid w:val="2BF65FB8"/>
    <w:rsid w:val="2BF70A2A"/>
    <w:rsid w:val="2BF74888"/>
    <w:rsid w:val="2BFA0DD4"/>
    <w:rsid w:val="2BFD2672"/>
    <w:rsid w:val="2C0017CF"/>
    <w:rsid w:val="2C050D03"/>
    <w:rsid w:val="2C0F2980"/>
    <w:rsid w:val="2C1018B8"/>
    <w:rsid w:val="2C11436F"/>
    <w:rsid w:val="2C194BB5"/>
    <w:rsid w:val="2C1D0F66"/>
    <w:rsid w:val="2C1D2D14"/>
    <w:rsid w:val="2C1D31BF"/>
    <w:rsid w:val="2C23111B"/>
    <w:rsid w:val="2C2317D2"/>
    <w:rsid w:val="2C2C6466"/>
    <w:rsid w:val="2C3A5674"/>
    <w:rsid w:val="2C463031"/>
    <w:rsid w:val="2C493B09"/>
    <w:rsid w:val="2C4B7922"/>
    <w:rsid w:val="2C4E2B62"/>
    <w:rsid w:val="2C55425C"/>
    <w:rsid w:val="2C5C028E"/>
    <w:rsid w:val="2C5F0F16"/>
    <w:rsid w:val="2C603BD8"/>
    <w:rsid w:val="2C672C51"/>
    <w:rsid w:val="2C681040"/>
    <w:rsid w:val="2C6B3B5E"/>
    <w:rsid w:val="2C7131BD"/>
    <w:rsid w:val="2C783532"/>
    <w:rsid w:val="2C884D17"/>
    <w:rsid w:val="2C8C35C4"/>
    <w:rsid w:val="2C8C4A76"/>
    <w:rsid w:val="2C8E6CA9"/>
    <w:rsid w:val="2C9A6113"/>
    <w:rsid w:val="2C9F6F43"/>
    <w:rsid w:val="2CA451E4"/>
    <w:rsid w:val="2CAC4444"/>
    <w:rsid w:val="2CC82C80"/>
    <w:rsid w:val="2CC939D8"/>
    <w:rsid w:val="2CCA18C5"/>
    <w:rsid w:val="2CCA6FE2"/>
    <w:rsid w:val="2CCF04B2"/>
    <w:rsid w:val="2CD258AD"/>
    <w:rsid w:val="2CD535EF"/>
    <w:rsid w:val="2CD750AA"/>
    <w:rsid w:val="2CD77367"/>
    <w:rsid w:val="2CDD482A"/>
    <w:rsid w:val="2CDE1189"/>
    <w:rsid w:val="2CDE44AA"/>
    <w:rsid w:val="2CE73C42"/>
    <w:rsid w:val="2CEF7FC7"/>
    <w:rsid w:val="2CF47F1C"/>
    <w:rsid w:val="2CF55A3F"/>
    <w:rsid w:val="2D0062DF"/>
    <w:rsid w:val="2D0A533E"/>
    <w:rsid w:val="2D0A773C"/>
    <w:rsid w:val="2D0D2D89"/>
    <w:rsid w:val="2D12039F"/>
    <w:rsid w:val="2D126D46"/>
    <w:rsid w:val="2D1C4D7A"/>
    <w:rsid w:val="2D2B1461"/>
    <w:rsid w:val="2D2C76B3"/>
    <w:rsid w:val="2D3242A5"/>
    <w:rsid w:val="2D3A16A4"/>
    <w:rsid w:val="2D3A4BC3"/>
    <w:rsid w:val="2D3D22C5"/>
    <w:rsid w:val="2D3E2F42"/>
    <w:rsid w:val="2D3E5ABD"/>
    <w:rsid w:val="2D4226B1"/>
    <w:rsid w:val="2D4C68A3"/>
    <w:rsid w:val="2D4F0AE8"/>
    <w:rsid w:val="2D4F15F3"/>
    <w:rsid w:val="2D500C36"/>
    <w:rsid w:val="2D54576D"/>
    <w:rsid w:val="2D6F3383"/>
    <w:rsid w:val="2D755CA2"/>
    <w:rsid w:val="2D79041E"/>
    <w:rsid w:val="2D825525"/>
    <w:rsid w:val="2D886D5A"/>
    <w:rsid w:val="2D8B2245"/>
    <w:rsid w:val="2D8C63A3"/>
    <w:rsid w:val="2D9355BD"/>
    <w:rsid w:val="2D95129E"/>
    <w:rsid w:val="2D9B0395"/>
    <w:rsid w:val="2DA07759"/>
    <w:rsid w:val="2DA21F75"/>
    <w:rsid w:val="2DA3549B"/>
    <w:rsid w:val="2DA51213"/>
    <w:rsid w:val="2DA549D2"/>
    <w:rsid w:val="2DAE5947"/>
    <w:rsid w:val="2DB325A7"/>
    <w:rsid w:val="2DB77A10"/>
    <w:rsid w:val="2DBF4E1C"/>
    <w:rsid w:val="2DC01BA9"/>
    <w:rsid w:val="2DC91181"/>
    <w:rsid w:val="2DCB22F4"/>
    <w:rsid w:val="2DD2603B"/>
    <w:rsid w:val="2DD812B4"/>
    <w:rsid w:val="2DDB5160"/>
    <w:rsid w:val="2DDD09AD"/>
    <w:rsid w:val="2DE0224B"/>
    <w:rsid w:val="2DE02DD3"/>
    <w:rsid w:val="2DE669DF"/>
    <w:rsid w:val="2DF15684"/>
    <w:rsid w:val="2DF96942"/>
    <w:rsid w:val="2DFA397D"/>
    <w:rsid w:val="2E0306E6"/>
    <w:rsid w:val="2E0B376C"/>
    <w:rsid w:val="2E0C4DEE"/>
    <w:rsid w:val="2E136B20"/>
    <w:rsid w:val="2E167641"/>
    <w:rsid w:val="2E265EB3"/>
    <w:rsid w:val="2E2E4107"/>
    <w:rsid w:val="2E383E35"/>
    <w:rsid w:val="2E440E3D"/>
    <w:rsid w:val="2E444588"/>
    <w:rsid w:val="2E50117F"/>
    <w:rsid w:val="2E5642BC"/>
    <w:rsid w:val="2E5E5C1F"/>
    <w:rsid w:val="2E607937"/>
    <w:rsid w:val="2E61338C"/>
    <w:rsid w:val="2E615CDF"/>
    <w:rsid w:val="2E666BF4"/>
    <w:rsid w:val="2E6703FE"/>
    <w:rsid w:val="2E6D0438"/>
    <w:rsid w:val="2E6E5AA9"/>
    <w:rsid w:val="2E6F2A92"/>
    <w:rsid w:val="2E7330BF"/>
    <w:rsid w:val="2E76495E"/>
    <w:rsid w:val="2E7A26A0"/>
    <w:rsid w:val="2E7B3D22"/>
    <w:rsid w:val="2E8250B1"/>
    <w:rsid w:val="2E8636FD"/>
    <w:rsid w:val="2EB47858"/>
    <w:rsid w:val="2EC41B6D"/>
    <w:rsid w:val="2ECD1756"/>
    <w:rsid w:val="2ECF5AE3"/>
    <w:rsid w:val="2ED4293C"/>
    <w:rsid w:val="2ED77087"/>
    <w:rsid w:val="2ED8336B"/>
    <w:rsid w:val="2EDB2E5F"/>
    <w:rsid w:val="2EE00FAE"/>
    <w:rsid w:val="2EE87DE3"/>
    <w:rsid w:val="2EF02962"/>
    <w:rsid w:val="2EF82832"/>
    <w:rsid w:val="2EFD5BF8"/>
    <w:rsid w:val="2F01691D"/>
    <w:rsid w:val="2F067253"/>
    <w:rsid w:val="2F0A2CC5"/>
    <w:rsid w:val="2F120B2A"/>
    <w:rsid w:val="2F185065"/>
    <w:rsid w:val="2F1D2E89"/>
    <w:rsid w:val="2F1D785A"/>
    <w:rsid w:val="2F226C62"/>
    <w:rsid w:val="2F2E2683"/>
    <w:rsid w:val="2F2F5BCE"/>
    <w:rsid w:val="2F37421C"/>
    <w:rsid w:val="2F377532"/>
    <w:rsid w:val="2F395842"/>
    <w:rsid w:val="2F414F6C"/>
    <w:rsid w:val="2F421715"/>
    <w:rsid w:val="2F436F36"/>
    <w:rsid w:val="2F44049C"/>
    <w:rsid w:val="2F4D3614"/>
    <w:rsid w:val="2F5279A3"/>
    <w:rsid w:val="2F5716BB"/>
    <w:rsid w:val="2F5E1045"/>
    <w:rsid w:val="2F653D5F"/>
    <w:rsid w:val="2F6F3887"/>
    <w:rsid w:val="2F7013AD"/>
    <w:rsid w:val="2F74292E"/>
    <w:rsid w:val="2F743B46"/>
    <w:rsid w:val="2F7B2B74"/>
    <w:rsid w:val="2F7F01BF"/>
    <w:rsid w:val="2F8C268B"/>
    <w:rsid w:val="2F933C7A"/>
    <w:rsid w:val="2F937FAD"/>
    <w:rsid w:val="2F974B8C"/>
    <w:rsid w:val="2FA4415B"/>
    <w:rsid w:val="2FA5374C"/>
    <w:rsid w:val="2FAC4C83"/>
    <w:rsid w:val="2FB120F1"/>
    <w:rsid w:val="2FB2524C"/>
    <w:rsid w:val="2FC105A1"/>
    <w:rsid w:val="2FD0227E"/>
    <w:rsid w:val="2FD14541"/>
    <w:rsid w:val="2FD4049A"/>
    <w:rsid w:val="2FE7539E"/>
    <w:rsid w:val="2FEF574E"/>
    <w:rsid w:val="2FF43D8C"/>
    <w:rsid w:val="2FF85BD2"/>
    <w:rsid w:val="2FFC280D"/>
    <w:rsid w:val="2FFD6323"/>
    <w:rsid w:val="30092111"/>
    <w:rsid w:val="300E712A"/>
    <w:rsid w:val="30140A8C"/>
    <w:rsid w:val="301445D2"/>
    <w:rsid w:val="301B13F8"/>
    <w:rsid w:val="301B3A0F"/>
    <w:rsid w:val="301E2654"/>
    <w:rsid w:val="3021221C"/>
    <w:rsid w:val="30234196"/>
    <w:rsid w:val="302346CE"/>
    <w:rsid w:val="3024558B"/>
    <w:rsid w:val="30274B7B"/>
    <w:rsid w:val="3029612C"/>
    <w:rsid w:val="302C79CA"/>
    <w:rsid w:val="30326E7C"/>
    <w:rsid w:val="303605E5"/>
    <w:rsid w:val="303B24C1"/>
    <w:rsid w:val="303F27B1"/>
    <w:rsid w:val="303F76FD"/>
    <w:rsid w:val="30427AA5"/>
    <w:rsid w:val="30444013"/>
    <w:rsid w:val="30445FAF"/>
    <w:rsid w:val="30546F21"/>
    <w:rsid w:val="305713AE"/>
    <w:rsid w:val="30590093"/>
    <w:rsid w:val="305B02AF"/>
    <w:rsid w:val="305B7C64"/>
    <w:rsid w:val="30670A02"/>
    <w:rsid w:val="306D1203"/>
    <w:rsid w:val="307373A7"/>
    <w:rsid w:val="30776B2A"/>
    <w:rsid w:val="3086532C"/>
    <w:rsid w:val="309711BE"/>
    <w:rsid w:val="3099071F"/>
    <w:rsid w:val="309A0DD7"/>
    <w:rsid w:val="309F3C87"/>
    <w:rsid w:val="30A56294"/>
    <w:rsid w:val="30AA3266"/>
    <w:rsid w:val="30AC4667"/>
    <w:rsid w:val="30AD0FC8"/>
    <w:rsid w:val="30BA6D84"/>
    <w:rsid w:val="30BC0F82"/>
    <w:rsid w:val="30C91BD6"/>
    <w:rsid w:val="30CB0F91"/>
    <w:rsid w:val="30D902D4"/>
    <w:rsid w:val="30DD4A32"/>
    <w:rsid w:val="30DF4A3C"/>
    <w:rsid w:val="30F77FD8"/>
    <w:rsid w:val="30FE3D33"/>
    <w:rsid w:val="311E37B6"/>
    <w:rsid w:val="31235178"/>
    <w:rsid w:val="31316A9D"/>
    <w:rsid w:val="313F155B"/>
    <w:rsid w:val="31447FBC"/>
    <w:rsid w:val="314B20D2"/>
    <w:rsid w:val="315175B8"/>
    <w:rsid w:val="31761D6A"/>
    <w:rsid w:val="317E12BC"/>
    <w:rsid w:val="31880C30"/>
    <w:rsid w:val="3192385D"/>
    <w:rsid w:val="3197426F"/>
    <w:rsid w:val="319779EB"/>
    <w:rsid w:val="31A85187"/>
    <w:rsid w:val="31AD57A3"/>
    <w:rsid w:val="31B859B9"/>
    <w:rsid w:val="31BC43A8"/>
    <w:rsid w:val="31C205E6"/>
    <w:rsid w:val="31D245A1"/>
    <w:rsid w:val="31D252B9"/>
    <w:rsid w:val="31D54ACE"/>
    <w:rsid w:val="31D85760"/>
    <w:rsid w:val="31DC7992"/>
    <w:rsid w:val="31E06CBE"/>
    <w:rsid w:val="31E52416"/>
    <w:rsid w:val="31EA61B5"/>
    <w:rsid w:val="31EA74E0"/>
    <w:rsid w:val="31F41E38"/>
    <w:rsid w:val="32087FC3"/>
    <w:rsid w:val="320D55D9"/>
    <w:rsid w:val="32110C25"/>
    <w:rsid w:val="32140800"/>
    <w:rsid w:val="32186512"/>
    <w:rsid w:val="322A7F39"/>
    <w:rsid w:val="322C1F03"/>
    <w:rsid w:val="323C48F6"/>
    <w:rsid w:val="3240775C"/>
    <w:rsid w:val="32432DA9"/>
    <w:rsid w:val="324920CC"/>
    <w:rsid w:val="324D52A1"/>
    <w:rsid w:val="324F79A0"/>
    <w:rsid w:val="32543208"/>
    <w:rsid w:val="32623A62"/>
    <w:rsid w:val="32624A77"/>
    <w:rsid w:val="3265133D"/>
    <w:rsid w:val="32667EC3"/>
    <w:rsid w:val="327A0EC0"/>
    <w:rsid w:val="327B181C"/>
    <w:rsid w:val="327D62BB"/>
    <w:rsid w:val="327E00A7"/>
    <w:rsid w:val="328D5684"/>
    <w:rsid w:val="328E2B39"/>
    <w:rsid w:val="3296737C"/>
    <w:rsid w:val="329E0D89"/>
    <w:rsid w:val="32A61CB5"/>
    <w:rsid w:val="32B06690"/>
    <w:rsid w:val="32C34B30"/>
    <w:rsid w:val="32CB3F3D"/>
    <w:rsid w:val="32CC2C84"/>
    <w:rsid w:val="32D30C50"/>
    <w:rsid w:val="32D316CD"/>
    <w:rsid w:val="32D73048"/>
    <w:rsid w:val="32D75DF9"/>
    <w:rsid w:val="32DC1D50"/>
    <w:rsid w:val="32EE71B8"/>
    <w:rsid w:val="32F04CDF"/>
    <w:rsid w:val="32F33089"/>
    <w:rsid w:val="32F522F5"/>
    <w:rsid w:val="32F62A34"/>
    <w:rsid w:val="32FD564D"/>
    <w:rsid w:val="32FE2435"/>
    <w:rsid w:val="3300311F"/>
    <w:rsid w:val="330C5891"/>
    <w:rsid w:val="330D3AE3"/>
    <w:rsid w:val="331A6B30"/>
    <w:rsid w:val="332419C2"/>
    <w:rsid w:val="33244988"/>
    <w:rsid w:val="33254E89"/>
    <w:rsid w:val="3330157F"/>
    <w:rsid w:val="3330332D"/>
    <w:rsid w:val="333054AD"/>
    <w:rsid w:val="33341D05"/>
    <w:rsid w:val="33353079"/>
    <w:rsid w:val="333700E8"/>
    <w:rsid w:val="33373894"/>
    <w:rsid w:val="333A3C90"/>
    <w:rsid w:val="33506443"/>
    <w:rsid w:val="33523923"/>
    <w:rsid w:val="335D0E90"/>
    <w:rsid w:val="33660953"/>
    <w:rsid w:val="336A1690"/>
    <w:rsid w:val="336A7052"/>
    <w:rsid w:val="33765451"/>
    <w:rsid w:val="337C266D"/>
    <w:rsid w:val="33813B89"/>
    <w:rsid w:val="33840523"/>
    <w:rsid w:val="33886D74"/>
    <w:rsid w:val="33897E1B"/>
    <w:rsid w:val="33972FF2"/>
    <w:rsid w:val="339C103A"/>
    <w:rsid w:val="33A1247D"/>
    <w:rsid w:val="33A67A93"/>
    <w:rsid w:val="33AF4630"/>
    <w:rsid w:val="33B469DA"/>
    <w:rsid w:val="33B51311"/>
    <w:rsid w:val="33B54162"/>
    <w:rsid w:val="33B9727A"/>
    <w:rsid w:val="33C90C8F"/>
    <w:rsid w:val="33D62126"/>
    <w:rsid w:val="33DB3EAB"/>
    <w:rsid w:val="33EC194A"/>
    <w:rsid w:val="33EC7B9C"/>
    <w:rsid w:val="34035192"/>
    <w:rsid w:val="340F5638"/>
    <w:rsid w:val="34147F1D"/>
    <w:rsid w:val="341A3E87"/>
    <w:rsid w:val="34215A65"/>
    <w:rsid w:val="34262169"/>
    <w:rsid w:val="342F7A89"/>
    <w:rsid w:val="34337579"/>
    <w:rsid w:val="34367069"/>
    <w:rsid w:val="34452E08"/>
    <w:rsid w:val="34482B26"/>
    <w:rsid w:val="34545741"/>
    <w:rsid w:val="345968B4"/>
    <w:rsid w:val="34641E85"/>
    <w:rsid w:val="34673F86"/>
    <w:rsid w:val="34675474"/>
    <w:rsid w:val="34696D48"/>
    <w:rsid w:val="346B44E5"/>
    <w:rsid w:val="34712937"/>
    <w:rsid w:val="347831DE"/>
    <w:rsid w:val="347B2A5F"/>
    <w:rsid w:val="347B2C27"/>
    <w:rsid w:val="34847DD4"/>
    <w:rsid w:val="34894B8C"/>
    <w:rsid w:val="348A4CBF"/>
    <w:rsid w:val="348B0CC3"/>
    <w:rsid w:val="34951FE4"/>
    <w:rsid w:val="349A34DB"/>
    <w:rsid w:val="34A53A6B"/>
    <w:rsid w:val="34A62296"/>
    <w:rsid w:val="34AD2231"/>
    <w:rsid w:val="34AD40D4"/>
    <w:rsid w:val="34B931DC"/>
    <w:rsid w:val="34BB131C"/>
    <w:rsid w:val="34C2243B"/>
    <w:rsid w:val="34C3689E"/>
    <w:rsid w:val="34C40864"/>
    <w:rsid w:val="34CC693E"/>
    <w:rsid w:val="34D153C0"/>
    <w:rsid w:val="34E16EDA"/>
    <w:rsid w:val="34E40873"/>
    <w:rsid w:val="34E86378"/>
    <w:rsid w:val="34EB616E"/>
    <w:rsid w:val="34EE524E"/>
    <w:rsid w:val="34F315EC"/>
    <w:rsid w:val="35037171"/>
    <w:rsid w:val="35067DDE"/>
    <w:rsid w:val="3514333C"/>
    <w:rsid w:val="351E0AA1"/>
    <w:rsid w:val="35215623"/>
    <w:rsid w:val="352275ED"/>
    <w:rsid w:val="35284C04"/>
    <w:rsid w:val="352E65A7"/>
    <w:rsid w:val="35335C58"/>
    <w:rsid w:val="35343375"/>
    <w:rsid w:val="353C71E4"/>
    <w:rsid w:val="353D01E6"/>
    <w:rsid w:val="354074ED"/>
    <w:rsid w:val="354B7A7C"/>
    <w:rsid w:val="354D0B79"/>
    <w:rsid w:val="35524487"/>
    <w:rsid w:val="355D23D3"/>
    <w:rsid w:val="3569521C"/>
    <w:rsid w:val="356C7F43"/>
    <w:rsid w:val="3576043B"/>
    <w:rsid w:val="357A11D7"/>
    <w:rsid w:val="35853BDF"/>
    <w:rsid w:val="359F5790"/>
    <w:rsid w:val="359F5F2C"/>
    <w:rsid w:val="35A37839"/>
    <w:rsid w:val="35A46254"/>
    <w:rsid w:val="35B1264E"/>
    <w:rsid w:val="35BB35B3"/>
    <w:rsid w:val="35BC359E"/>
    <w:rsid w:val="35BC3E4A"/>
    <w:rsid w:val="35C278B3"/>
    <w:rsid w:val="35CC5E7B"/>
    <w:rsid w:val="35E05D71"/>
    <w:rsid w:val="35E368D4"/>
    <w:rsid w:val="35EA1EB9"/>
    <w:rsid w:val="35ED42FF"/>
    <w:rsid w:val="35ED5760"/>
    <w:rsid w:val="35EF078B"/>
    <w:rsid w:val="35F333D7"/>
    <w:rsid w:val="35FC7755"/>
    <w:rsid w:val="36036C21"/>
    <w:rsid w:val="360F7B72"/>
    <w:rsid w:val="36144F46"/>
    <w:rsid w:val="36213401"/>
    <w:rsid w:val="3624775F"/>
    <w:rsid w:val="36252EF1"/>
    <w:rsid w:val="36331F78"/>
    <w:rsid w:val="3640380C"/>
    <w:rsid w:val="364D63A5"/>
    <w:rsid w:val="365437D6"/>
    <w:rsid w:val="365C313C"/>
    <w:rsid w:val="3660217B"/>
    <w:rsid w:val="36665823"/>
    <w:rsid w:val="366B11D8"/>
    <w:rsid w:val="366C6D72"/>
    <w:rsid w:val="366F6862"/>
    <w:rsid w:val="36715F92"/>
    <w:rsid w:val="367F4CF7"/>
    <w:rsid w:val="36806379"/>
    <w:rsid w:val="3682156B"/>
    <w:rsid w:val="3682337C"/>
    <w:rsid w:val="368F2A60"/>
    <w:rsid w:val="369B31B3"/>
    <w:rsid w:val="369D33CF"/>
    <w:rsid w:val="36A5476B"/>
    <w:rsid w:val="36BC28E6"/>
    <w:rsid w:val="36C6255D"/>
    <w:rsid w:val="36C65933"/>
    <w:rsid w:val="36C8026D"/>
    <w:rsid w:val="36C95CEF"/>
    <w:rsid w:val="36C96DFB"/>
    <w:rsid w:val="36CC5A63"/>
    <w:rsid w:val="36CD4443"/>
    <w:rsid w:val="36CE4570"/>
    <w:rsid w:val="36D67BFE"/>
    <w:rsid w:val="36DD498F"/>
    <w:rsid w:val="36DE65D1"/>
    <w:rsid w:val="36E11258"/>
    <w:rsid w:val="36E16C19"/>
    <w:rsid w:val="36E36898"/>
    <w:rsid w:val="36E7098B"/>
    <w:rsid w:val="36E83F1F"/>
    <w:rsid w:val="36F13630"/>
    <w:rsid w:val="36FC6348"/>
    <w:rsid w:val="37182A56"/>
    <w:rsid w:val="371A47F4"/>
    <w:rsid w:val="371B2546"/>
    <w:rsid w:val="37286DE8"/>
    <w:rsid w:val="372907BF"/>
    <w:rsid w:val="372A6E58"/>
    <w:rsid w:val="3733462F"/>
    <w:rsid w:val="37352D73"/>
    <w:rsid w:val="37406452"/>
    <w:rsid w:val="37424819"/>
    <w:rsid w:val="37440EBB"/>
    <w:rsid w:val="374A29CE"/>
    <w:rsid w:val="374B7821"/>
    <w:rsid w:val="374F03D2"/>
    <w:rsid w:val="37516F51"/>
    <w:rsid w:val="376A0174"/>
    <w:rsid w:val="37727632"/>
    <w:rsid w:val="37781747"/>
    <w:rsid w:val="37797999"/>
    <w:rsid w:val="37857FB2"/>
    <w:rsid w:val="37891654"/>
    <w:rsid w:val="37920280"/>
    <w:rsid w:val="37932E7B"/>
    <w:rsid w:val="37977BBC"/>
    <w:rsid w:val="37A14F47"/>
    <w:rsid w:val="37A442EA"/>
    <w:rsid w:val="37A65F22"/>
    <w:rsid w:val="37AF29E9"/>
    <w:rsid w:val="37B77B75"/>
    <w:rsid w:val="37BC1633"/>
    <w:rsid w:val="37BD3BCC"/>
    <w:rsid w:val="37BE11EC"/>
    <w:rsid w:val="37C16C4A"/>
    <w:rsid w:val="37C4498C"/>
    <w:rsid w:val="37CB0D94"/>
    <w:rsid w:val="37CB4618"/>
    <w:rsid w:val="37CE1812"/>
    <w:rsid w:val="37CE7466"/>
    <w:rsid w:val="37D04D6A"/>
    <w:rsid w:val="37D6455E"/>
    <w:rsid w:val="37DA5CEB"/>
    <w:rsid w:val="37E62B54"/>
    <w:rsid w:val="37F46F5A"/>
    <w:rsid w:val="38003C6E"/>
    <w:rsid w:val="380841C4"/>
    <w:rsid w:val="380C444D"/>
    <w:rsid w:val="381979D3"/>
    <w:rsid w:val="381A30F5"/>
    <w:rsid w:val="381E0C5A"/>
    <w:rsid w:val="38240A52"/>
    <w:rsid w:val="38271B89"/>
    <w:rsid w:val="382927ED"/>
    <w:rsid w:val="383234FA"/>
    <w:rsid w:val="383E734F"/>
    <w:rsid w:val="3846200D"/>
    <w:rsid w:val="384B0C09"/>
    <w:rsid w:val="384C4026"/>
    <w:rsid w:val="38593326"/>
    <w:rsid w:val="385A6E03"/>
    <w:rsid w:val="386234EF"/>
    <w:rsid w:val="386D4BCC"/>
    <w:rsid w:val="38721F0C"/>
    <w:rsid w:val="387A0F38"/>
    <w:rsid w:val="388108C3"/>
    <w:rsid w:val="388163D9"/>
    <w:rsid w:val="388D0001"/>
    <w:rsid w:val="388D2FD0"/>
    <w:rsid w:val="38910D12"/>
    <w:rsid w:val="38927168"/>
    <w:rsid w:val="389B5548"/>
    <w:rsid w:val="389D08CD"/>
    <w:rsid w:val="389E6F8B"/>
    <w:rsid w:val="389F2382"/>
    <w:rsid w:val="38A26D6B"/>
    <w:rsid w:val="38A36879"/>
    <w:rsid w:val="38A807AA"/>
    <w:rsid w:val="38B11820"/>
    <w:rsid w:val="38B25BBD"/>
    <w:rsid w:val="38B97332"/>
    <w:rsid w:val="38BB63DA"/>
    <w:rsid w:val="38BE7523"/>
    <w:rsid w:val="38CE7AA8"/>
    <w:rsid w:val="38D1110E"/>
    <w:rsid w:val="38D330D8"/>
    <w:rsid w:val="38D370E6"/>
    <w:rsid w:val="38D421D8"/>
    <w:rsid w:val="38E24900"/>
    <w:rsid w:val="38EF30F5"/>
    <w:rsid w:val="38F372D7"/>
    <w:rsid w:val="38F85F83"/>
    <w:rsid w:val="3901351A"/>
    <w:rsid w:val="39045619"/>
    <w:rsid w:val="3905525C"/>
    <w:rsid w:val="391B1294"/>
    <w:rsid w:val="392016C6"/>
    <w:rsid w:val="392B2AB6"/>
    <w:rsid w:val="392C2F5A"/>
    <w:rsid w:val="392E6561"/>
    <w:rsid w:val="393D2C48"/>
    <w:rsid w:val="393D3948"/>
    <w:rsid w:val="394308F3"/>
    <w:rsid w:val="39455658"/>
    <w:rsid w:val="3949339B"/>
    <w:rsid w:val="394A49D0"/>
    <w:rsid w:val="39516170"/>
    <w:rsid w:val="395237AC"/>
    <w:rsid w:val="39551EB7"/>
    <w:rsid w:val="39681D4A"/>
    <w:rsid w:val="396B2A3F"/>
    <w:rsid w:val="396B75A3"/>
    <w:rsid w:val="3978249C"/>
    <w:rsid w:val="39787FA3"/>
    <w:rsid w:val="397D4DF2"/>
    <w:rsid w:val="39877520"/>
    <w:rsid w:val="398C4179"/>
    <w:rsid w:val="399003FF"/>
    <w:rsid w:val="399D7D96"/>
    <w:rsid w:val="399F120C"/>
    <w:rsid w:val="39A03024"/>
    <w:rsid w:val="39A12F19"/>
    <w:rsid w:val="39AA3828"/>
    <w:rsid w:val="39BA1BA2"/>
    <w:rsid w:val="39C57C88"/>
    <w:rsid w:val="39CC7827"/>
    <w:rsid w:val="39E8755E"/>
    <w:rsid w:val="39ED01CA"/>
    <w:rsid w:val="39F26F89"/>
    <w:rsid w:val="39F97CAF"/>
    <w:rsid w:val="3A036670"/>
    <w:rsid w:val="3A0C0CE3"/>
    <w:rsid w:val="3A111F16"/>
    <w:rsid w:val="3A192D6D"/>
    <w:rsid w:val="3A1E0FB4"/>
    <w:rsid w:val="3A282FB0"/>
    <w:rsid w:val="3A2D6818"/>
    <w:rsid w:val="3A2F3A82"/>
    <w:rsid w:val="3A2F6ED7"/>
    <w:rsid w:val="3A323E2F"/>
    <w:rsid w:val="3A4D0FEC"/>
    <w:rsid w:val="3A560499"/>
    <w:rsid w:val="3A563FC1"/>
    <w:rsid w:val="3A59760D"/>
    <w:rsid w:val="3A5B5BCB"/>
    <w:rsid w:val="3A606F72"/>
    <w:rsid w:val="3A625555"/>
    <w:rsid w:val="3A6371E8"/>
    <w:rsid w:val="3A647D60"/>
    <w:rsid w:val="3A663AD8"/>
    <w:rsid w:val="3A673577"/>
    <w:rsid w:val="3A6E6004"/>
    <w:rsid w:val="3A712BA9"/>
    <w:rsid w:val="3A7527C3"/>
    <w:rsid w:val="3A850402"/>
    <w:rsid w:val="3A991780"/>
    <w:rsid w:val="3A9C399E"/>
    <w:rsid w:val="3AA0523C"/>
    <w:rsid w:val="3AA80595"/>
    <w:rsid w:val="3AAC7243"/>
    <w:rsid w:val="3ABC194A"/>
    <w:rsid w:val="3ACD3B57"/>
    <w:rsid w:val="3ACF6404"/>
    <w:rsid w:val="3AD65E20"/>
    <w:rsid w:val="3AD77EA7"/>
    <w:rsid w:val="3AF460F2"/>
    <w:rsid w:val="3AFA0DF0"/>
    <w:rsid w:val="3AFC5601"/>
    <w:rsid w:val="3B0879B5"/>
    <w:rsid w:val="3B0A7F94"/>
    <w:rsid w:val="3B0C07E0"/>
    <w:rsid w:val="3B134B32"/>
    <w:rsid w:val="3B1747CF"/>
    <w:rsid w:val="3B184B07"/>
    <w:rsid w:val="3B1D4ADF"/>
    <w:rsid w:val="3B3101AC"/>
    <w:rsid w:val="3B357B14"/>
    <w:rsid w:val="3B4402BD"/>
    <w:rsid w:val="3B457B92"/>
    <w:rsid w:val="3B497682"/>
    <w:rsid w:val="3B4F51E7"/>
    <w:rsid w:val="3B533939"/>
    <w:rsid w:val="3B5A068C"/>
    <w:rsid w:val="3B5E66F2"/>
    <w:rsid w:val="3B66579E"/>
    <w:rsid w:val="3B6D565C"/>
    <w:rsid w:val="3B721168"/>
    <w:rsid w:val="3B7261A2"/>
    <w:rsid w:val="3B742767"/>
    <w:rsid w:val="3B7D37CF"/>
    <w:rsid w:val="3B80428C"/>
    <w:rsid w:val="3B9C58BB"/>
    <w:rsid w:val="3B9F3746"/>
    <w:rsid w:val="3BAD3B3F"/>
    <w:rsid w:val="3BB24E04"/>
    <w:rsid w:val="3BB80364"/>
    <w:rsid w:val="3BC211E2"/>
    <w:rsid w:val="3BC75E7D"/>
    <w:rsid w:val="3BC76121"/>
    <w:rsid w:val="3BD11425"/>
    <w:rsid w:val="3BD37D20"/>
    <w:rsid w:val="3BD83676"/>
    <w:rsid w:val="3BE436AF"/>
    <w:rsid w:val="3BE61375"/>
    <w:rsid w:val="3BEB698B"/>
    <w:rsid w:val="3BED055F"/>
    <w:rsid w:val="3BF67C7F"/>
    <w:rsid w:val="3BFC68FB"/>
    <w:rsid w:val="3BFC709F"/>
    <w:rsid w:val="3C0124AF"/>
    <w:rsid w:val="3C073721"/>
    <w:rsid w:val="3C1078F1"/>
    <w:rsid w:val="3C111C4F"/>
    <w:rsid w:val="3C172B5B"/>
    <w:rsid w:val="3C1F4887"/>
    <w:rsid w:val="3C1F6C56"/>
    <w:rsid w:val="3C223652"/>
    <w:rsid w:val="3C337552"/>
    <w:rsid w:val="3C363E9D"/>
    <w:rsid w:val="3C3E2F5F"/>
    <w:rsid w:val="3C4340D1"/>
    <w:rsid w:val="3C4554F6"/>
    <w:rsid w:val="3C49435B"/>
    <w:rsid w:val="3C4E187E"/>
    <w:rsid w:val="3C577B7C"/>
    <w:rsid w:val="3C6A58FC"/>
    <w:rsid w:val="3C702610"/>
    <w:rsid w:val="3C85293C"/>
    <w:rsid w:val="3C88242C"/>
    <w:rsid w:val="3C90308E"/>
    <w:rsid w:val="3C990195"/>
    <w:rsid w:val="3CA1704A"/>
    <w:rsid w:val="3CA3164A"/>
    <w:rsid w:val="3CA57044"/>
    <w:rsid w:val="3CB20BE1"/>
    <w:rsid w:val="3CC96E22"/>
    <w:rsid w:val="3CCE11A1"/>
    <w:rsid w:val="3CD029E3"/>
    <w:rsid w:val="3CD13490"/>
    <w:rsid w:val="3CD21416"/>
    <w:rsid w:val="3CD64183"/>
    <w:rsid w:val="3CDC4809"/>
    <w:rsid w:val="3CDF336B"/>
    <w:rsid w:val="3CE16539"/>
    <w:rsid w:val="3CED2681"/>
    <w:rsid w:val="3CF37DF6"/>
    <w:rsid w:val="3CF96321"/>
    <w:rsid w:val="3CFD619E"/>
    <w:rsid w:val="3D0535AB"/>
    <w:rsid w:val="3D0575D8"/>
    <w:rsid w:val="3D076AAE"/>
    <w:rsid w:val="3D0A5A2A"/>
    <w:rsid w:val="3D0C4E0B"/>
    <w:rsid w:val="3D124DF1"/>
    <w:rsid w:val="3D145266"/>
    <w:rsid w:val="3D163594"/>
    <w:rsid w:val="3D1729B6"/>
    <w:rsid w:val="3D1B22C7"/>
    <w:rsid w:val="3D1B504E"/>
    <w:rsid w:val="3D1E0147"/>
    <w:rsid w:val="3D1F708B"/>
    <w:rsid w:val="3D204412"/>
    <w:rsid w:val="3D2A25C9"/>
    <w:rsid w:val="3D3137E1"/>
    <w:rsid w:val="3D3C1506"/>
    <w:rsid w:val="3D43764D"/>
    <w:rsid w:val="3D49081C"/>
    <w:rsid w:val="3D495D88"/>
    <w:rsid w:val="3D4C6C16"/>
    <w:rsid w:val="3D580050"/>
    <w:rsid w:val="3D5C61B8"/>
    <w:rsid w:val="3D6C2999"/>
    <w:rsid w:val="3D7D4C07"/>
    <w:rsid w:val="3D89020A"/>
    <w:rsid w:val="3D8B4B09"/>
    <w:rsid w:val="3D8B5C36"/>
    <w:rsid w:val="3D8C1249"/>
    <w:rsid w:val="3D8C7CFA"/>
    <w:rsid w:val="3D8F51CF"/>
    <w:rsid w:val="3D9077EA"/>
    <w:rsid w:val="3D962926"/>
    <w:rsid w:val="3D987CF2"/>
    <w:rsid w:val="3D9A35B5"/>
    <w:rsid w:val="3D9A555D"/>
    <w:rsid w:val="3DA46DF1"/>
    <w:rsid w:val="3DAD1CC3"/>
    <w:rsid w:val="3DAE5EC2"/>
    <w:rsid w:val="3DC03CDE"/>
    <w:rsid w:val="3DC12977"/>
    <w:rsid w:val="3DCB7AF0"/>
    <w:rsid w:val="3DD11BB1"/>
    <w:rsid w:val="3DDA4888"/>
    <w:rsid w:val="3DE43692"/>
    <w:rsid w:val="3DEB2C72"/>
    <w:rsid w:val="3DEC7D25"/>
    <w:rsid w:val="3DF07F32"/>
    <w:rsid w:val="3DF777D9"/>
    <w:rsid w:val="3DFA232B"/>
    <w:rsid w:val="3DFF671E"/>
    <w:rsid w:val="3E0755D2"/>
    <w:rsid w:val="3E096D7C"/>
    <w:rsid w:val="3E0D69A6"/>
    <w:rsid w:val="3E18333B"/>
    <w:rsid w:val="3E1A3557"/>
    <w:rsid w:val="3E1D4DF6"/>
    <w:rsid w:val="3E2C6DE7"/>
    <w:rsid w:val="3E3217EA"/>
    <w:rsid w:val="3E407AEF"/>
    <w:rsid w:val="3E4E14EB"/>
    <w:rsid w:val="3E524A9F"/>
    <w:rsid w:val="3E530BDC"/>
    <w:rsid w:val="3E543DB1"/>
    <w:rsid w:val="3E5527E2"/>
    <w:rsid w:val="3E5541D1"/>
    <w:rsid w:val="3E5776D4"/>
    <w:rsid w:val="3E5A4B95"/>
    <w:rsid w:val="3E5D0F36"/>
    <w:rsid w:val="3E5E1696"/>
    <w:rsid w:val="3E5F71BC"/>
    <w:rsid w:val="3E65012D"/>
    <w:rsid w:val="3E833E1A"/>
    <w:rsid w:val="3E834C59"/>
    <w:rsid w:val="3E83729F"/>
    <w:rsid w:val="3E856F1F"/>
    <w:rsid w:val="3E9277BD"/>
    <w:rsid w:val="3E932FFB"/>
    <w:rsid w:val="3E9A6446"/>
    <w:rsid w:val="3EA61308"/>
    <w:rsid w:val="3EA62909"/>
    <w:rsid w:val="3EB56DDC"/>
    <w:rsid w:val="3EB968CD"/>
    <w:rsid w:val="3EBC1867"/>
    <w:rsid w:val="3ED01E68"/>
    <w:rsid w:val="3ED06676"/>
    <w:rsid w:val="3EDC25BB"/>
    <w:rsid w:val="3EE04FFF"/>
    <w:rsid w:val="3EE76B81"/>
    <w:rsid w:val="3EED47C8"/>
    <w:rsid w:val="3EF21DDE"/>
    <w:rsid w:val="3EF81DB0"/>
    <w:rsid w:val="3EFA2761"/>
    <w:rsid w:val="3EFB0C93"/>
    <w:rsid w:val="3EFE4C27"/>
    <w:rsid w:val="3F00303D"/>
    <w:rsid w:val="3F004DDB"/>
    <w:rsid w:val="3F040AF2"/>
    <w:rsid w:val="3F051B12"/>
    <w:rsid w:val="3F1821AA"/>
    <w:rsid w:val="3F1A2BCD"/>
    <w:rsid w:val="3F284408"/>
    <w:rsid w:val="3F294D55"/>
    <w:rsid w:val="3F2F3423"/>
    <w:rsid w:val="3F2F6B8F"/>
    <w:rsid w:val="3F3E5024"/>
    <w:rsid w:val="3F4D0EE6"/>
    <w:rsid w:val="3F5B4340"/>
    <w:rsid w:val="3F6525B0"/>
    <w:rsid w:val="3F7022A2"/>
    <w:rsid w:val="3F7074FA"/>
    <w:rsid w:val="3F750F05"/>
    <w:rsid w:val="3F7E3CE4"/>
    <w:rsid w:val="3F815EBD"/>
    <w:rsid w:val="3F89324B"/>
    <w:rsid w:val="3F8C1701"/>
    <w:rsid w:val="3F9470DC"/>
    <w:rsid w:val="3F97055B"/>
    <w:rsid w:val="3F991A85"/>
    <w:rsid w:val="3FA621F0"/>
    <w:rsid w:val="3FBB69F6"/>
    <w:rsid w:val="3FC34E15"/>
    <w:rsid w:val="3FC6689A"/>
    <w:rsid w:val="3FC92B3F"/>
    <w:rsid w:val="3FCE63A8"/>
    <w:rsid w:val="3FD16F41"/>
    <w:rsid w:val="3FD414E4"/>
    <w:rsid w:val="3FE01A65"/>
    <w:rsid w:val="3FEC71B0"/>
    <w:rsid w:val="3FEE4B6B"/>
    <w:rsid w:val="3FF24EF7"/>
    <w:rsid w:val="3FF403FA"/>
    <w:rsid w:val="3FFA53EF"/>
    <w:rsid w:val="3FFF200F"/>
    <w:rsid w:val="400E0592"/>
    <w:rsid w:val="40175FA1"/>
    <w:rsid w:val="40195E74"/>
    <w:rsid w:val="40291830"/>
    <w:rsid w:val="402932CE"/>
    <w:rsid w:val="403571CF"/>
    <w:rsid w:val="403A57EB"/>
    <w:rsid w:val="403D52DB"/>
    <w:rsid w:val="40493C80"/>
    <w:rsid w:val="404C688B"/>
    <w:rsid w:val="405014B2"/>
    <w:rsid w:val="405C7E57"/>
    <w:rsid w:val="4061546E"/>
    <w:rsid w:val="40647FA4"/>
    <w:rsid w:val="40682937"/>
    <w:rsid w:val="406A188B"/>
    <w:rsid w:val="406E35F0"/>
    <w:rsid w:val="407520E9"/>
    <w:rsid w:val="40857CE9"/>
    <w:rsid w:val="4086354D"/>
    <w:rsid w:val="40AB493B"/>
    <w:rsid w:val="40B437EF"/>
    <w:rsid w:val="40B839BB"/>
    <w:rsid w:val="40BB01C3"/>
    <w:rsid w:val="40BB2145"/>
    <w:rsid w:val="40BE1B2C"/>
    <w:rsid w:val="40BE58C5"/>
    <w:rsid w:val="40BE641C"/>
    <w:rsid w:val="40C1550B"/>
    <w:rsid w:val="40C432AB"/>
    <w:rsid w:val="40C761D4"/>
    <w:rsid w:val="40CC5EDF"/>
    <w:rsid w:val="40DB376D"/>
    <w:rsid w:val="40DC77A5"/>
    <w:rsid w:val="40DF4DF5"/>
    <w:rsid w:val="40E7552C"/>
    <w:rsid w:val="40F847A5"/>
    <w:rsid w:val="40FA572A"/>
    <w:rsid w:val="41084A3F"/>
    <w:rsid w:val="41136694"/>
    <w:rsid w:val="4114428E"/>
    <w:rsid w:val="411C6A34"/>
    <w:rsid w:val="412B1985"/>
    <w:rsid w:val="413648BB"/>
    <w:rsid w:val="41390199"/>
    <w:rsid w:val="413E0C11"/>
    <w:rsid w:val="4142704D"/>
    <w:rsid w:val="41452699"/>
    <w:rsid w:val="41483F38"/>
    <w:rsid w:val="41492E3F"/>
    <w:rsid w:val="414B7122"/>
    <w:rsid w:val="41521B92"/>
    <w:rsid w:val="4153125A"/>
    <w:rsid w:val="415A0C9B"/>
    <w:rsid w:val="415B3C6B"/>
    <w:rsid w:val="41652D3C"/>
    <w:rsid w:val="416B7A0D"/>
    <w:rsid w:val="416D21E5"/>
    <w:rsid w:val="417C0DE9"/>
    <w:rsid w:val="41820D95"/>
    <w:rsid w:val="418D6276"/>
    <w:rsid w:val="4191768D"/>
    <w:rsid w:val="41A575DC"/>
    <w:rsid w:val="41B21284"/>
    <w:rsid w:val="41B64AD1"/>
    <w:rsid w:val="41BA2B19"/>
    <w:rsid w:val="41C50B64"/>
    <w:rsid w:val="41CA0DF1"/>
    <w:rsid w:val="41D87BB3"/>
    <w:rsid w:val="41EA3241"/>
    <w:rsid w:val="41F36599"/>
    <w:rsid w:val="41F83547"/>
    <w:rsid w:val="41FB1A2F"/>
    <w:rsid w:val="41FD11C6"/>
    <w:rsid w:val="41FF0F01"/>
    <w:rsid w:val="420071D6"/>
    <w:rsid w:val="420162E6"/>
    <w:rsid w:val="420752A4"/>
    <w:rsid w:val="421175EA"/>
    <w:rsid w:val="4218267E"/>
    <w:rsid w:val="42214352"/>
    <w:rsid w:val="42222EC0"/>
    <w:rsid w:val="422511E6"/>
    <w:rsid w:val="42271614"/>
    <w:rsid w:val="4228794F"/>
    <w:rsid w:val="42297830"/>
    <w:rsid w:val="422E774B"/>
    <w:rsid w:val="422E77D5"/>
    <w:rsid w:val="42313136"/>
    <w:rsid w:val="42320077"/>
    <w:rsid w:val="42393080"/>
    <w:rsid w:val="424234C2"/>
    <w:rsid w:val="424E1A22"/>
    <w:rsid w:val="424F08BB"/>
    <w:rsid w:val="426601FF"/>
    <w:rsid w:val="426D5376"/>
    <w:rsid w:val="427101C8"/>
    <w:rsid w:val="42840E9E"/>
    <w:rsid w:val="42843695"/>
    <w:rsid w:val="428E5B40"/>
    <w:rsid w:val="42954D55"/>
    <w:rsid w:val="42A028DC"/>
    <w:rsid w:val="42AC5188"/>
    <w:rsid w:val="42AE24C0"/>
    <w:rsid w:val="42BB570A"/>
    <w:rsid w:val="42C24FD2"/>
    <w:rsid w:val="42C27D1A"/>
    <w:rsid w:val="42C34D15"/>
    <w:rsid w:val="42D014F6"/>
    <w:rsid w:val="42D1430E"/>
    <w:rsid w:val="42D2752E"/>
    <w:rsid w:val="42D5417C"/>
    <w:rsid w:val="42D62822"/>
    <w:rsid w:val="42E44134"/>
    <w:rsid w:val="42E61C5A"/>
    <w:rsid w:val="42E94751"/>
    <w:rsid w:val="42EF5DC4"/>
    <w:rsid w:val="42F15C6C"/>
    <w:rsid w:val="42F94316"/>
    <w:rsid w:val="42FB06F2"/>
    <w:rsid w:val="42FC3C54"/>
    <w:rsid w:val="42FE51F6"/>
    <w:rsid w:val="42FE6F40"/>
    <w:rsid w:val="43162318"/>
    <w:rsid w:val="431F6F1A"/>
    <w:rsid w:val="43322561"/>
    <w:rsid w:val="433504EC"/>
    <w:rsid w:val="43364990"/>
    <w:rsid w:val="434150E2"/>
    <w:rsid w:val="434155E3"/>
    <w:rsid w:val="4342708B"/>
    <w:rsid w:val="43451B5D"/>
    <w:rsid w:val="43470CF2"/>
    <w:rsid w:val="43482915"/>
    <w:rsid w:val="434A043B"/>
    <w:rsid w:val="43521101"/>
    <w:rsid w:val="435C3CCA"/>
    <w:rsid w:val="436F7EA2"/>
    <w:rsid w:val="4379487C"/>
    <w:rsid w:val="43811132"/>
    <w:rsid w:val="438A4CDB"/>
    <w:rsid w:val="438C2802"/>
    <w:rsid w:val="438F1057"/>
    <w:rsid w:val="43904111"/>
    <w:rsid w:val="439344E6"/>
    <w:rsid w:val="4395391D"/>
    <w:rsid w:val="439B6B07"/>
    <w:rsid w:val="439E569A"/>
    <w:rsid w:val="439F33FF"/>
    <w:rsid w:val="43A14CF3"/>
    <w:rsid w:val="43AE7A61"/>
    <w:rsid w:val="43AF7D2D"/>
    <w:rsid w:val="43B651F7"/>
    <w:rsid w:val="43BC29BB"/>
    <w:rsid w:val="43D30430"/>
    <w:rsid w:val="43D30AF4"/>
    <w:rsid w:val="43DE2113"/>
    <w:rsid w:val="43DF5C22"/>
    <w:rsid w:val="43DF6C57"/>
    <w:rsid w:val="43E53CC0"/>
    <w:rsid w:val="43EB2652"/>
    <w:rsid w:val="43EE5B4B"/>
    <w:rsid w:val="43F15AEC"/>
    <w:rsid w:val="43F87E97"/>
    <w:rsid w:val="43FE4624"/>
    <w:rsid w:val="440C6A2A"/>
    <w:rsid w:val="44115CBC"/>
    <w:rsid w:val="441232C4"/>
    <w:rsid w:val="441509F4"/>
    <w:rsid w:val="44185647"/>
    <w:rsid w:val="441B5933"/>
    <w:rsid w:val="44256EDB"/>
    <w:rsid w:val="443A16C8"/>
    <w:rsid w:val="444A7FC7"/>
    <w:rsid w:val="444C01E3"/>
    <w:rsid w:val="44615A3C"/>
    <w:rsid w:val="446E05D4"/>
    <w:rsid w:val="446E610D"/>
    <w:rsid w:val="447117CB"/>
    <w:rsid w:val="44775260"/>
    <w:rsid w:val="447D039C"/>
    <w:rsid w:val="448966C8"/>
    <w:rsid w:val="44963789"/>
    <w:rsid w:val="449776B0"/>
    <w:rsid w:val="44996E9A"/>
    <w:rsid w:val="44AB6CB7"/>
    <w:rsid w:val="44B71611"/>
    <w:rsid w:val="44B74F93"/>
    <w:rsid w:val="44BC337F"/>
    <w:rsid w:val="44BE2D5F"/>
    <w:rsid w:val="44C2005E"/>
    <w:rsid w:val="44C36950"/>
    <w:rsid w:val="44C61D43"/>
    <w:rsid w:val="44CB2235"/>
    <w:rsid w:val="44CD30D2"/>
    <w:rsid w:val="44D34460"/>
    <w:rsid w:val="44DF08FF"/>
    <w:rsid w:val="44E51517"/>
    <w:rsid w:val="44E913A7"/>
    <w:rsid w:val="44EF3465"/>
    <w:rsid w:val="44FA7C3F"/>
    <w:rsid w:val="4508235C"/>
    <w:rsid w:val="450A60D4"/>
    <w:rsid w:val="450E5498"/>
    <w:rsid w:val="450F36EA"/>
    <w:rsid w:val="45130BEA"/>
    <w:rsid w:val="4518206B"/>
    <w:rsid w:val="4519103D"/>
    <w:rsid w:val="45196317"/>
    <w:rsid w:val="452009D4"/>
    <w:rsid w:val="45210316"/>
    <w:rsid w:val="45210C14"/>
    <w:rsid w:val="452601B0"/>
    <w:rsid w:val="4532572C"/>
    <w:rsid w:val="453A5A30"/>
    <w:rsid w:val="453E1BA6"/>
    <w:rsid w:val="453F1644"/>
    <w:rsid w:val="4545710C"/>
    <w:rsid w:val="454937BA"/>
    <w:rsid w:val="45494786"/>
    <w:rsid w:val="454D4A54"/>
    <w:rsid w:val="454F248F"/>
    <w:rsid w:val="455455A1"/>
    <w:rsid w:val="45577BF3"/>
    <w:rsid w:val="455A06DD"/>
    <w:rsid w:val="45676DA7"/>
    <w:rsid w:val="45680119"/>
    <w:rsid w:val="456E5D95"/>
    <w:rsid w:val="457A42EE"/>
    <w:rsid w:val="457A5C8D"/>
    <w:rsid w:val="457E43CC"/>
    <w:rsid w:val="458B0E76"/>
    <w:rsid w:val="459403B6"/>
    <w:rsid w:val="45A23291"/>
    <w:rsid w:val="45AE1C2F"/>
    <w:rsid w:val="45B32995"/>
    <w:rsid w:val="45B9563F"/>
    <w:rsid w:val="45BD27D8"/>
    <w:rsid w:val="45C13FDA"/>
    <w:rsid w:val="45C73FC5"/>
    <w:rsid w:val="45CA3DA7"/>
    <w:rsid w:val="45CC2E39"/>
    <w:rsid w:val="45CC3389"/>
    <w:rsid w:val="45D24718"/>
    <w:rsid w:val="45D60FBA"/>
    <w:rsid w:val="45E00BE3"/>
    <w:rsid w:val="45E92692"/>
    <w:rsid w:val="45ED3F75"/>
    <w:rsid w:val="45F303D0"/>
    <w:rsid w:val="45F428E0"/>
    <w:rsid w:val="45F4643C"/>
    <w:rsid w:val="45F7786E"/>
    <w:rsid w:val="45F97EF6"/>
    <w:rsid w:val="45FC3543"/>
    <w:rsid w:val="46023D3A"/>
    <w:rsid w:val="46072613"/>
    <w:rsid w:val="460876DF"/>
    <w:rsid w:val="46127266"/>
    <w:rsid w:val="46206466"/>
    <w:rsid w:val="46217C1A"/>
    <w:rsid w:val="4629258A"/>
    <w:rsid w:val="462D6E08"/>
    <w:rsid w:val="46447DB9"/>
    <w:rsid w:val="46492C2C"/>
    <w:rsid w:val="464E5266"/>
    <w:rsid w:val="465A3A08"/>
    <w:rsid w:val="465C7DFF"/>
    <w:rsid w:val="4662484B"/>
    <w:rsid w:val="46690BD8"/>
    <w:rsid w:val="466F18C6"/>
    <w:rsid w:val="467454A6"/>
    <w:rsid w:val="467E0A66"/>
    <w:rsid w:val="467E6B57"/>
    <w:rsid w:val="467E7B55"/>
    <w:rsid w:val="468A0B4E"/>
    <w:rsid w:val="468B5AEE"/>
    <w:rsid w:val="469A0759"/>
    <w:rsid w:val="469A5235"/>
    <w:rsid w:val="469D4D26"/>
    <w:rsid w:val="469D54D3"/>
    <w:rsid w:val="46A41C10"/>
    <w:rsid w:val="46AC3647"/>
    <w:rsid w:val="46AF5E48"/>
    <w:rsid w:val="46B300A5"/>
    <w:rsid w:val="46B94916"/>
    <w:rsid w:val="46BC1650"/>
    <w:rsid w:val="46BF4086"/>
    <w:rsid w:val="46BF4C9C"/>
    <w:rsid w:val="46C2478C"/>
    <w:rsid w:val="46C2653A"/>
    <w:rsid w:val="46C64EB1"/>
    <w:rsid w:val="46C84F30"/>
    <w:rsid w:val="46C856A3"/>
    <w:rsid w:val="46CB43D9"/>
    <w:rsid w:val="46CC73B9"/>
    <w:rsid w:val="46CE0CBD"/>
    <w:rsid w:val="46CE5D84"/>
    <w:rsid w:val="46D02154"/>
    <w:rsid w:val="46D0453B"/>
    <w:rsid w:val="46DC034D"/>
    <w:rsid w:val="46E22D03"/>
    <w:rsid w:val="46EB3CE3"/>
    <w:rsid w:val="46F82A9E"/>
    <w:rsid w:val="46FD57C4"/>
    <w:rsid w:val="47013507"/>
    <w:rsid w:val="47044DA5"/>
    <w:rsid w:val="470737DD"/>
    <w:rsid w:val="47084895"/>
    <w:rsid w:val="47094169"/>
    <w:rsid w:val="471104A3"/>
    <w:rsid w:val="471A45C8"/>
    <w:rsid w:val="47326316"/>
    <w:rsid w:val="47326A68"/>
    <w:rsid w:val="473B3BEA"/>
    <w:rsid w:val="473C453F"/>
    <w:rsid w:val="47406DDC"/>
    <w:rsid w:val="474324AB"/>
    <w:rsid w:val="47480D01"/>
    <w:rsid w:val="474829B9"/>
    <w:rsid w:val="47496783"/>
    <w:rsid w:val="474A6C5C"/>
    <w:rsid w:val="47527CCE"/>
    <w:rsid w:val="47562215"/>
    <w:rsid w:val="475B1FB0"/>
    <w:rsid w:val="475B65E9"/>
    <w:rsid w:val="47633879"/>
    <w:rsid w:val="47655843"/>
    <w:rsid w:val="476B0C70"/>
    <w:rsid w:val="476C7EB3"/>
    <w:rsid w:val="4770229B"/>
    <w:rsid w:val="47783091"/>
    <w:rsid w:val="477909A7"/>
    <w:rsid w:val="477A0BC3"/>
    <w:rsid w:val="478168DD"/>
    <w:rsid w:val="478657BA"/>
    <w:rsid w:val="47897144"/>
    <w:rsid w:val="478C50BE"/>
    <w:rsid w:val="479A602E"/>
    <w:rsid w:val="47A619B8"/>
    <w:rsid w:val="47A8679C"/>
    <w:rsid w:val="47A95A8E"/>
    <w:rsid w:val="47AF2F63"/>
    <w:rsid w:val="47AF6127"/>
    <w:rsid w:val="47C55277"/>
    <w:rsid w:val="47C65743"/>
    <w:rsid w:val="47C67EE6"/>
    <w:rsid w:val="47CF1F3F"/>
    <w:rsid w:val="47D1012A"/>
    <w:rsid w:val="47D604EF"/>
    <w:rsid w:val="47DB6892"/>
    <w:rsid w:val="47EF7803"/>
    <w:rsid w:val="47F210A1"/>
    <w:rsid w:val="47F941DE"/>
    <w:rsid w:val="47FD0EFF"/>
    <w:rsid w:val="47FE2D79"/>
    <w:rsid w:val="48031735"/>
    <w:rsid w:val="481E59F2"/>
    <w:rsid w:val="48217226"/>
    <w:rsid w:val="482277C7"/>
    <w:rsid w:val="48272FCD"/>
    <w:rsid w:val="483511E4"/>
    <w:rsid w:val="4838060A"/>
    <w:rsid w:val="483D40CA"/>
    <w:rsid w:val="48413B21"/>
    <w:rsid w:val="4842699B"/>
    <w:rsid w:val="484C5173"/>
    <w:rsid w:val="48522E8F"/>
    <w:rsid w:val="485458B8"/>
    <w:rsid w:val="485B747D"/>
    <w:rsid w:val="485D29BF"/>
    <w:rsid w:val="48626A8D"/>
    <w:rsid w:val="486364C3"/>
    <w:rsid w:val="48691363"/>
    <w:rsid w:val="486B2284"/>
    <w:rsid w:val="48744F88"/>
    <w:rsid w:val="48754CF0"/>
    <w:rsid w:val="488558B7"/>
    <w:rsid w:val="489C6D28"/>
    <w:rsid w:val="48A66EB4"/>
    <w:rsid w:val="48A72FAD"/>
    <w:rsid w:val="48AC1250"/>
    <w:rsid w:val="48AC3995"/>
    <w:rsid w:val="48B06F92"/>
    <w:rsid w:val="48B14958"/>
    <w:rsid w:val="48B1532F"/>
    <w:rsid w:val="48BA396D"/>
    <w:rsid w:val="48CE7418"/>
    <w:rsid w:val="48D013E2"/>
    <w:rsid w:val="48D5178D"/>
    <w:rsid w:val="48E66F9D"/>
    <w:rsid w:val="48F50E49"/>
    <w:rsid w:val="48F62E28"/>
    <w:rsid w:val="48FA020D"/>
    <w:rsid w:val="48FA71E9"/>
    <w:rsid w:val="48FF56FF"/>
    <w:rsid w:val="49001FC6"/>
    <w:rsid w:val="49020B0D"/>
    <w:rsid w:val="490B3F0B"/>
    <w:rsid w:val="491A38BA"/>
    <w:rsid w:val="49211C3E"/>
    <w:rsid w:val="492A7703"/>
    <w:rsid w:val="49317544"/>
    <w:rsid w:val="493354CD"/>
    <w:rsid w:val="493613BC"/>
    <w:rsid w:val="49361A63"/>
    <w:rsid w:val="493B49B5"/>
    <w:rsid w:val="493C2B77"/>
    <w:rsid w:val="493D634C"/>
    <w:rsid w:val="49496A9F"/>
    <w:rsid w:val="494B3B1C"/>
    <w:rsid w:val="49506DF6"/>
    <w:rsid w:val="49521DF7"/>
    <w:rsid w:val="495711BC"/>
    <w:rsid w:val="495A7A3C"/>
    <w:rsid w:val="49613490"/>
    <w:rsid w:val="49691D6D"/>
    <w:rsid w:val="49700AF6"/>
    <w:rsid w:val="49706721"/>
    <w:rsid w:val="49754F95"/>
    <w:rsid w:val="497B722E"/>
    <w:rsid w:val="49822597"/>
    <w:rsid w:val="498B2BE2"/>
    <w:rsid w:val="498D631D"/>
    <w:rsid w:val="498F443F"/>
    <w:rsid w:val="498F4DFA"/>
    <w:rsid w:val="499046CE"/>
    <w:rsid w:val="49906225"/>
    <w:rsid w:val="499872CD"/>
    <w:rsid w:val="499905CA"/>
    <w:rsid w:val="499E328F"/>
    <w:rsid w:val="49A068D7"/>
    <w:rsid w:val="49A330DF"/>
    <w:rsid w:val="49A87567"/>
    <w:rsid w:val="49B72FE5"/>
    <w:rsid w:val="49BE293C"/>
    <w:rsid w:val="49C21241"/>
    <w:rsid w:val="49CD147E"/>
    <w:rsid w:val="49CD5922"/>
    <w:rsid w:val="49CE3943"/>
    <w:rsid w:val="49D00F6E"/>
    <w:rsid w:val="49DA4A26"/>
    <w:rsid w:val="49DF1C3F"/>
    <w:rsid w:val="49E1565E"/>
    <w:rsid w:val="49EF4E60"/>
    <w:rsid w:val="49F573AB"/>
    <w:rsid w:val="49F7526D"/>
    <w:rsid w:val="4A095B99"/>
    <w:rsid w:val="4A1A21C8"/>
    <w:rsid w:val="4A1B73C5"/>
    <w:rsid w:val="4A1F09E9"/>
    <w:rsid w:val="4A20088A"/>
    <w:rsid w:val="4A235F41"/>
    <w:rsid w:val="4A2876F7"/>
    <w:rsid w:val="4A2A2FB8"/>
    <w:rsid w:val="4A301A0D"/>
    <w:rsid w:val="4A314103"/>
    <w:rsid w:val="4A3161C6"/>
    <w:rsid w:val="4A3E4989"/>
    <w:rsid w:val="4A4A2ACF"/>
    <w:rsid w:val="4A512BB0"/>
    <w:rsid w:val="4A523F41"/>
    <w:rsid w:val="4A5377CC"/>
    <w:rsid w:val="4A5D5D91"/>
    <w:rsid w:val="4A606796"/>
    <w:rsid w:val="4A6364B8"/>
    <w:rsid w:val="4A673003"/>
    <w:rsid w:val="4A6E2C61"/>
    <w:rsid w:val="4A725A0F"/>
    <w:rsid w:val="4A79081B"/>
    <w:rsid w:val="4A7B712C"/>
    <w:rsid w:val="4A8070F0"/>
    <w:rsid w:val="4A8B095B"/>
    <w:rsid w:val="4AA80442"/>
    <w:rsid w:val="4AA91050"/>
    <w:rsid w:val="4AAD5855"/>
    <w:rsid w:val="4AB02057"/>
    <w:rsid w:val="4AB4130B"/>
    <w:rsid w:val="4ABC2914"/>
    <w:rsid w:val="4AC7411F"/>
    <w:rsid w:val="4AC9433B"/>
    <w:rsid w:val="4ACE1952"/>
    <w:rsid w:val="4ACF4DCB"/>
    <w:rsid w:val="4ACF6FC9"/>
    <w:rsid w:val="4AD856DA"/>
    <w:rsid w:val="4AEB6C72"/>
    <w:rsid w:val="4AEF3676"/>
    <w:rsid w:val="4AF45F04"/>
    <w:rsid w:val="4AFD5BFE"/>
    <w:rsid w:val="4AFF299D"/>
    <w:rsid w:val="4B0373AF"/>
    <w:rsid w:val="4B074D0A"/>
    <w:rsid w:val="4B0A3A95"/>
    <w:rsid w:val="4B0E1D4E"/>
    <w:rsid w:val="4B1906C2"/>
    <w:rsid w:val="4B1F5D09"/>
    <w:rsid w:val="4B257098"/>
    <w:rsid w:val="4B3053A6"/>
    <w:rsid w:val="4B313DD9"/>
    <w:rsid w:val="4B347B1F"/>
    <w:rsid w:val="4B3A6333"/>
    <w:rsid w:val="4B45671B"/>
    <w:rsid w:val="4B4920B7"/>
    <w:rsid w:val="4B4D185C"/>
    <w:rsid w:val="4B4E2A92"/>
    <w:rsid w:val="4B5F6A4E"/>
    <w:rsid w:val="4B6C0A1A"/>
    <w:rsid w:val="4B8244EA"/>
    <w:rsid w:val="4B8F7333"/>
    <w:rsid w:val="4B920E8F"/>
    <w:rsid w:val="4B9550DB"/>
    <w:rsid w:val="4B9D2271"/>
    <w:rsid w:val="4B9D2E9A"/>
    <w:rsid w:val="4BA337D3"/>
    <w:rsid w:val="4BA347DE"/>
    <w:rsid w:val="4BA7122B"/>
    <w:rsid w:val="4BAA29CA"/>
    <w:rsid w:val="4BAA4C79"/>
    <w:rsid w:val="4BAB1C93"/>
    <w:rsid w:val="4BB02E05"/>
    <w:rsid w:val="4BB4735A"/>
    <w:rsid w:val="4BB5041C"/>
    <w:rsid w:val="4BB52723"/>
    <w:rsid w:val="4BBA0128"/>
    <w:rsid w:val="4BBD5522"/>
    <w:rsid w:val="4BC463CC"/>
    <w:rsid w:val="4BC52D55"/>
    <w:rsid w:val="4BC62629"/>
    <w:rsid w:val="4BCA5C6E"/>
    <w:rsid w:val="4BD42F14"/>
    <w:rsid w:val="4BD42F98"/>
    <w:rsid w:val="4BD8788C"/>
    <w:rsid w:val="4BDE52D3"/>
    <w:rsid w:val="4BEB208F"/>
    <w:rsid w:val="4BED2098"/>
    <w:rsid w:val="4BF54CBC"/>
    <w:rsid w:val="4BF54F6F"/>
    <w:rsid w:val="4C0628C9"/>
    <w:rsid w:val="4C0E0883"/>
    <w:rsid w:val="4C0E5B16"/>
    <w:rsid w:val="4C102B86"/>
    <w:rsid w:val="4C1710D6"/>
    <w:rsid w:val="4C2B14ED"/>
    <w:rsid w:val="4C2B73AC"/>
    <w:rsid w:val="4C2F0FC1"/>
    <w:rsid w:val="4C30370D"/>
    <w:rsid w:val="4C325F10"/>
    <w:rsid w:val="4C3426D1"/>
    <w:rsid w:val="4C343A36"/>
    <w:rsid w:val="4C3B4DC5"/>
    <w:rsid w:val="4C417FD8"/>
    <w:rsid w:val="4C4B734A"/>
    <w:rsid w:val="4C5600CA"/>
    <w:rsid w:val="4C575B4B"/>
    <w:rsid w:val="4C582392"/>
    <w:rsid w:val="4C6870EB"/>
    <w:rsid w:val="4C6E544A"/>
    <w:rsid w:val="4C7268EC"/>
    <w:rsid w:val="4C7629AC"/>
    <w:rsid w:val="4C791583"/>
    <w:rsid w:val="4C8147A2"/>
    <w:rsid w:val="4C820C46"/>
    <w:rsid w:val="4C8C659D"/>
    <w:rsid w:val="4C9160FF"/>
    <w:rsid w:val="4CA31E6E"/>
    <w:rsid w:val="4CAC7A71"/>
    <w:rsid w:val="4CAD6A02"/>
    <w:rsid w:val="4CB01F85"/>
    <w:rsid w:val="4CB66B41"/>
    <w:rsid w:val="4CC72AFC"/>
    <w:rsid w:val="4CCA7EF7"/>
    <w:rsid w:val="4CD01F92"/>
    <w:rsid w:val="4CDC6FB8"/>
    <w:rsid w:val="4CDE6D29"/>
    <w:rsid w:val="4CEA67EB"/>
    <w:rsid w:val="4CF431C6"/>
    <w:rsid w:val="4CF51418"/>
    <w:rsid w:val="4D047877"/>
    <w:rsid w:val="4D064FCD"/>
    <w:rsid w:val="4D113D78"/>
    <w:rsid w:val="4D1568A3"/>
    <w:rsid w:val="4D183358"/>
    <w:rsid w:val="4D1B09D4"/>
    <w:rsid w:val="4D1B74DE"/>
    <w:rsid w:val="4D200F86"/>
    <w:rsid w:val="4D24529F"/>
    <w:rsid w:val="4D2607A2"/>
    <w:rsid w:val="4D297313"/>
    <w:rsid w:val="4D357738"/>
    <w:rsid w:val="4D455887"/>
    <w:rsid w:val="4D553C64"/>
    <w:rsid w:val="4D5A2BF0"/>
    <w:rsid w:val="4D6603A5"/>
    <w:rsid w:val="4D7425E9"/>
    <w:rsid w:val="4D770568"/>
    <w:rsid w:val="4D8B1FBB"/>
    <w:rsid w:val="4D943FED"/>
    <w:rsid w:val="4D954A2A"/>
    <w:rsid w:val="4DA035B2"/>
    <w:rsid w:val="4DA370C6"/>
    <w:rsid w:val="4DA71FF5"/>
    <w:rsid w:val="4DAA6616"/>
    <w:rsid w:val="4DAA76F7"/>
    <w:rsid w:val="4DB017E2"/>
    <w:rsid w:val="4DB210B7"/>
    <w:rsid w:val="4DB801C5"/>
    <w:rsid w:val="4DB8448E"/>
    <w:rsid w:val="4DC24624"/>
    <w:rsid w:val="4DC42B98"/>
    <w:rsid w:val="4DCE4932"/>
    <w:rsid w:val="4DE10A6F"/>
    <w:rsid w:val="4DE60D60"/>
    <w:rsid w:val="4DEA5F62"/>
    <w:rsid w:val="4DFE254E"/>
    <w:rsid w:val="4E023609"/>
    <w:rsid w:val="4E03108A"/>
    <w:rsid w:val="4E051C96"/>
    <w:rsid w:val="4E06389A"/>
    <w:rsid w:val="4E073314"/>
    <w:rsid w:val="4E0910A4"/>
    <w:rsid w:val="4E0A4298"/>
    <w:rsid w:val="4E157897"/>
    <w:rsid w:val="4E173610"/>
    <w:rsid w:val="4E192EE4"/>
    <w:rsid w:val="4E1E3A71"/>
    <w:rsid w:val="4E265601"/>
    <w:rsid w:val="4E375A60"/>
    <w:rsid w:val="4E3B4A67"/>
    <w:rsid w:val="4E480A91"/>
    <w:rsid w:val="4E4A6BC9"/>
    <w:rsid w:val="4E4C2DF2"/>
    <w:rsid w:val="4E4C34D2"/>
    <w:rsid w:val="4E5224B5"/>
    <w:rsid w:val="4E54216E"/>
    <w:rsid w:val="4E543413"/>
    <w:rsid w:val="4E552F5B"/>
    <w:rsid w:val="4E573A0C"/>
    <w:rsid w:val="4E5E69E1"/>
    <w:rsid w:val="4E6A1D33"/>
    <w:rsid w:val="4E720A8B"/>
    <w:rsid w:val="4E7B1FCD"/>
    <w:rsid w:val="4E810A89"/>
    <w:rsid w:val="4E8267FF"/>
    <w:rsid w:val="4E8B1908"/>
    <w:rsid w:val="4E93713A"/>
    <w:rsid w:val="4E946A0E"/>
    <w:rsid w:val="4E9609D8"/>
    <w:rsid w:val="4E9702AC"/>
    <w:rsid w:val="4E9F4941"/>
    <w:rsid w:val="4EA5566A"/>
    <w:rsid w:val="4EAD7AD0"/>
    <w:rsid w:val="4EAF5DA4"/>
    <w:rsid w:val="4EB244E8"/>
    <w:rsid w:val="4EB3158A"/>
    <w:rsid w:val="4EBC7D13"/>
    <w:rsid w:val="4EC22A9C"/>
    <w:rsid w:val="4EC952CE"/>
    <w:rsid w:val="4ECE3FD6"/>
    <w:rsid w:val="4ED107DE"/>
    <w:rsid w:val="4ED846F1"/>
    <w:rsid w:val="4EDB2771"/>
    <w:rsid w:val="4EE31744"/>
    <w:rsid w:val="4EF413C1"/>
    <w:rsid w:val="4EF44322"/>
    <w:rsid w:val="4EF94AC3"/>
    <w:rsid w:val="4EFB2CC3"/>
    <w:rsid w:val="4EFB6A8D"/>
    <w:rsid w:val="4F01352B"/>
    <w:rsid w:val="4F021BCA"/>
    <w:rsid w:val="4F0444B0"/>
    <w:rsid w:val="4F115587"/>
    <w:rsid w:val="4F12555E"/>
    <w:rsid w:val="4F133972"/>
    <w:rsid w:val="4F161B19"/>
    <w:rsid w:val="4F1D43F5"/>
    <w:rsid w:val="4F211862"/>
    <w:rsid w:val="4F26376B"/>
    <w:rsid w:val="4F39409A"/>
    <w:rsid w:val="4F3E7F31"/>
    <w:rsid w:val="4F403EDA"/>
    <w:rsid w:val="4F415BA2"/>
    <w:rsid w:val="4F4915A7"/>
    <w:rsid w:val="4F4C48A4"/>
    <w:rsid w:val="4F4E6379"/>
    <w:rsid w:val="4F5C39D0"/>
    <w:rsid w:val="4F647721"/>
    <w:rsid w:val="4F701229"/>
    <w:rsid w:val="4F715265"/>
    <w:rsid w:val="4F752C65"/>
    <w:rsid w:val="4F75628D"/>
    <w:rsid w:val="4F7A3FEF"/>
    <w:rsid w:val="4F7B372A"/>
    <w:rsid w:val="4F7C7BCE"/>
    <w:rsid w:val="4F7D3946"/>
    <w:rsid w:val="4F7E1C8F"/>
    <w:rsid w:val="4F7E6378"/>
    <w:rsid w:val="4F872874"/>
    <w:rsid w:val="4F8E16AF"/>
    <w:rsid w:val="4F950C90"/>
    <w:rsid w:val="4FA12EEE"/>
    <w:rsid w:val="4FA33B4F"/>
    <w:rsid w:val="4FA34670"/>
    <w:rsid w:val="4FA355B2"/>
    <w:rsid w:val="4FA465B8"/>
    <w:rsid w:val="4FB851EC"/>
    <w:rsid w:val="4FB8543D"/>
    <w:rsid w:val="4FBC6FA2"/>
    <w:rsid w:val="4FBE1360"/>
    <w:rsid w:val="4FBF365D"/>
    <w:rsid w:val="4FCD53EE"/>
    <w:rsid w:val="4FD50494"/>
    <w:rsid w:val="4FD83C6D"/>
    <w:rsid w:val="4FDB582C"/>
    <w:rsid w:val="4FE319FB"/>
    <w:rsid w:val="4FE36D8A"/>
    <w:rsid w:val="4FE63299"/>
    <w:rsid w:val="4FED755C"/>
    <w:rsid w:val="4FFA6FC7"/>
    <w:rsid w:val="4FFF127B"/>
    <w:rsid w:val="500478D6"/>
    <w:rsid w:val="500D4CCA"/>
    <w:rsid w:val="50102F74"/>
    <w:rsid w:val="50106568"/>
    <w:rsid w:val="50111EE2"/>
    <w:rsid w:val="50125E3D"/>
    <w:rsid w:val="501D3F5D"/>
    <w:rsid w:val="50202421"/>
    <w:rsid w:val="50212AC5"/>
    <w:rsid w:val="50324731"/>
    <w:rsid w:val="503861D6"/>
    <w:rsid w:val="50395ABF"/>
    <w:rsid w:val="503A18D8"/>
    <w:rsid w:val="50425DED"/>
    <w:rsid w:val="505111B6"/>
    <w:rsid w:val="50597248"/>
    <w:rsid w:val="5069300E"/>
    <w:rsid w:val="50693A3D"/>
    <w:rsid w:val="507F724A"/>
    <w:rsid w:val="50854CBB"/>
    <w:rsid w:val="508825A3"/>
    <w:rsid w:val="508F3931"/>
    <w:rsid w:val="509205B0"/>
    <w:rsid w:val="50942CF5"/>
    <w:rsid w:val="509B4A53"/>
    <w:rsid w:val="509E7B4B"/>
    <w:rsid w:val="50A42BA6"/>
    <w:rsid w:val="50A849F3"/>
    <w:rsid w:val="50AC6291"/>
    <w:rsid w:val="50B909AE"/>
    <w:rsid w:val="50B97B15"/>
    <w:rsid w:val="50BA5154"/>
    <w:rsid w:val="50BE15EF"/>
    <w:rsid w:val="50CC731F"/>
    <w:rsid w:val="50D137A7"/>
    <w:rsid w:val="50E81293"/>
    <w:rsid w:val="50F17090"/>
    <w:rsid w:val="50F21DB7"/>
    <w:rsid w:val="50F814D6"/>
    <w:rsid w:val="5100038B"/>
    <w:rsid w:val="51050732"/>
    <w:rsid w:val="510C30A0"/>
    <w:rsid w:val="511172E6"/>
    <w:rsid w:val="511623B8"/>
    <w:rsid w:val="5119144D"/>
    <w:rsid w:val="511B3845"/>
    <w:rsid w:val="511C3DE5"/>
    <w:rsid w:val="51220E08"/>
    <w:rsid w:val="512222AC"/>
    <w:rsid w:val="513C0D41"/>
    <w:rsid w:val="514C6E54"/>
    <w:rsid w:val="514E19EB"/>
    <w:rsid w:val="51594722"/>
    <w:rsid w:val="51595CED"/>
    <w:rsid w:val="515B2086"/>
    <w:rsid w:val="515C7753"/>
    <w:rsid w:val="51635294"/>
    <w:rsid w:val="51642065"/>
    <w:rsid w:val="51694182"/>
    <w:rsid w:val="5169752F"/>
    <w:rsid w:val="516C3EC9"/>
    <w:rsid w:val="516D3625"/>
    <w:rsid w:val="517045AA"/>
    <w:rsid w:val="51784224"/>
    <w:rsid w:val="517843C5"/>
    <w:rsid w:val="51887BE0"/>
    <w:rsid w:val="51936BF0"/>
    <w:rsid w:val="51963298"/>
    <w:rsid w:val="51966D46"/>
    <w:rsid w:val="51A76A58"/>
    <w:rsid w:val="51B3364F"/>
    <w:rsid w:val="51B56868"/>
    <w:rsid w:val="51B82E3C"/>
    <w:rsid w:val="51BC33A4"/>
    <w:rsid w:val="51BF1FF4"/>
    <w:rsid w:val="51C11232"/>
    <w:rsid w:val="51D76E37"/>
    <w:rsid w:val="51DB6702"/>
    <w:rsid w:val="51E21B58"/>
    <w:rsid w:val="51E41BFA"/>
    <w:rsid w:val="51EA6472"/>
    <w:rsid w:val="51EB0E93"/>
    <w:rsid w:val="51ED2C7A"/>
    <w:rsid w:val="51ED4DB3"/>
    <w:rsid w:val="51F31C9E"/>
    <w:rsid w:val="51F9745D"/>
    <w:rsid w:val="51FC79FD"/>
    <w:rsid w:val="5203739C"/>
    <w:rsid w:val="52075749"/>
    <w:rsid w:val="520E6AD8"/>
    <w:rsid w:val="5214076B"/>
    <w:rsid w:val="52196AB9"/>
    <w:rsid w:val="521C24C4"/>
    <w:rsid w:val="521F0D4E"/>
    <w:rsid w:val="52232583"/>
    <w:rsid w:val="524349D3"/>
    <w:rsid w:val="5250749B"/>
    <w:rsid w:val="5257047F"/>
    <w:rsid w:val="525766D1"/>
    <w:rsid w:val="52635B31"/>
    <w:rsid w:val="5266450B"/>
    <w:rsid w:val="526654B1"/>
    <w:rsid w:val="52694F24"/>
    <w:rsid w:val="526F3A1A"/>
    <w:rsid w:val="527345FD"/>
    <w:rsid w:val="52742DDF"/>
    <w:rsid w:val="5278409B"/>
    <w:rsid w:val="528D2098"/>
    <w:rsid w:val="529F66D1"/>
    <w:rsid w:val="52A30656"/>
    <w:rsid w:val="52AB4326"/>
    <w:rsid w:val="52B626C2"/>
    <w:rsid w:val="52B907B1"/>
    <w:rsid w:val="52BF2FD2"/>
    <w:rsid w:val="52C25BF0"/>
    <w:rsid w:val="52CB759A"/>
    <w:rsid w:val="52D410DE"/>
    <w:rsid w:val="52D7336D"/>
    <w:rsid w:val="52D74DF5"/>
    <w:rsid w:val="52D9353C"/>
    <w:rsid w:val="52ED30C9"/>
    <w:rsid w:val="52EE2932"/>
    <w:rsid w:val="52F537F4"/>
    <w:rsid w:val="52FE7580"/>
    <w:rsid w:val="52FF0538"/>
    <w:rsid w:val="52FF062F"/>
    <w:rsid w:val="53000B16"/>
    <w:rsid w:val="53005AE8"/>
    <w:rsid w:val="530449C0"/>
    <w:rsid w:val="53110C93"/>
    <w:rsid w:val="53282517"/>
    <w:rsid w:val="532F4DB8"/>
    <w:rsid w:val="53326836"/>
    <w:rsid w:val="53360094"/>
    <w:rsid w:val="533B6E8F"/>
    <w:rsid w:val="533F2835"/>
    <w:rsid w:val="53413AAF"/>
    <w:rsid w:val="534327B1"/>
    <w:rsid w:val="53580AEC"/>
    <w:rsid w:val="53744382"/>
    <w:rsid w:val="537B5903"/>
    <w:rsid w:val="537E76CA"/>
    <w:rsid w:val="537F5EDF"/>
    <w:rsid w:val="53805984"/>
    <w:rsid w:val="538232D9"/>
    <w:rsid w:val="53864829"/>
    <w:rsid w:val="539146B2"/>
    <w:rsid w:val="539478C8"/>
    <w:rsid w:val="53986FA1"/>
    <w:rsid w:val="53A31046"/>
    <w:rsid w:val="53A95DC0"/>
    <w:rsid w:val="53A960C5"/>
    <w:rsid w:val="53AC0356"/>
    <w:rsid w:val="53B15DDD"/>
    <w:rsid w:val="53B72F78"/>
    <w:rsid w:val="53B97602"/>
    <w:rsid w:val="53C33AC6"/>
    <w:rsid w:val="53C658BC"/>
    <w:rsid w:val="53CD2468"/>
    <w:rsid w:val="53CE7D56"/>
    <w:rsid w:val="53D224B3"/>
    <w:rsid w:val="53DC234A"/>
    <w:rsid w:val="53DD2C05"/>
    <w:rsid w:val="53EB4FD6"/>
    <w:rsid w:val="53ED0708"/>
    <w:rsid w:val="53EF1D03"/>
    <w:rsid w:val="53F1045F"/>
    <w:rsid w:val="53F70AD0"/>
    <w:rsid w:val="54014B46"/>
    <w:rsid w:val="540B7773"/>
    <w:rsid w:val="540F58D7"/>
    <w:rsid w:val="541008E5"/>
    <w:rsid w:val="54137361"/>
    <w:rsid w:val="54177EC5"/>
    <w:rsid w:val="541D0AB1"/>
    <w:rsid w:val="544640D3"/>
    <w:rsid w:val="544D23A4"/>
    <w:rsid w:val="544D7A5D"/>
    <w:rsid w:val="5462654D"/>
    <w:rsid w:val="54641104"/>
    <w:rsid w:val="54657273"/>
    <w:rsid w:val="54662BFB"/>
    <w:rsid w:val="546649A9"/>
    <w:rsid w:val="546658BC"/>
    <w:rsid w:val="54693778"/>
    <w:rsid w:val="54790B80"/>
    <w:rsid w:val="54812C33"/>
    <w:rsid w:val="548A3929"/>
    <w:rsid w:val="548B501C"/>
    <w:rsid w:val="54901A26"/>
    <w:rsid w:val="54A61249"/>
    <w:rsid w:val="54B03E76"/>
    <w:rsid w:val="54B24092"/>
    <w:rsid w:val="54B27767"/>
    <w:rsid w:val="54B50682"/>
    <w:rsid w:val="54B90F7D"/>
    <w:rsid w:val="54BA2A6A"/>
    <w:rsid w:val="54C142D5"/>
    <w:rsid w:val="54C620A2"/>
    <w:rsid w:val="54CB652A"/>
    <w:rsid w:val="54D06E1A"/>
    <w:rsid w:val="54D538DD"/>
    <w:rsid w:val="54D6013E"/>
    <w:rsid w:val="54DA4478"/>
    <w:rsid w:val="54DE6C35"/>
    <w:rsid w:val="54E64B55"/>
    <w:rsid w:val="54F7437A"/>
    <w:rsid w:val="550616A2"/>
    <w:rsid w:val="55173617"/>
    <w:rsid w:val="55181753"/>
    <w:rsid w:val="551B6D13"/>
    <w:rsid w:val="55421798"/>
    <w:rsid w:val="5543118E"/>
    <w:rsid w:val="554A0474"/>
    <w:rsid w:val="554C3EA0"/>
    <w:rsid w:val="55564A1D"/>
    <w:rsid w:val="55584602"/>
    <w:rsid w:val="5560764A"/>
    <w:rsid w:val="55735A3E"/>
    <w:rsid w:val="5579695E"/>
    <w:rsid w:val="557D4AFD"/>
    <w:rsid w:val="5580161D"/>
    <w:rsid w:val="558477DD"/>
    <w:rsid w:val="55861D06"/>
    <w:rsid w:val="5588168A"/>
    <w:rsid w:val="558A456B"/>
    <w:rsid w:val="558C043F"/>
    <w:rsid w:val="559519EA"/>
    <w:rsid w:val="559A6BFE"/>
    <w:rsid w:val="559E47AA"/>
    <w:rsid w:val="559F4616"/>
    <w:rsid w:val="55A27599"/>
    <w:rsid w:val="55A34781"/>
    <w:rsid w:val="55B5786A"/>
    <w:rsid w:val="55B82A4D"/>
    <w:rsid w:val="55BA4D34"/>
    <w:rsid w:val="55BB0D24"/>
    <w:rsid w:val="55BD1541"/>
    <w:rsid w:val="55C0633B"/>
    <w:rsid w:val="55C23E61"/>
    <w:rsid w:val="55C67DF5"/>
    <w:rsid w:val="55C93441"/>
    <w:rsid w:val="55D02A22"/>
    <w:rsid w:val="55D122F6"/>
    <w:rsid w:val="55D41DE6"/>
    <w:rsid w:val="55D7727B"/>
    <w:rsid w:val="55E71E89"/>
    <w:rsid w:val="55F928F2"/>
    <w:rsid w:val="55FB6C1C"/>
    <w:rsid w:val="56020701"/>
    <w:rsid w:val="56044479"/>
    <w:rsid w:val="560E191A"/>
    <w:rsid w:val="561074A3"/>
    <w:rsid w:val="561A74D1"/>
    <w:rsid w:val="56226FF5"/>
    <w:rsid w:val="56266AA3"/>
    <w:rsid w:val="564C7183"/>
    <w:rsid w:val="565124A0"/>
    <w:rsid w:val="565518B4"/>
    <w:rsid w:val="565B3416"/>
    <w:rsid w:val="565E57F8"/>
    <w:rsid w:val="56616C1A"/>
    <w:rsid w:val="56625829"/>
    <w:rsid w:val="5664316A"/>
    <w:rsid w:val="56665134"/>
    <w:rsid w:val="566B274A"/>
    <w:rsid w:val="566C201F"/>
    <w:rsid w:val="566D0271"/>
    <w:rsid w:val="566F612A"/>
    <w:rsid w:val="5673074B"/>
    <w:rsid w:val="567426CC"/>
    <w:rsid w:val="567649A8"/>
    <w:rsid w:val="56777341"/>
    <w:rsid w:val="56876549"/>
    <w:rsid w:val="56893385"/>
    <w:rsid w:val="56A54BEB"/>
    <w:rsid w:val="56AD2D63"/>
    <w:rsid w:val="56B238D0"/>
    <w:rsid w:val="56B24705"/>
    <w:rsid w:val="56B938F1"/>
    <w:rsid w:val="56C1236A"/>
    <w:rsid w:val="56C15C30"/>
    <w:rsid w:val="56C24467"/>
    <w:rsid w:val="56C24B48"/>
    <w:rsid w:val="56C33516"/>
    <w:rsid w:val="56CB72F5"/>
    <w:rsid w:val="56D6023A"/>
    <w:rsid w:val="56D72E1C"/>
    <w:rsid w:val="56D93C76"/>
    <w:rsid w:val="56F2054D"/>
    <w:rsid w:val="56F20776"/>
    <w:rsid w:val="56F269C8"/>
    <w:rsid w:val="56FA2721"/>
    <w:rsid w:val="56FB537D"/>
    <w:rsid w:val="5700011B"/>
    <w:rsid w:val="570240FA"/>
    <w:rsid w:val="570861EB"/>
    <w:rsid w:val="57132F6C"/>
    <w:rsid w:val="571376E9"/>
    <w:rsid w:val="571C11A4"/>
    <w:rsid w:val="571E77BD"/>
    <w:rsid w:val="57201787"/>
    <w:rsid w:val="57212E09"/>
    <w:rsid w:val="572220F5"/>
    <w:rsid w:val="572648C3"/>
    <w:rsid w:val="57277AEC"/>
    <w:rsid w:val="57376624"/>
    <w:rsid w:val="573B036F"/>
    <w:rsid w:val="574A5644"/>
    <w:rsid w:val="574D144C"/>
    <w:rsid w:val="5758495A"/>
    <w:rsid w:val="575D7DA8"/>
    <w:rsid w:val="57671164"/>
    <w:rsid w:val="576C48F1"/>
    <w:rsid w:val="577365E1"/>
    <w:rsid w:val="577613A7"/>
    <w:rsid w:val="5785783C"/>
    <w:rsid w:val="57922F7B"/>
    <w:rsid w:val="57992859"/>
    <w:rsid w:val="57A777B2"/>
    <w:rsid w:val="57B54CF4"/>
    <w:rsid w:val="57BB7F7D"/>
    <w:rsid w:val="57BD0D84"/>
    <w:rsid w:val="57CF2865"/>
    <w:rsid w:val="57D8796C"/>
    <w:rsid w:val="57D94165"/>
    <w:rsid w:val="57DA5E14"/>
    <w:rsid w:val="57E31C08"/>
    <w:rsid w:val="57EE4DA5"/>
    <w:rsid w:val="57FB5D50"/>
    <w:rsid w:val="57FF75EE"/>
    <w:rsid w:val="58003366"/>
    <w:rsid w:val="58022C3B"/>
    <w:rsid w:val="580267EC"/>
    <w:rsid w:val="58041334"/>
    <w:rsid w:val="5807127B"/>
    <w:rsid w:val="5807265D"/>
    <w:rsid w:val="580746F5"/>
    <w:rsid w:val="5814296E"/>
    <w:rsid w:val="58150BC0"/>
    <w:rsid w:val="581D163F"/>
    <w:rsid w:val="581F559B"/>
    <w:rsid w:val="582145F5"/>
    <w:rsid w:val="5829466B"/>
    <w:rsid w:val="582F3FFA"/>
    <w:rsid w:val="58350AC5"/>
    <w:rsid w:val="58381A62"/>
    <w:rsid w:val="583D5ED1"/>
    <w:rsid w:val="58412514"/>
    <w:rsid w:val="5841674E"/>
    <w:rsid w:val="584414A5"/>
    <w:rsid w:val="5844254D"/>
    <w:rsid w:val="584B4D97"/>
    <w:rsid w:val="5864289C"/>
    <w:rsid w:val="58733018"/>
    <w:rsid w:val="58782EFD"/>
    <w:rsid w:val="587A5D36"/>
    <w:rsid w:val="587D5861"/>
    <w:rsid w:val="5889269F"/>
    <w:rsid w:val="588E2AE1"/>
    <w:rsid w:val="589715D5"/>
    <w:rsid w:val="58AC64E1"/>
    <w:rsid w:val="58AC780A"/>
    <w:rsid w:val="58AE4F0C"/>
    <w:rsid w:val="58B41C1C"/>
    <w:rsid w:val="58B72281"/>
    <w:rsid w:val="58BA1D02"/>
    <w:rsid w:val="58C12AF6"/>
    <w:rsid w:val="58C1771E"/>
    <w:rsid w:val="58C24BD6"/>
    <w:rsid w:val="58C868B5"/>
    <w:rsid w:val="58CE7988"/>
    <w:rsid w:val="58D04AE7"/>
    <w:rsid w:val="58D26AB1"/>
    <w:rsid w:val="58D47B3B"/>
    <w:rsid w:val="58DA7055"/>
    <w:rsid w:val="58E03E96"/>
    <w:rsid w:val="58E3481A"/>
    <w:rsid w:val="58F669E4"/>
    <w:rsid w:val="59034EBC"/>
    <w:rsid w:val="590A1717"/>
    <w:rsid w:val="590F1AB3"/>
    <w:rsid w:val="591438A3"/>
    <w:rsid w:val="59296DD4"/>
    <w:rsid w:val="5932754F"/>
    <w:rsid w:val="593432C8"/>
    <w:rsid w:val="593A17CF"/>
    <w:rsid w:val="593C03CE"/>
    <w:rsid w:val="593D68CB"/>
    <w:rsid w:val="593F3747"/>
    <w:rsid w:val="59414C9D"/>
    <w:rsid w:val="59427955"/>
    <w:rsid w:val="59492A03"/>
    <w:rsid w:val="594A3EE1"/>
    <w:rsid w:val="59532CD9"/>
    <w:rsid w:val="595A5175"/>
    <w:rsid w:val="595F5BDC"/>
    <w:rsid w:val="59637709"/>
    <w:rsid w:val="59642804"/>
    <w:rsid w:val="59653481"/>
    <w:rsid w:val="59690718"/>
    <w:rsid w:val="59695094"/>
    <w:rsid w:val="59754648"/>
    <w:rsid w:val="5975743C"/>
    <w:rsid w:val="59777658"/>
    <w:rsid w:val="597D0045"/>
    <w:rsid w:val="59822285"/>
    <w:rsid w:val="59851D75"/>
    <w:rsid w:val="59853B23"/>
    <w:rsid w:val="59861649"/>
    <w:rsid w:val="598B7419"/>
    <w:rsid w:val="599257AC"/>
    <w:rsid w:val="59974E89"/>
    <w:rsid w:val="59AF0BA0"/>
    <w:rsid w:val="59B36D38"/>
    <w:rsid w:val="59BA0B35"/>
    <w:rsid w:val="59C67F57"/>
    <w:rsid w:val="59CD4838"/>
    <w:rsid w:val="59D56305"/>
    <w:rsid w:val="59D932D9"/>
    <w:rsid w:val="59EE3069"/>
    <w:rsid w:val="5A060397"/>
    <w:rsid w:val="5A065672"/>
    <w:rsid w:val="5A0C78B7"/>
    <w:rsid w:val="5A144EA7"/>
    <w:rsid w:val="5A201C87"/>
    <w:rsid w:val="5A214F82"/>
    <w:rsid w:val="5A276CF7"/>
    <w:rsid w:val="5A3B2434"/>
    <w:rsid w:val="5A3D43FE"/>
    <w:rsid w:val="5A4A2677"/>
    <w:rsid w:val="5A4E1134"/>
    <w:rsid w:val="5A4F611C"/>
    <w:rsid w:val="5A570D57"/>
    <w:rsid w:val="5A5A5963"/>
    <w:rsid w:val="5A6333C7"/>
    <w:rsid w:val="5A6F70EB"/>
    <w:rsid w:val="5A77291D"/>
    <w:rsid w:val="5A7A0CFF"/>
    <w:rsid w:val="5A7C491B"/>
    <w:rsid w:val="5A846385"/>
    <w:rsid w:val="5A853B90"/>
    <w:rsid w:val="5A871B1D"/>
    <w:rsid w:val="5A8C1447"/>
    <w:rsid w:val="5A965725"/>
    <w:rsid w:val="5A980EDE"/>
    <w:rsid w:val="5A9B7AF8"/>
    <w:rsid w:val="5AA26F2F"/>
    <w:rsid w:val="5AA31EC3"/>
    <w:rsid w:val="5AAA3A4D"/>
    <w:rsid w:val="5AB20948"/>
    <w:rsid w:val="5AB72A70"/>
    <w:rsid w:val="5ABF3065"/>
    <w:rsid w:val="5ABF3EC0"/>
    <w:rsid w:val="5AC051B0"/>
    <w:rsid w:val="5AD00CEF"/>
    <w:rsid w:val="5AD85ED5"/>
    <w:rsid w:val="5AE24CEF"/>
    <w:rsid w:val="5AE9419F"/>
    <w:rsid w:val="5AEA74AD"/>
    <w:rsid w:val="5AEB2210"/>
    <w:rsid w:val="5AF739D7"/>
    <w:rsid w:val="5AFC4630"/>
    <w:rsid w:val="5B0F11F3"/>
    <w:rsid w:val="5B1038C0"/>
    <w:rsid w:val="5B174F7D"/>
    <w:rsid w:val="5B1C4013"/>
    <w:rsid w:val="5B1E2AE5"/>
    <w:rsid w:val="5B244A46"/>
    <w:rsid w:val="5B2A781E"/>
    <w:rsid w:val="5B2B4256"/>
    <w:rsid w:val="5B2B4F9D"/>
    <w:rsid w:val="5B2B53A5"/>
    <w:rsid w:val="5B2F01EA"/>
    <w:rsid w:val="5B321A89"/>
    <w:rsid w:val="5B3668F2"/>
    <w:rsid w:val="5B386973"/>
    <w:rsid w:val="5B440BC9"/>
    <w:rsid w:val="5B4E455A"/>
    <w:rsid w:val="5B5456E2"/>
    <w:rsid w:val="5B590DC3"/>
    <w:rsid w:val="5B5C6B06"/>
    <w:rsid w:val="5B5E2DCF"/>
    <w:rsid w:val="5B641029"/>
    <w:rsid w:val="5B715A14"/>
    <w:rsid w:val="5B762FA3"/>
    <w:rsid w:val="5B7A078B"/>
    <w:rsid w:val="5B7A511B"/>
    <w:rsid w:val="5B8405A1"/>
    <w:rsid w:val="5B850A4A"/>
    <w:rsid w:val="5B9339CA"/>
    <w:rsid w:val="5B94004E"/>
    <w:rsid w:val="5B9938B6"/>
    <w:rsid w:val="5B9C6544"/>
    <w:rsid w:val="5B9D165A"/>
    <w:rsid w:val="5BA25FD4"/>
    <w:rsid w:val="5BAB5397"/>
    <w:rsid w:val="5BB3305D"/>
    <w:rsid w:val="5BB51980"/>
    <w:rsid w:val="5BB97AB4"/>
    <w:rsid w:val="5BBD3DFF"/>
    <w:rsid w:val="5BBF262E"/>
    <w:rsid w:val="5BC32306"/>
    <w:rsid w:val="5BCE5C20"/>
    <w:rsid w:val="5BD4669C"/>
    <w:rsid w:val="5BE018CB"/>
    <w:rsid w:val="5BE32439"/>
    <w:rsid w:val="5BED391F"/>
    <w:rsid w:val="5BF66817"/>
    <w:rsid w:val="5BF909A6"/>
    <w:rsid w:val="5BF97111"/>
    <w:rsid w:val="5C042965"/>
    <w:rsid w:val="5C090A3C"/>
    <w:rsid w:val="5C161832"/>
    <w:rsid w:val="5C182A2D"/>
    <w:rsid w:val="5C217C55"/>
    <w:rsid w:val="5C240471"/>
    <w:rsid w:val="5C2A51C2"/>
    <w:rsid w:val="5C2F3D9C"/>
    <w:rsid w:val="5C2F7D76"/>
    <w:rsid w:val="5C320975"/>
    <w:rsid w:val="5C320FC0"/>
    <w:rsid w:val="5C35447D"/>
    <w:rsid w:val="5C382640"/>
    <w:rsid w:val="5C4001D5"/>
    <w:rsid w:val="5C4F21C6"/>
    <w:rsid w:val="5C51127C"/>
    <w:rsid w:val="5C530B46"/>
    <w:rsid w:val="5C5A1297"/>
    <w:rsid w:val="5C5B500F"/>
    <w:rsid w:val="5C6462A1"/>
    <w:rsid w:val="5C6479B7"/>
    <w:rsid w:val="5C68237E"/>
    <w:rsid w:val="5C760D5E"/>
    <w:rsid w:val="5C7659A5"/>
    <w:rsid w:val="5C7A36E7"/>
    <w:rsid w:val="5C7B7E49"/>
    <w:rsid w:val="5C7D43EE"/>
    <w:rsid w:val="5C821F88"/>
    <w:rsid w:val="5C841E70"/>
    <w:rsid w:val="5C8B1471"/>
    <w:rsid w:val="5C9004FC"/>
    <w:rsid w:val="5C910464"/>
    <w:rsid w:val="5C915C6B"/>
    <w:rsid w:val="5C9238ED"/>
    <w:rsid w:val="5C967DF5"/>
    <w:rsid w:val="5C98591B"/>
    <w:rsid w:val="5C9B6479"/>
    <w:rsid w:val="5CA61935"/>
    <w:rsid w:val="5CAC7CF8"/>
    <w:rsid w:val="5CAE4E65"/>
    <w:rsid w:val="5CB62828"/>
    <w:rsid w:val="5CBA3AE4"/>
    <w:rsid w:val="5CD453E6"/>
    <w:rsid w:val="5CD728D9"/>
    <w:rsid w:val="5CD947B2"/>
    <w:rsid w:val="5CDC597D"/>
    <w:rsid w:val="5CDD3C76"/>
    <w:rsid w:val="5CE40B61"/>
    <w:rsid w:val="5CF01708"/>
    <w:rsid w:val="5CF1327E"/>
    <w:rsid w:val="5CFF599B"/>
    <w:rsid w:val="5D080CF3"/>
    <w:rsid w:val="5D0E2082"/>
    <w:rsid w:val="5D0E3E30"/>
    <w:rsid w:val="5D1300F7"/>
    <w:rsid w:val="5D13205D"/>
    <w:rsid w:val="5D1740AB"/>
    <w:rsid w:val="5D1963D4"/>
    <w:rsid w:val="5D1C654D"/>
    <w:rsid w:val="5D1D16E7"/>
    <w:rsid w:val="5D1E440A"/>
    <w:rsid w:val="5D1E6296"/>
    <w:rsid w:val="5D2C5605"/>
    <w:rsid w:val="5D352B4F"/>
    <w:rsid w:val="5D3D626A"/>
    <w:rsid w:val="5D3F4519"/>
    <w:rsid w:val="5D41322F"/>
    <w:rsid w:val="5D42488D"/>
    <w:rsid w:val="5D425C8F"/>
    <w:rsid w:val="5D4C7DAD"/>
    <w:rsid w:val="5D5E4DB7"/>
    <w:rsid w:val="5D5F2F22"/>
    <w:rsid w:val="5D610B5B"/>
    <w:rsid w:val="5D616972"/>
    <w:rsid w:val="5D664BCA"/>
    <w:rsid w:val="5D6F713C"/>
    <w:rsid w:val="5D70712D"/>
    <w:rsid w:val="5D752101"/>
    <w:rsid w:val="5D7C0C0A"/>
    <w:rsid w:val="5D7C6992"/>
    <w:rsid w:val="5D841F7C"/>
    <w:rsid w:val="5D861C18"/>
    <w:rsid w:val="5D9B60E5"/>
    <w:rsid w:val="5D9E6F62"/>
    <w:rsid w:val="5DAB1197"/>
    <w:rsid w:val="5DAB5B22"/>
    <w:rsid w:val="5DB744C7"/>
    <w:rsid w:val="5DBA3D0F"/>
    <w:rsid w:val="5DBD5626"/>
    <w:rsid w:val="5DBE7604"/>
    <w:rsid w:val="5DBF6CAA"/>
    <w:rsid w:val="5DCE6343"/>
    <w:rsid w:val="5DCE73C4"/>
    <w:rsid w:val="5DCF7A63"/>
    <w:rsid w:val="5DE0757A"/>
    <w:rsid w:val="5DE3706A"/>
    <w:rsid w:val="5DEA6EF5"/>
    <w:rsid w:val="5DED3669"/>
    <w:rsid w:val="5DF03535"/>
    <w:rsid w:val="5DF9063C"/>
    <w:rsid w:val="5DFD31F4"/>
    <w:rsid w:val="5DFF2440"/>
    <w:rsid w:val="5E111E29"/>
    <w:rsid w:val="5E165892"/>
    <w:rsid w:val="5E1874ED"/>
    <w:rsid w:val="5E1C1F09"/>
    <w:rsid w:val="5E1E10F0"/>
    <w:rsid w:val="5E2271C8"/>
    <w:rsid w:val="5E280F21"/>
    <w:rsid w:val="5E2C27BF"/>
    <w:rsid w:val="5E3E3B66"/>
    <w:rsid w:val="5E40626B"/>
    <w:rsid w:val="5E437E22"/>
    <w:rsid w:val="5E5433FA"/>
    <w:rsid w:val="5E5C0CDB"/>
    <w:rsid w:val="5E5E1F9A"/>
    <w:rsid w:val="5E687992"/>
    <w:rsid w:val="5E6957C1"/>
    <w:rsid w:val="5E6C7C3B"/>
    <w:rsid w:val="5E895BA1"/>
    <w:rsid w:val="5E9B16F3"/>
    <w:rsid w:val="5EAE7678"/>
    <w:rsid w:val="5EB15907"/>
    <w:rsid w:val="5EB6652D"/>
    <w:rsid w:val="5EB86740"/>
    <w:rsid w:val="5EB9022B"/>
    <w:rsid w:val="5EBB3B43"/>
    <w:rsid w:val="5EBF1885"/>
    <w:rsid w:val="5EC21376"/>
    <w:rsid w:val="5EC51854"/>
    <w:rsid w:val="5ECE3619"/>
    <w:rsid w:val="5ECE7D1A"/>
    <w:rsid w:val="5ED24587"/>
    <w:rsid w:val="5ED56E00"/>
    <w:rsid w:val="5EDD444D"/>
    <w:rsid w:val="5EE412EC"/>
    <w:rsid w:val="5EE4753E"/>
    <w:rsid w:val="5EEA67A3"/>
    <w:rsid w:val="5EEC5D6C"/>
    <w:rsid w:val="5EF534F9"/>
    <w:rsid w:val="5EF9595D"/>
    <w:rsid w:val="5EFA0523"/>
    <w:rsid w:val="5EFD5F65"/>
    <w:rsid w:val="5F01496B"/>
    <w:rsid w:val="5F0223ED"/>
    <w:rsid w:val="5F0630CC"/>
    <w:rsid w:val="5F0E6369"/>
    <w:rsid w:val="5F157971"/>
    <w:rsid w:val="5F1E01FC"/>
    <w:rsid w:val="5F225970"/>
    <w:rsid w:val="5F24793A"/>
    <w:rsid w:val="5F260DAC"/>
    <w:rsid w:val="5F2B635B"/>
    <w:rsid w:val="5F2B6F1B"/>
    <w:rsid w:val="5F2D4536"/>
    <w:rsid w:val="5F384811"/>
    <w:rsid w:val="5F5A62FF"/>
    <w:rsid w:val="5F5D4E74"/>
    <w:rsid w:val="5F5E24AA"/>
    <w:rsid w:val="5F5F34CB"/>
    <w:rsid w:val="5F646C0E"/>
    <w:rsid w:val="5F750196"/>
    <w:rsid w:val="5F7C24E1"/>
    <w:rsid w:val="5F802CBB"/>
    <w:rsid w:val="5F847E9E"/>
    <w:rsid w:val="5F8B79B9"/>
    <w:rsid w:val="5F8C454F"/>
    <w:rsid w:val="5F962B52"/>
    <w:rsid w:val="5F9735CD"/>
    <w:rsid w:val="5F991FC9"/>
    <w:rsid w:val="5F9F0FDE"/>
    <w:rsid w:val="5FA27CF8"/>
    <w:rsid w:val="5FA34D03"/>
    <w:rsid w:val="5FA95A61"/>
    <w:rsid w:val="5FAC378B"/>
    <w:rsid w:val="5FB014D1"/>
    <w:rsid w:val="5FB05672"/>
    <w:rsid w:val="5FB05FBE"/>
    <w:rsid w:val="5FB40CBE"/>
    <w:rsid w:val="5FB521ED"/>
    <w:rsid w:val="5FBC509E"/>
    <w:rsid w:val="5FBD301B"/>
    <w:rsid w:val="5FCD32E6"/>
    <w:rsid w:val="5FCE6E19"/>
    <w:rsid w:val="5FCF0AC0"/>
    <w:rsid w:val="5FD11CC9"/>
    <w:rsid w:val="5FD34CC4"/>
    <w:rsid w:val="5FD90998"/>
    <w:rsid w:val="5FD96977"/>
    <w:rsid w:val="5FDF108A"/>
    <w:rsid w:val="5FE03FD9"/>
    <w:rsid w:val="5FE46138"/>
    <w:rsid w:val="5FF351F8"/>
    <w:rsid w:val="5FFF5CB2"/>
    <w:rsid w:val="5FFF71C4"/>
    <w:rsid w:val="60056D21"/>
    <w:rsid w:val="60083E99"/>
    <w:rsid w:val="60151892"/>
    <w:rsid w:val="602202C6"/>
    <w:rsid w:val="60365B77"/>
    <w:rsid w:val="6037026B"/>
    <w:rsid w:val="60377F79"/>
    <w:rsid w:val="603B28E4"/>
    <w:rsid w:val="603F7A60"/>
    <w:rsid w:val="604265FC"/>
    <w:rsid w:val="604C539B"/>
    <w:rsid w:val="60506985"/>
    <w:rsid w:val="60536729"/>
    <w:rsid w:val="60553F98"/>
    <w:rsid w:val="60574104"/>
    <w:rsid w:val="605E50CE"/>
    <w:rsid w:val="606F2E37"/>
    <w:rsid w:val="6077073B"/>
    <w:rsid w:val="607B5C80"/>
    <w:rsid w:val="607F5055"/>
    <w:rsid w:val="60803296"/>
    <w:rsid w:val="608B6121"/>
    <w:rsid w:val="608E6FD6"/>
    <w:rsid w:val="609127A3"/>
    <w:rsid w:val="6095031B"/>
    <w:rsid w:val="60991EE6"/>
    <w:rsid w:val="6099796B"/>
    <w:rsid w:val="609D5BF6"/>
    <w:rsid w:val="609E0D05"/>
    <w:rsid w:val="609F4617"/>
    <w:rsid w:val="60A86E61"/>
    <w:rsid w:val="60AC7BE7"/>
    <w:rsid w:val="60C74A21"/>
    <w:rsid w:val="60C97674"/>
    <w:rsid w:val="60D3786A"/>
    <w:rsid w:val="60E80F88"/>
    <w:rsid w:val="60EE6715"/>
    <w:rsid w:val="60EF4197"/>
    <w:rsid w:val="60F021CA"/>
    <w:rsid w:val="60F26595"/>
    <w:rsid w:val="60FC34AC"/>
    <w:rsid w:val="60FE126B"/>
    <w:rsid w:val="61007B7F"/>
    <w:rsid w:val="6104413C"/>
    <w:rsid w:val="61051BBD"/>
    <w:rsid w:val="611B2398"/>
    <w:rsid w:val="611F485D"/>
    <w:rsid w:val="612915D0"/>
    <w:rsid w:val="612B4FB0"/>
    <w:rsid w:val="61322E14"/>
    <w:rsid w:val="61342221"/>
    <w:rsid w:val="613528A4"/>
    <w:rsid w:val="61397A8E"/>
    <w:rsid w:val="613B2F91"/>
    <w:rsid w:val="613E3F16"/>
    <w:rsid w:val="614938A2"/>
    <w:rsid w:val="614B78F6"/>
    <w:rsid w:val="614B7978"/>
    <w:rsid w:val="614D43E4"/>
    <w:rsid w:val="615416E5"/>
    <w:rsid w:val="615E35D8"/>
    <w:rsid w:val="616222D8"/>
    <w:rsid w:val="61842912"/>
    <w:rsid w:val="618978A3"/>
    <w:rsid w:val="619A4DAB"/>
    <w:rsid w:val="61AC7027"/>
    <w:rsid w:val="61AF0D51"/>
    <w:rsid w:val="61B73BDF"/>
    <w:rsid w:val="61BC51C7"/>
    <w:rsid w:val="61C94AD0"/>
    <w:rsid w:val="61CC73F2"/>
    <w:rsid w:val="61DE64C6"/>
    <w:rsid w:val="61EF0443"/>
    <w:rsid w:val="61FA4982"/>
    <w:rsid w:val="61FC5C40"/>
    <w:rsid w:val="61FE33DC"/>
    <w:rsid w:val="6200468F"/>
    <w:rsid w:val="620805A2"/>
    <w:rsid w:val="620C5897"/>
    <w:rsid w:val="6210426E"/>
    <w:rsid w:val="62137FEA"/>
    <w:rsid w:val="62165C60"/>
    <w:rsid w:val="6219639F"/>
    <w:rsid w:val="622173AC"/>
    <w:rsid w:val="6222021D"/>
    <w:rsid w:val="62255EA3"/>
    <w:rsid w:val="622F7B90"/>
    <w:rsid w:val="62312A9A"/>
    <w:rsid w:val="62314848"/>
    <w:rsid w:val="6238543F"/>
    <w:rsid w:val="62467FCB"/>
    <w:rsid w:val="625C563D"/>
    <w:rsid w:val="62655537"/>
    <w:rsid w:val="6267026A"/>
    <w:rsid w:val="627110E9"/>
    <w:rsid w:val="62721CB5"/>
    <w:rsid w:val="62807BBC"/>
    <w:rsid w:val="628441C6"/>
    <w:rsid w:val="628661DB"/>
    <w:rsid w:val="628E1393"/>
    <w:rsid w:val="62976D7F"/>
    <w:rsid w:val="62A13C45"/>
    <w:rsid w:val="62A4243E"/>
    <w:rsid w:val="62A646A4"/>
    <w:rsid w:val="62A912CB"/>
    <w:rsid w:val="62AD53F1"/>
    <w:rsid w:val="62B3538E"/>
    <w:rsid w:val="62BD2580"/>
    <w:rsid w:val="62C16D24"/>
    <w:rsid w:val="62C40877"/>
    <w:rsid w:val="62D0489A"/>
    <w:rsid w:val="62D40077"/>
    <w:rsid w:val="62DB232B"/>
    <w:rsid w:val="62E47B0C"/>
    <w:rsid w:val="62EC69C1"/>
    <w:rsid w:val="62EF3B6B"/>
    <w:rsid w:val="62EF53C1"/>
    <w:rsid w:val="62FB2F72"/>
    <w:rsid w:val="630006BE"/>
    <w:rsid w:val="63041535"/>
    <w:rsid w:val="630660B4"/>
    <w:rsid w:val="63121D5E"/>
    <w:rsid w:val="632048BD"/>
    <w:rsid w:val="632443AD"/>
    <w:rsid w:val="632C14B3"/>
    <w:rsid w:val="633000C2"/>
    <w:rsid w:val="63350CF9"/>
    <w:rsid w:val="63352116"/>
    <w:rsid w:val="63381C06"/>
    <w:rsid w:val="633A4F52"/>
    <w:rsid w:val="633C5D2B"/>
    <w:rsid w:val="633D145D"/>
    <w:rsid w:val="63474690"/>
    <w:rsid w:val="634A7AE7"/>
    <w:rsid w:val="634B549F"/>
    <w:rsid w:val="63520F1A"/>
    <w:rsid w:val="63597E24"/>
    <w:rsid w:val="635C5EA0"/>
    <w:rsid w:val="63622617"/>
    <w:rsid w:val="63627F81"/>
    <w:rsid w:val="63732C3E"/>
    <w:rsid w:val="63754E3A"/>
    <w:rsid w:val="63754F23"/>
    <w:rsid w:val="637D7A35"/>
    <w:rsid w:val="638031CB"/>
    <w:rsid w:val="63844E4C"/>
    <w:rsid w:val="638766EA"/>
    <w:rsid w:val="638B451E"/>
    <w:rsid w:val="639130C5"/>
    <w:rsid w:val="639156C1"/>
    <w:rsid w:val="63916CE9"/>
    <w:rsid w:val="63976673"/>
    <w:rsid w:val="63993133"/>
    <w:rsid w:val="639B76DD"/>
    <w:rsid w:val="639C3D75"/>
    <w:rsid w:val="639C3F44"/>
    <w:rsid w:val="63A34684"/>
    <w:rsid w:val="63A52F4B"/>
    <w:rsid w:val="63A96660"/>
    <w:rsid w:val="63AA725F"/>
    <w:rsid w:val="63B2141C"/>
    <w:rsid w:val="63BA0605"/>
    <w:rsid w:val="63C213A8"/>
    <w:rsid w:val="63C60A3D"/>
    <w:rsid w:val="63D36A76"/>
    <w:rsid w:val="63DC7C3A"/>
    <w:rsid w:val="63DE505E"/>
    <w:rsid w:val="63EF49BB"/>
    <w:rsid w:val="63EF6F50"/>
    <w:rsid w:val="63F6448F"/>
    <w:rsid w:val="63FC07F3"/>
    <w:rsid w:val="64032214"/>
    <w:rsid w:val="64112EDD"/>
    <w:rsid w:val="64151F48"/>
    <w:rsid w:val="6418785F"/>
    <w:rsid w:val="64264155"/>
    <w:rsid w:val="64303292"/>
    <w:rsid w:val="64346872"/>
    <w:rsid w:val="643A1700"/>
    <w:rsid w:val="643D6E01"/>
    <w:rsid w:val="64415D30"/>
    <w:rsid w:val="644545DB"/>
    <w:rsid w:val="6446192D"/>
    <w:rsid w:val="645858EF"/>
    <w:rsid w:val="645932E6"/>
    <w:rsid w:val="645E22C5"/>
    <w:rsid w:val="64616F3B"/>
    <w:rsid w:val="646237BE"/>
    <w:rsid w:val="646317BA"/>
    <w:rsid w:val="64665A47"/>
    <w:rsid w:val="646A2293"/>
    <w:rsid w:val="64710758"/>
    <w:rsid w:val="647A0201"/>
    <w:rsid w:val="647B16EE"/>
    <w:rsid w:val="647D52E9"/>
    <w:rsid w:val="64852D79"/>
    <w:rsid w:val="64873DDB"/>
    <w:rsid w:val="648F5856"/>
    <w:rsid w:val="64913CC9"/>
    <w:rsid w:val="649C0D21"/>
    <w:rsid w:val="64A21A2D"/>
    <w:rsid w:val="64A52C5A"/>
    <w:rsid w:val="64A62BA0"/>
    <w:rsid w:val="64AE4F35"/>
    <w:rsid w:val="64B20961"/>
    <w:rsid w:val="64B736C8"/>
    <w:rsid w:val="64B90B25"/>
    <w:rsid w:val="64BD0615"/>
    <w:rsid w:val="64BE2080"/>
    <w:rsid w:val="64BE33D5"/>
    <w:rsid w:val="64C26789"/>
    <w:rsid w:val="64CA0F84"/>
    <w:rsid w:val="64CF5817"/>
    <w:rsid w:val="64D476D0"/>
    <w:rsid w:val="64E2081E"/>
    <w:rsid w:val="64E56870"/>
    <w:rsid w:val="64E77607"/>
    <w:rsid w:val="64E831B8"/>
    <w:rsid w:val="64ED61EF"/>
    <w:rsid w:val="64EF7306"/>
    <w:rsid w:val="64F31399"/>
    <w:rsid w:val="65081B37"/>
    <w:rsid w:val="651B358E"/>
    <w:rsid w:val="651E4EFF"/>
    <w:rsid w:val="651E6BDA"/>
    <w:rsid w:val="652233C5"/>
    <w:rsid w:val="65293587"/>
    <w:rsid w:val="652E5108"/>
    <w:rsid w:val="65391840"/>
    <w:rsid w:val="653F727C"/>
    <w:rsid w:val="654805B8"/>
    <w:rsid w:val="65571914"/>
    <w:rsid w:val="655B5D0A"/>
    <w:rsid w:val="656F0250"/>
    <w:rsid w:val="656F0478"/>
    <w:rsid w:val="657B402C"/>
    <w:rsid w:val="657D7DA4"/>
    <w:rsid w:val="657F4D8F"/>
    <w:rsid w:val="65811A17"/>
    <w:rsid w:val="6582694A"/>
    <w:rsid w:val="65827169"/>
    <w:rsid w:val="65842EE1"/>
    <w:rsid w:val="658B24C1"/>
    <w:rsid w:val="65931376"/>
    <w:rsid w:val="659358DA"/>
    <w:rsid w:val="659A6BA8"/>
    <w:rsid w:val="65A215B9"/>
    <w:rsid w:val="65A463B1"/>
    <w:rsid w:val="65AC068A"/>
    <w:rsid w:val="65B27536"/>
    <w:rsid w:val="65B35574"/>
    <w:rsid w:val="65C63B99"/>
    <w:rsid w:val="65D11133"/>
    <w:rsid w:val="65D2533D"/>
    <w:rsid w:val="65DA51F7"/>
    <w:rsid w:val="65DC04F0"/>
    <w:rsid w:val="65E10333"/>
    <w:rsid w:val="65E15995"/>
    <w:rsid w:val="65E64081"/>
    <w:rsid w:val="65EB7404"/>
    <w:rsid w:val="65F30067"/>
    <w:rsid w:val="65F475EE"/>
    <w:rsid w:val="65F519D6"/>
    <w:rsid w:val="65FA03B5"/>
    <w:rsid w:val="6600341F"/>
    <w:rsid w:val="660642E6"/>
    <w:rsid w:val="661204ED"/>
    <w:rsid w:val="66151727"/>
    <w:rsid w:val="66180F7D"/>
    <w:rsid w:val="661B5D78"/>
    <w:rsid w:val="661E06C1"/>
    <w:rsid w:val="66200634"/>
    <w:rsid w:val="66253FB0"/>
    <w:rsid w:val="66285F62"/>
    <w:rsid w:val="66287D10"/>
    <w:rsid w:val="66291421"/>
    <w:rsid w:val="6639077C"/>
    <w:rsid w:val="663C0446"/>
    <w:rsid w:val="663E5786"/>
    <w:rsid w:val="663F1ED9"/>
    <w:rsid w:val="66434B4A"/>
    <w:rsid w:val="664B0729"/>
    <w:rsid w:val="664F7993"/>
    <w:rsid w:val="66510A6B"/>
    <w:rsid w:val="66565100"/>
    <w:rsid w:val="665B6338"/>
    <w:rsid w:val="665C5C3A"/>
    <w:rsid w:val="665E3732"/>
    <w:rsid w:val="665F74AA"/>
    <w:rsid w:val="666775CC"/>
    <w:rsid w:val="666920D7"/>
    <w:rsid w:val="66727C84"/>
    <w:rsid w:val="667614D3"/>
    <w:rsid w:val="6678677C"/>
    <w:rsid w:val="667A54F6"/>
    <w:rsid w:val="667C18AF"/>
    <w:rsid w:val="667E49FA"/>
    <w:rsid w:val="66807B4C"/>
    <w:rsid w:val="66833FFD"/>
    <w:rsid w:val="668855C0"/>
    <w:rsid w:val="66903B07"/>
    <w:rsid w:val="66A43E44"/>
    <w:rsid w:val="66A762C2"/>
    <w:rsid w:val="66C57C55"/>
    <w:rsid w:val="66CF71E6"/>
    <w:rsid w:val="66DC6450"/>
    <w:rsid w:val="66E1573F"/>
    <w:rsid w:val="66E4601C"/>
    <w:rsid w:val="66ED0BFD"/>
    <w:rsid w:val="66EE2624"/>
    <w:rsid w:val="66FE1BBE"/>
    <w:rsid w:val="67023954"/>
    <w:rsid w:val="670C7632"/>
    <w:rsid w:val="67115F39"/>
    <w:rsid w:val="671E5356"/>
    <w:rsid w:val="672202C5"/>
    <w:rsid w:val="67236729"/>
    <w:rsid w:val="67261D48"/>
    <w:rsid w:val="67270DA7"/>
    <w:rsid w:val="672A0689"/>
    <w:rsid w:val="672C113D"/>
    <w:rsid w:val="67310E46"/>
    <w:rsid w:val="673B2715"/>
    <w:rsid w:val="673D4F89"/>
    <w:rsid w:val="673F0A4F"/>
    <w:rsid w:val="673F2C72"/>
    <w:rsid w:val="67574992"/>
    <w:rsid w:val="67586375"/>
    <w:rsid w:val="675A42D9"/>
    <w:rsid w:val="675F400C"/>
    <w:rsid w:val="67747C6C"/>
    <w:rsid w:val="677B47B7"/>
    <w:rsid w:val="678149E0"/>
    <w:rsid w:val="67863D7F"/>
    <w:rsid w:val="6788225F"/>
    <w:rsid w:val="678D166A"/>
    <w:rsid w:val="678E6299"/>
    <w:rsid w:val="67992086"/>
    <w:rsid w:val="67995253"/>
    <w:rsid w:val="679C3A23"/>
    <w:rsid w:val="67A45ABC"/>
    <w:rsid w:val="67A61638"/>
    <w:rsid w:val="67A67140"/>
    <w:rsid w:val="67A80C5A"/>
    <w:rsid w:val="67AC7E63"/>
    <w:rsid w:val="67B045A4"/>
    <w:rsid w:val="67B43477"/>
    <w:rsid w:val="67B81568"/>
    <w:rsid w:val="67B83316"/>
    <w:rsid w:val="67BF11A0"/>
    <w:rsid w:val="67BF70F6"/>
    <w:rsid w:val="67C24194"/>
    <w:rsid w:val="67C32A05"/>
    <w:rsid w:val="67C515F5"/>
    <w:rsid w:val="67C55005"/>
    <w:rsid w:val="67C749C6"/>
    <w:rsid w:val="67C972D1"/>
    <w:rsid w:val="67D50BE7"/>
    <w:rsid w:val="67DC4AF3"/>
    <w:rsid w:val="67E31C80"/>
    <w:rsid w:val="67EE3B22"/>
    <w:rsid w:val="67FC03A5"/>
    <w:rsid w:val="67FF35EF"/>
    <w:rsid w:val="68030A35"/>
    <w:rsid w:val="68080B09"/>
    <w:rsid w:val="680C386F"/>
    <w:rsid w:val="680E28D8"/>
    <w:rsid w:val="6814385F"/>
    <w:rsid w:val="68150768"/>
    <w:rsid w:val="68216303"/>
    <w:rsid w:val="682262D8"/>
    <w:rsid w:val="68257F45"/>
    <w:rsid w:val="68295FC1"/>
    <w:rsid w:val="682E55AF"/>
    <w:rsid w:val="68307350"/>
    <w:rsid w:val="683706DE"/>
    <w:rsid w:val="68376930"/>
    <w:rsid w:val="684150B9"/>
    <w:rsid w:val="684A6627"/>
    <w:rsid w:val="684E08B0"/>
    <w:rsid w:val="68523A33"/>
    <w:rsid w:val="68531E86"/>
    <w:rsid w:val="685732FF"/>
    <w:rsid w:val="68576C67"/>
    <w:rsid w:val="68592AB9"/>
    <w:rsid w:val="685F223D"/>
    <w:rsid w:val="68710A65"/>
    <w:rsid w:val="68722F6D"/>
    <w:rsid w:val="687C162C"/>
    <w:rsid w:val="68817BAC"/>
    <w:rsid w:val="688346AE"/>
    <w:rsid w:val="68837A86"/>
    <w:rsid w:val="688C42B2"/>
    <w:rsid w:val="6899270D"/>
    <w:rsid w:val="68A55A3C"/>
    <w:rsid w:val="68A77347"/>
    <w:rsid w:val="68AD167E"/>
    <w:rsid w:val="68B07650"/>
    <w:rsid w:val="68BA2E67"/>
    <w:rsid w:val="68C65C96"/>
    <w:rsid w:val="68CC243A"/>
    <w:rsid w:val="68D55CB9"/>
    <w:rsid w:val="68D94CE2"/>
    <w:rsid w:val="68E302EA"/>
    <w:rsid w:val="68E41190"/>
    <w:rsid w:val="68E542A7"/>
    <w:rsid w:val="68EA5751"/>
    <w:rsid w:val="68ED5241"/>
    <w:rsid w:val="68F54059"/>
    <w:rsid w:val="68F73CAA"/>
    <w:rsid w:val="68FC7871"/>
    <w:rsid w:val="690412D8"/>
    <w:rsid w:val="690F02BE"/>
    <w:rsid w:val="69161177"/>
    <w:rsid w:val="69180510"/>
    <w:rsid w:val="691B7662"/>
    <w:rsid w:val="69205616"/>
    <w:rsid w:val="69221F00"/>
    <w:rsid w:val="69315BAF"/>
    <w:rsid w:val="6931648D"/>
    <w:rsid w:val="69362744"/>
    <w:rsid w:val="693A00BE"/>
    <w:rsid w:val="693A3A08"/>
    <w:rsid w:val="693B3794"/>
    <w:rsid w:val="693B5FAC"/>
    <w:rsid w:val="6941313E"/>
    <w:rsid w:val="694603C3"/>
    <w:rsid w:val="69475F87"/>
    <w:rsid w:val="69484A8D"/>
    <w:rsid w:val="695C6391"/>
    <w:rsid w:val="696359CF"/>
    <w:rsid w:val="69690D6B"/>
    <w:rsid w:val="696E0A9A"/>
    <w:rsid w:val="697172D9"/>
    <w:rsid w:val="69785EB4"/>
    <w:rsid w:val="697E40EB"/>
    <w:rsid w:val="6984338D"/>
    <w:rsid w:val="69911982"/>
    <w:rsid w:val="699456BD"/>
    <w:rsid w:val="69967687"/>
    <w:rsid w:val="699D31CB"/>
    <w:rsid w:val="69A27DD9"/>
    <w:rsid w:val="69A55B1C"/>
    <w:rsid w:val="69A73642"/>
    <w:rsid w:val="69A973BA"/>
    <w:rsid w:val="69BB1BE4"/>
    <w:rsid w:val="69C70C40"/>
    <w:rsid w:val="69CA0601"/>
    <w:rsid w:val="69CF3C76"/>
    <w:rsid w:val="69D106BF"/>
    <w:rsid w:val="69DA7573"/>
    <w:rsid w:val="69DF7BFE"/>
    <w:rsid w:val="69E5416A"/>
    <w:rsid w:val="69E61596"/>
    <w:rsid w:val="69E870BC"/>
    <w:rsid w:val="69EA35F3"/>
    <w:rsid w:val="69F26E5E"/>
    <w:rsid w:val="6A042842"/>
    <w:rsid w:val="6A070584"/>
    <w:rsid w:val="6A0A597F"/>
    <w:rsid w:val="6A1A3E14"/>
    <w:rsid w:val="6A2C4369"/>
    <w:rsid w:val="6A3B3D8A"/>
    <w:rsid w:val="6A415844"/>
    <w:rsid w:val="6A435FF0"/>
    <w:rsid w:val="6A4A6DC2"/>
    <w:rsid w:val="6A4C0A7B"/>
    <w:rsid w:val="6A4E61B3"/>
    <w:rsid w:val="6A590E66"/>
    <w:rsid w:val="6A5938E3"/>
    <w:rsid w:val="6A6D4E9D"/>
    <w:rsid w:val="6A723C50"/>
    <w:rsid w:val="6A8219B9"/>
    <w:rsid w:val="6A842A4E"/>
    <w:rsid w:val="6A8E035E"/>
    <w:rsid w:val="6A9A4BF2"/>
    <w:rsid w:val="6AA9176C"/>
    <w:rsid w:val="6AB1004F"/>
    <w:rsid w:val="6AB37D1A"/>
    <w:rsid w:val="6AB6637B"/>
    <w:rsid w:val="6AC20488"/>
    <w:rsid w:val="6AC31FAF"/>
    <w:rsid w:val="6AC37B46"/>
    <w:rsid w:val="6AC975E8"/>
    <w:rsid w:val="6ACB7DEC"/>
    <w:rsid w:val="6ACD0E86"/>
    <w:rsid w:val="6ADA35A3"/>
    <w:rsid w:val="6ADC6DB2"/>
    <w:rsid w:val="6AE04568"/>
    <w:rsid w:val="6AE36B3A"/>
    <w:rsid w:val="6AE55B02"/>
    <w:rsid w:val="6AEF2F24"/>
    <w:rsid w:val="6AFD4006"/>
    <w:rsid w:val="6B0B1A2E"/>
    <w:rsid w:val="6B0C16AE"/>
    <w:rsid w:val="6B132CA6"/>
    <w:rsid w:val="6B1B6095"/>
    <w:rsid w:val="6B210C6F"/>
    <w:rsid w:val="6B2A452A"/>
    <w:rsid w:val="6B3965E6"/>
    <w:rsid w:val="6B500E9D"/>
    <w:rsid w:val="6B502D1C"/>
    <w:rsid w:val="6B5520B5"/>
    <w:rsid w:val="6B56531F"/>
    <w:rsid w:val="6B673089"/>
    <w:rsid w:val="6B6D29CC"/>
    <w:rsid w:val="6B734D19"/>
    <w:rsid w:val="6B745CC4"/>
    <w:rsid w:val="6B87284F"/>
    <w:rsid w:val="6B8859DE"/>
    <w:rsid w:val="6B8E1C85"/>
    <w:rsid w:val="6B9320D0"/>
    <w:rsid w:val="6B934E0A"/>
    <w:rsid w:val="6B94207B"/>
    <w:rsid w:val="6B945E63"/>
    <w:rsid w:val="6B9B5A9A"/>
    <w:rsid w:val="6B9F27EA"/>
    <w:rsid w:val="6BA01D5F"/>
    <w:rsid w:val="6BA73DCD"/>
    <w:rsid w:val="6BA8459A"/>
    <w:rsid w:val="6BAA7419"/>
    <w:rsid w:val="6BB9765C"/>
    <w:rsid w:val="6BC277E8"/>
    <w:rsid w:val="6BC5315D"/>
    <w:rsid w:val="6BCB6BB1"/>
    <w:rsid w:val="6BCF1645"/>
    <w:rsid w:val="6BD051CE"/>
    <w:rsid w:val="6BDA7CFF"/>
    <w:rsid w:val="6BDB3A77"/>
    <w:rsid w:val="6BDD3803"/>
    <w:rsid w:val="6BDF51B8"/>
    <w:rsid w:val="6C0976F0"/>
    <w:rsid w:val="6C0C5F81"/>
    <w:rsid w:val="6C0E79A8"/>
    <w:rsid w:val="6C152AE5"/>
    <w:rsid w:val="6C1A0725"/>
    <w:rsid w:val="6C2152D1"/>
    <w:rsid w:val="6C290B81"/>
    <w:rsid w:val="6C2A0E15"/>
    <w:rsid w:val="6C32232C"/>
    <w:rsid w:val="6C384A25"/>
    <w:rsid w:val="6C3D3D86"/>
    <w:rsid w:val="6C3D64DF"/>
    <w:rsid w:val="6C416227"/>
    <w:rsid w:val="6C535248"/>
    <w:rsid w:val="6C537AB1"/>
    <w:rsid w:val="6C5C75F7"/>
    <w:rsid w:val="6C6E48EB"/>
    <w:rsid w:val="6C7C1664"/>
    <w:rsid w:val="6C7E42BB"/>
    <w:rsid w:val="6C97174C"/>
    <w:rsid w:val="6C974F09"/>
    <w:rsid w:val="6C9D1289"/>
    <w:rsid w:val="6CA16A6E"/>
    <w:rsid w:val="6CAE57C5"/>
    <w:rsid w:val="6CBC00F0"/>
    <w:rsid w:val="6CBC4AF4"/>
    <w:rsid w:val="6CBF1C8E"/>
    <w:rsid w:val="6CC1004E"/>
    <w:rsid w:val="6CC477FC"/>
    <w:rsid w:val="6CC60283"/>
    <w:rsid w:val="6CCB3002"/>
    <w:rsid w:val="6CD020EB"/>
    <w:rsid w:val="6CD23598"/>
    <w:rsid w:val="6CD26C28"/>
    <w:rsid w:val="6CDC1B00"/>
    <w:rsid w:val="6CDF43EA"/>
    <w:rsid w:val="6CE95B3C"/>
    <w:rsid w:val="6CEC40DE"/>
    <w:rsid w:val="6CF546C4"/>
    <w:rsid w:val="6CFE5C6F"/>
    <w:rsid w:val="6D0A7CE9"/>
    <w:rsid w:val="6D0E0F5A"/>
    <w:rsid w:val="6D121B88"/>
    <w:rsid w:val="6D180365"/>
    <w:rsid w:val="6D1C6E8F"/>
    <w:rsid w:val="6D224FB6"/>
    <w:rsid w:val="6D23681A"/>
    <w:rsid w:val="6D351FB7"/>
    <w:rsid w:val="6D4226C0"/>
    <w:rsid w:val="6D4610E0"/>
    <w:rsid w:val="6D4A0EB4"/>
    <w:rsid w:val="6D4A2C62"/>
    <w:rsid w:val="6D4C69DA"/>
    <w:rsid w:val="6D54588F"/>
    <w:rsid w:val="6D5533B5"/>
    <w:rsid w:val="6D611D5A"/>
    <w:rsid w:val="6D624CCA"/>
    <w:rsid w:val="6D626020"/>
    <w:rsid w:val="6D673759"/>
    <w:rsid w:val="6D694135"/>
    <w:rsid w:val="6D6A3304"/>
    <w:rsid w:val="6D7B72BF"/>
    <w:rsid w:val="6D7F4CE1"/>
    <w:rsid w:val="6D8009B1"/>
    <w:rsid w:val="6D817754"/>
    <w:rsid w:val="6D885538"/>
    <w:rsid w:val="6D8A7303"/>
    <w:rsid w:val="6D940381"/>
    <w:rsid w:val="6D981C1F"/>
    <w:rsid w:val="6DA305C4"/>
    <w:rsid w:val="6DA468AF"/>
    <w:rsid w:val="6DA560EA"/>
    <w:rsid w:val="6DAD2DB4"/>
    <w:rsid w:val="6DAE1443"/>
    <w:rsid w:val="6DB01B2C"/>
    <w:rsid w:val="6DC5053A"/>
    <w:rsid w:val="6DC704F8"/>
    <w:rsid w:val="6DC960AE"/>
    <w:rsid w:val="6DC9627D"/>
    <w:rsid w:val="6DCC3677"/>
    <w:rsid w:val="6DCD1231"/>
    <w:rsid w:val="6DCF69BE"/>
    <w:rsid w:val="6DD15CA7"/>
    <w:rsid w:val="6DD30D5D"/>
    <w:rsid w:val="6DD67943"/>
    <w:rsid w:val="6DDD76CB"/>
    <w:rsid w:val="6DE22E9A"/>
    <w:rsid w:val="6DE50BDD"/>
    <w:rsid w:val="6DE852DE"/>
    <w:rsid w:val="6DEC7532"/>
    <w:rsid w:val="6E0E1C9B"/>
    <w:rsid w:val="6E0E1EE1"/>
    <w:rsid w:val="6E0E3640"/>
    <w:rsid w:val="6E1C498B"/>
    <w:rsid w:val="6E1F5E9D"/>
    <w:rsid w:val="6E2039C3"/>
    <w:rsid w:val="6E2C2D63"/>
    <w:rsid w:val="6E2F6B36"/>
    <w:rsid w:val="6E386362"/>
    <w:rsid w:val="6E3A4A84"/>
    <w:rsid w:val="6E3C29E3"/>
    <w:rsid w:val="6E40376F"/>
    <w:rsid w:val="6E484E55"/>
    <w:rsid w:val="6E485257"/>
    <w:rsid w:val="6E49116B"/>
    <w:rsid w:val="6E5047C8"/>
    <w:rsid w:val="6E531383"/>
    <w:rsid w:val="6E57249A"/>
    <w:rsid w:val="6E5A6C22"/>
    <w:rsid w:val="6E5F098F"/>
    <w:rsid w:val="6E6C4E5A"/>
    <w:rsid w:val="6E6C6C08"/>
    <w:rsid w:val="6E6E2BB4"/>
    <w:rsid w:val="6E7004A6"/>
    <w:rsid w:val="6E755ABD"/>
    <w:rsid w:val="6E8201DA"/>
    <w:rsid w:val="6E820DA9"/>
    <w:rsid w:val="6E9E3B08"/>
    <w:rsid w:val="6EA0700B"/>
    <w:rsid w:val="6EAB14DE"/>
    <w:rsid w:val="6EB20ABF"/>
    <w:rsid w:val="6EB83401"/>
    <w:rsid w:val="6EBC0B1D"/>
    <w:rsid w:val="6EBC199F"/>
    <w:rsid w:val="6EC03A0B"/>
    <w:rsid w:val="6ECE1671"/>
    <w:rsid w:val="6ECE4988"/>
    <w:rsid w:val="6ED70525"/>
    <w:rsid w:val="6EDC5B3C"/>
    <w:rsid w:val="6EDD48F2"/>
    <w:rsid w:val="6EE662B6"/>
    <w:rsid w:val="6EEB6B35"/>
    <w:rsid w:val="6EF67A7E"/>
    <w:rsid w:val="6EFA6420"/>
    <w:rsid w:val="6F08090C"/>
    <w:rsid w:val="6F1352D6"/>
    <w:rsid w:val="6F13764C"/>
    <w:rsid w:val="6F140538"/>
    <w:rsid w:val="6F163D62"/>
    <w:rsid w:val="6F1C062E"/>
    <w:rsid w:val="6F2C33B6"/>
    <w:rsid w:val="6F3E7E0E"/>
    <w:rsid w:val="6F411BEA"/>
    <w:rsid w:val="6F497C17"/>
    <w:rsid w:val="6F4D6A39"/>
    <w:rsid w:val="6F5248B0"/>
    <w:rsid w:val="6F5722C2"/>
    <w:rsid w:val="6F5A2F04"/>
    <w:rsid w:val="6F631DB9"/>
    <w:rsid w:val="6F767D3E"/>
    <w:rsid w:val="6F7F4719"/>
    <w:rsid w:val="6F810491"/>
    <w:rsid w:val="6F834209"/>
    <w:rsid w:val="6F914B78"/>
    <w:rsid w:val="6F975F07"/>
    <w:rsid w:val="6F987EA6"/>
    <w:rsid w:val="6F9E54E7"/>
    <w:rsid w:val="6FA83682"/>
    <w:rsid w:val="6FDC61B6"/>
    <w:rsid w:val="6FDD600F"/>
    <w:rsid w:val="6FE120A0"/>
    <w:rsid w:val="6FF24B97"/>
    <w:rsid w:val="6FFE1EC8"/>
    <w:rsid w:val="70090BB2"/>
    <w:rsid w:val="70122484"/>
    <w:rsid w:val="701632CF"/>
    <w:rsid w:val="70185F67"/>
    <w:rsid w:val="70187047"/>
    <w:rsid w:val="701D4404"/>
    <w:rsid w:val="70225F26"/>
    <w:rsid w:val="70270FEF"/>
    <w:rsid w:val="70293003"/>
    <w:rsid w:val="702A4CD6"/>
    <w:rsid w:val="70343755"/>
    <w:rsid w:val="70386A50"/>
    <w:rsid w:val="70393701"/>
    <w:rsid w:val="703C5B33"/>
    <w:rsid w:val="704B11CB"/>
    <w:rsid w:val="70547956"/>
    <w:rsid w:val="70574738"/>
    <w:rsid w:val="705B5541"/>
    <w:rsid w:val="70651B61"/>
    <w:rsid w:val="707C7E0E"/>
    <w:rsid w:val="7080135E"/>
    <w:rsid w:val="7084258B"/>
    <w:rsid w:val="708539A9"/>
    <w:rsid w:val="70877D29"/>
    <w:rsid w:val="708C17E3"/>
    <w:rsid w:val="708C3E82"/>
    <w:rsid w:val="708C50EF"/>
    <w:rsid w:val="709849E7"/>
    <w:rsid w:val="70992B6F"/>
    <w:rsid w:val="709A619B"/>
    <w:rsid w:val="709D12FB"/>
    <w:rsid w:val="70A7195F"/>
    <w:rsid w:val="70B017DB"/>
    <w:rsid w:val="70B02DA9"/>
    <w:rsid w:val="70B623BC"/>
    <w:rsid w:val="70BF5715"/>
    <w:rsid w:val="70BF7F92"/>
    <w:rsid w:val="70C26FB3"/>
    <w:rsid w:val="70D1169A"/>
    <w:rsid w:val="70D14E93"/>
    <w:rsid w:val="70D95DF5"/>
    <w:rsid w:val="70DF5DB7"/>
    <w:rsid w:val="70E231B1"/>
    <w:rsid w:val="70E84C6C"/>
    <w:rsid w:val="70EE7B55"/>
    <w:rsid w:val="70F04414"/>
    <w:rsid w:val="70F2655B"/>
    <w:rsid w:val="70F554B8"/>
    <w:rsid w:val="70F729E3"/>
    <w:rsid w:val="70FC44D8"/>
    <w:rsid w:val="70FE7DEF"/>
    <w:rsid w:val="71011567"/>
    <w:rsid w:val="71084F37"/>
    <w:rsid w:val="71096180"/>
    <w:rsid w:val="710A3C02"/>
    <w:rsid w:val="711315BD"/>
    <w:rsid w:val="711602B4"/>
    <w:rsid w:val="71184E25"/>
    <w:rsid w:val="711B191E"/>
    <w:rsid w:val="7123438D"/>
    <w:rsid w:val="712B4B58"/>
    <w:rsid w:val="71357785"/>
    <w:rsid w:val="71392809"/>
    <w:rsid w:val="713C0B14"/>
    <w:rsid w:val="7141612A"/>
    <w:rsid w:val="71463740"/>
    <w:rsid w:val="714A48A5"/>
    <w:rsid w:val="71573D01"/>
    <w:rsid w:val="716A08A4"/>
    <w:rsid w:val="716D3CA6"/>
    <w:rsid w:val="717C7162"/>
    <w:rsid w:val="717D272B"/>
    <w:rsid w:val="717F1538"/>
    <w:rsid w:val="71807C7C"/>
    <w:rsid w:val="71881FAB"/>
    <w:rsid w:val="719C3171"/>
    <w:rsid w:val="719E68AA"/>
    <w:rsid w:val="71A566B9"/>
    <w:rsid w:val="71A74D85"/>
    <w:rsid w:val="71B44331"/>
    <w:rsid w:val="71B44B4E"/>
    <w:rsid w:val="71B608C6"/>
    <w:rsid w:val="71BB2380"/>
    <w:rsid w:val="71CB1E97"/>
    <w:rsid w:val="71D7083C"/>
    <w:rsid w:val="71F6082D"/>
    <w:rsid w:val="71F633B8"/>
    <w:rsid w:val="71FD0F44"/>
    <w:rsid w:val="71FE2882"/>
    <w:rsid w:val="72097843"/>
    <w:rsid w:val="72135C80"/>
    <w:rsid w:val="72161365"/>
    <w:rsid w:val="72225F5B"/>
    <w:rsid w:val="72231CD3"/>
    <w:rsid w:val="72283B4E"/>
    <w:rsid w:val="722C556F"/>
    <w:rsid w:val="722C6DDA"/>
    <w:rsid w:val="722F2426"/>
    <w:rsid w:val="72324AD4"/>
    <w:rsid w:val="72361A07"/>
    <w:rsid w:val="724110F0"/>
    <w:rsid w:val="7245114F"/>
    <w:rsid w:val="72473609"/>
    <w:rsid w:val="724759C2"/>
    <w:rsid w:val="724A395E"/>
    <w:rsid w:val="724B7791"/>
    <w:rsid w:val="725303E5"/>
    <w:rsid w:val="7253713E"/>
    <w:rsid w:val="725400DF"/>
    <w:rsid w:val="7258489A"/>
    <w:rsid w:val="7265409A"/>
    <w:rsid w:val="726B28E9"/>
    <w:rsid w:val="72725752"/>
    <w:rsid w:val="727706B6"/>
    <w:rsid w:val="7289401B"/>
    <w:rsid w:val="729B7ADA"/>
    <w:rsid w:val="72A53B76"/>
    <w:rsid w:val="72A572BC"/>
    <w:rsid w:val="72A66EA6"/>
    <w:rsid w:val="72A76461"/>
    <w:rsid w:val="72AA23A3"/>
    <w:rsid w:val="72AF43B7"/>
    <w:rsid w:val="72B017B9"/>
    <w:rsid w:val="72B41A3F"/>
    <w:rsid w:val="72B53C3D"/>
    <w:rsid w:val="72B648F6"/>
    <w:rsid w:val="72BA2638"/>
    <w:rsid w:val="72BC100D"/>
    <w:rsid w:val="72C34258"/>
    <w:rsid w:val="72CC70E6"/>
    <w:rsid w:val="72D134DE"/>
    <w:rsid w:val="72D84226"/>
    <w:rsid w:val="72DA4A88"/>
    <w:rsid w:val="72DD2263"/>
    <w:rsid w:val="72DF3E4C"/>
    <w:rsid w:val="72E47879"/>
    <w:rsid w:val="72E6342D"/>
    <w:rsid w:val="72E72D01"/>
    <w:rsid w:val="72F86293"/>
    <w:rsid w:val="72F9728A"/>
    <w:rsid w:val="72FE5336"/>
    <w:rsid w:val="73034A48"/>
    <w:rsid w:val="730646C5"/>
    <w:rsid w:val="7306587D"/>
    <w:rsid w:val="73085D02"/>
    <w:rsid w:val="730C0076"/>
    <w:rsid w:val="731211B1"/>
    <w:rsid w:val="73121DD9"/>
    <w:rsid w:val="731446FB"/>
    <w:rsid w:val="732A7830"/>
    <w:rsid w:val="733028FA"/>
    <w:rsid w:val="73320420"/>
    <w:rsid w:val="73365490"/>
    <w:rsid w:val="733D5BF1"/>
    <w:rsid w:val="734128DC"/>
    <w:rsid w:val="734343DB"/>
    <w:rsid w:val="734939BC"/>
    <w:rsid w:val="73611467"/>
    <w:rsid w:val="736600CA"/>
    <w:rsid w:val="7369449D"/>
    <w:rsid w:val="736A00B1"/>
    <w:rsid w:val="736F558A"/>
    <w:rsid w:val="737510EA"/>
    <w:rsid w:val="737758C1"/>
    <w:rsid w:val="738111FC"/>
    <w:rsid w:val="738415FD"/>
    <w:rsid w:val="73880C9C"/>
    <w:rsid w:val="738A4F1A"/>
    <w:rsid w:val="73903399"/>
    <w:rsid w:val="739F35DC"/>
    <w:rsid w:val="739F4CAA"/>
    <w:rsid w:val="73AD1C57"/>
    <w:rsid w:val="73AF0CE3"/>
    <w:rsid w:val="73AF7CC3"/>
    <w:rsid w:val="73B50B5A"/>
    <w:rsid w:val="73B83F07"/>
    <w:rsid w:val="73C117A4"/>
    <w:rsid w:val="73C2186E"/>
    <w:rsid w:val="73C74FDB"/>
    <w:rsid w:val="73C848E1"/>
    <w:rsid w:val="73CC7691"/>
    <w:rsid w:val="73D43285"/>
    <w:rsid w:val="73D92D35"/>
    <w:rsid w:val="73DC4D25"/>
    <w:rsid w:val="73E24597"/>
    <w:rsid w:val="73E57880"/>
    <w:rsid w:val="73E84316"/>
    <w:rsid w:val="73FF6D76"/>
    <w:rsid w:val="74014245"/>
    <w:rsid w:val="74017DF2"/>
    <w:rsid w:val="740718AD"/>
    <w:rsid w:val="74071CB4"/>
    <w:rsid w:val="74085625"/>
    <w:rsid w:val="740F0761"/>
    <w:rsid w:val="741144D9"/>
    <w:rsid w:val="741300E6"/>
    <w:rsid w:val="742A7349"/>
    <w:rsid w:val="742F01C3"/>
    <w:rsid w:val="74320032"/>
    <w:rsid w:val="7434296E"/>
    <w:rsid w:val="74344B74"/>
    <w:rsid w:val="74364910"/>
    <w:rsid w:val="743B050C"/>
    <w:rsid w:val="743D707D"/>
    <w:rsid w:val="744116B5"/>
    <w:rsid w:val="7441600E"/>
    <w:rsid w:val="744D04DB"/>
    <w:rsid w:val="7456473D"/>
    <w:rsid w:val="7458686C"/>
    <w:rsid w:val="7463099D"/>
    <w:rsid w:val="74730CF0"/>
    <w:rsid w:val="74744A68"/>
    <w:rsid w:val="747C3BA7"/>
    <w:rsid w:val="747F58E7"/>
    <w:rsid w:val="7482230A"/>
    <w:rsid w:val="749F1AE5"/>
    <w:rsid w:val="74B97F37"/>
    <w:rsid w:val="74BE03E7"/>
    <w:rsid w:val="74C52CCA"/>
    <w:rsid w:val="74CE18CD"/>
    <w:rsid w:val="74DC4AE7"/>
    <w:rsid w:val="74E4574A"/>
    <w:rsid w:val="74E526A5"/>
    <w:rsid w:val="74EA6A82"/>
    <w:rsid w:val="74F9764D"/>
    <w:rsid w:val="74FF6DCD"/>
    <w:rsid w:val="750556C0"/>
    <w:rsid w:val="750A22B4"/>
    <w:rsid w:val="750B0F29"/>
    <w:rsid w:val="75153B55"/>
    <w:rsid w:val="751F2C26"/>
    <w:rsid w:val="752410C9"/>
    <w:rsid w:val="75364ED1"/>
    <w:rsid w:val="7536625B"/>
    <w:rsid w:val="753A1B1C"/>
    <w:rsid w:val="753C7334"/>
    <w:rsid w:val="754230F8"/>
    <w:rsid w:val="75526103"/>
    <w:rsid w:val="7553467E"/>
    <w:rsid w:val="75542513"/>
    <w:rsid w:val="755A1EB0"/>
    <w:rsid w:val="755E374E"/>
    <w:rsid w:val="757137F2"/>
    <w:rsid w:val="757577B2"/>
    <w:rsid w:val="75895CE5"/>
    <w:rsid w:val="758E5BD6"/>
    <w:rsid w:val="75917B29"/>
    <w:rsid w:val="759C4277"/>
    <w:rsid w:val="75A63F90"/>
    <w:rsid w:val="75AF3FAA"/>
    <w:rsid w:val="75B73538"/>
    <w:rsid w:val="75BA294F"/>
    <w:rsid w:val="75C537CD"/>
    <w:rsid w:val="75CA2B92"/>
    <w:rsid w:val="75D04852"/>
    <w:rsid w:val="75D104D9"/>
    <w:rsid w:val="75DA55C9"/>
    <w:rsid w:val="75E3225A"/>
    <w:rsid w:val="75EB7F36"/>
    <w:rsid w:val="75ED062E"/>
    <w:rsid w:val="760065B4"/>
    <w:rsid w:val="760557C7"/>
    <w:rsid w:val="760A0EAA"/>
    <w:rsid w:val="760B0609"/>
    <w:rsid w:val="761E6A3A"/>
    <w:rsid w:val="76223A73"/>
    <w:rsid w:val="76246A43"/>
    <w:rsid w:val="76277B83"/>
    <w:rsid w:val="76295377"/>
    <w:rsid w:val="762A1882"/>
    <w:rsid w:val="762A53DF"/>
    <w:rsid w:val="762B73A9"/>
    <w:rsid w:val="762D2BA2"/>
    <w:rsid w:val="76330ED5"/>
    <w:rsid w:val="76426BCC"/>
    <w:rsid w:val="76487D99"/>
    <w:rsid w:val="76507E4E"/>
    <w:rsid w:val="765B1A3C"/>
    <w:rsid w:val="766530C9"/>
    <w:rsid w:val="76790988"/>
    <w:rsid w:val="76856AB9"/>
    <w:rsid w:val="768A4F7B"/>
    <w:rsid w:val="769D232A"/>
    <w:rsid w:val="76AC18F0"/>
    <w:rsid w:val="76AC2297"/>
    <w:rsid w:val="76B65452"/>
    <w:rsid w:val="76BB33C0"/>
    <w:rsid w:val="76C26935"/>
    <w:rsid w:val="76C74E27"/>
    <w:rsid w:val="76CB4240"/>
    <w:rsid w:val="76D95E5B"/>
    <w:rsid w:val="76DB4C04"/>
    <w:rsid w:val="76DB50DA"/>
    <w:rsid w:val="76DD68F5"/>
    <w:rsid w:val="76F374B5"/>
    <w:rsid w:val="76F44F37"/>
    <w:rsid w:val="76FD7DC5"/>
    <w:rsid w:val="77025C02"/>
    <w:rsid w:val="7703613C"/>
    <w:rsid w:val="77081355"/>
    <w:rsid w:val="770D5E61"/>
    <w:rsid w:val="770F2826"/>
    <w:rsid w:val="77162BFC"/>
    <w:rsid w:val="77212C85"/>
    <w:rsid w:val="77277308"/>
    <w:rsid w:val="77277B95"/>
    <w:rsid w:val="77281F8F"/>
    <w:rsid w:val="772B131F"/>
    <w:rsid w:val="77382DAE"/>
    <w:rsid w:val="773E14A3"/>
    <w:rsid w:val="7746449A"/>
    <w:rsid w:val="774E77F3"/>
    <w:rsid w:val="77556255"/>
    <w:rsid w:val="77595E6E"/>
    <w:rsid w:val="775C1F10"/>
    <w:rsid w:val="775E6885"/>
    <w:rsid w:val="77786A97"/>
    <w:rsid w:val="777D1E86"/>
    <w:rsid w:val="77882D05"/>
    <w:rsid w:val="77980A6E"/>
    <w:rsid w:val="77A1315A"/>
    <w:rsid w:val="77AB5BC1"/>
    <w:rsid w:val="77AD2018"/>
    <w:rsid w:val="77AE2E62"/>
    <w:rsid w:val="77AE630D"/>
    <w:rsid w:val="77AF1868"/>
    <w:rsid w:val="77B95F79"/>
    <w:rsid w:val="77B96132"/>
    <w:rsid w:val="77BB374F"/>
    <w:rsid w:val="77C33D3D"/>
    <w:rsid w:val="77C6528F"/>
    <w:rsid w:val="77C850F3"/>
    <w:rsid w:val="77CB13D9"/>
    <w:rsid w:val="77CD2D6F"/>
    <w:rsid w:val="77D563F6"/>
    <w:rsid w:val="77DC4DFE"/>
    <w:rsid w:val="77DC7FA7"/>
    <w:rsid w:val="77DF493F"/>
    <w:rsid w:val="77E2133C"/>
    <w:rsid w:val="77E34BBF"/>
    <w:rsid w:val="77E3618D"/>
    <w:rsid w:val="77E43002"/>
    <w:rsid w:val="77E61396"/>
    <w:rsid w:val="77F75794"/>
    <w:rsid w:val="77FE2FC7"/>
    <w:rsid w:val="78016613"/>
    <w:rsid w:val="780A371A"/>
    <w:rsid w:val="780B5900"/>
    <w:rsid w:val="781C344D"/>
    <w:rsid w:val="78223E27"/>
    <w:rsid w:val="783B47F8"/>
    <w:rsid w:val="783F307D"/>
    <w:rsid w:val="784629C5"/>
    <w:rsid w:val="7848114C"/>
    <w:rsid w:val="784B788E"/>
    <w:rsid w:val="784D7AAA"/>
    <w:rsid w:val="785726D7"/>
    <w:rsid w:val="78585E53"/>
    <w:rsid w:val="78681D5F"/>
    <w:rsid w:val="7872306D"/>
    <w:rsid w:val="78734A44"/>
    <w:rsid w:val="78743289"/>
    <w:rsid w:val="787B6037"/>
    <w:rsid w:val="787D213D"/>
    <w:rsid w:val="788B0C41"/>
    <w:rsid w:val="788B412F"/>
    <w:rsid w:val="788F00C3"/>
    <w:rsid w:val="788F3C1F"/>
    <w:rsid w:val="78933FB0"/>
    <w:rsid w:val="78970D25"/>
    <w:rsid w:val="789E52F2"/>
    <w:rsid w:val="78A07BD9"/>
    <w:rsid w:val="78A23292"/>
    <w:rsid w:val="78BD53BB"/>
    <w:rsid w:val="78C57641"/>
    <w:rsid w:val="78C6527C"/>
    <w:rsid w:val="78CD2132"/>
    <w:rsid w:val="78E201F2"/>
    <w:rsid w:val="78E70BEA"/>
    <w:rsid w:val="78EA1B6E"/>
    <w:rsid w:val="78F03A78"/>
    <w:rsid w:val="78F341AE"/>
    <w:rsid w:val="78F96906"/>
    <w:rsid w:val="78FA4387"/>
    <w:rsid w:val="78FC0A4B"/>
    <w:rsid w:val="78FE32CA"/>
    <w:rsid w:val="78FF3E1A"/>
    <w:rsid w:val="790E2D96"/>
    <w:rsid w:val="792C25D8"/>
    <w:rsid w:val="79352EE7"/>
    <w:rsid w:val="79442C5B"/>
    <w:rsid w:val="79474733"/>
    <w:rsid w:val="79515378"/>
    <w:rsid w:val="795409C4"/>
    <w:rsid w:val="79593406"/>
    <w:rsid w:val="795A2474"/>
    <w:rsid w:val="79614BBB"/>
    <w:rsid w:val="796554A5"/>
    <w:rsid w:val="79660E24"/>
    <w:rsid w:val="79666D11"/>
    <w:rsid w:val="796727BD"/>
    <w:rsid w:val="796813BF"/>
    <w:rsid w:val="796F6F7E"/>
    <w:rsid w:val="797A5500"/>
    <w:rsid w:val="798D1378"/>
    <w:rsid w:val="79904E9C"/>
    <w:rsid w:val="79990244"/>
    <w:rsid w:val="799F7E92"/>
    <w:rsid w:val="79A36D9F"/>
    <w:rsid w:val="79A656C4"/>
    <w:rsid w:val="79A90D10"/>
    <w:rsid w:val="79B42B66"/>
    <w:rsid w:val="79BA03D7"/>
    <w:rsid w:val="79BD71CD"/>
    <w:rsid w:val="79C94B18"/>
    <w:rsid w:val="79D22668"/>
    <w:rsid w:val="79DF05E1"/>
    <w:rsid w:val="79E5586D"/>
    <w:rsid w:val="79E820C1"/>
    <w:rsid w:val="79E84010"/>
    <w:rsid w:val="79FA1631"/>
    <w:rsid w:val="79FB18D8"/>
    <w:rsid w:val="79FC24AA"/>
    <w:rsid w:val="79FC4BE4"/>
    <w:rsid w:val="79FF3C35"/>
    <w:rsid w:val="7A006DFD"/>
    <w:rsid w:val="7A0563F3"/>
    <w:rsid w:val="7A072AD9"/>
    <w:rsid w:val="7A13262E"/>
    <w:rsid w:val="7A1F261B"/>
    <w:rsid w:val="7A2637B1"/>
    <w:rsid w:val="7A2D1941"/>
    <w:rsid w:val="7A2D5371"/>
    <w:rsid w:val="7A2F296D"/>
    <w:rsid w:val="7A320D06"/>
    <w:rsid w:val="7A385083"/>
    <w:rsid w:val="7A3D18FA"/>
    <w:rsid w:val="7A3E6F9D"/>
    <w:rsid w:val="7A4A4FAE"/>
    <w:rsid w:val="7A523156"/>
    <w:rsid w:val="7A5C3FD5"/>
    <w:rsid w:val="7A6729FA"/>
    <w:rsid w:val="7A7206F1"/>
    <w:rsid w:val="7A722550"/>
    <w:rsid w:val="7A753E1B"/>
    <w:rsid w:val="7A8067FD"/>
    <w:rsid w:val="7A87403F"/>
    <w:rsid w:val="7A884DCA"/>
    <w:rsid w:val="7A8A024A"/>
    <w:rsid w:val="7A9113F7"/>
    <w:rsid w:val="7A94263C"/>
    <w:rsid w:val="7A9814B1"/>
    <w:rsid w:val="7A993E33"/>
    <w:rsid w:val="7A9B17A9"/>
    <w:rsid w:val="7AA137B0"/>
    <w:rsid w:val="7AA16483"/>
    <w:rsid w:val="7AA80BCB"/>
    <w:rsid w:val="7AAC6D0A"/>
    <w:rsid w:val="7ABE4BBA"/>
    <w:rsid w:val="7AC878BC"/>
    <w:rsid w:val="7AD60B77"/>
    <w:rsid w:val="7AD65871"/>
    <w:rsid w:val="7AD750E4"/>
    <w:rsid w:val="7AEA5A84"/>
    <w:rsid w:val="7AEF4E49"/>
    <w:rsid w:val="7AF52CDB"/>
    <w:rsid w:val="7AF73450"/>
    <w:rsid w:val="7AF91823"/>
    <w:rsid w:val="7B015534"/>
    <w:rsid w:val="7B02692A"/>
    <w:rsid w:val="7B030F87"/>
    <w:rsid w:val="7B0A2611"/>
    <w:rsid w:val="7B19516C"/>
    <w:rsid w:val="7B1B1396"/>
    <w:rsid w:val="7B2710F8"/>
    <w:rsid w:val="7B2965AD"/>
    <w:rsid w:val="7B2D79D9"/>
    <w:rsid w:val="7B2E6309"/>
    <w:rsid w:val="7B332F87"/>
    <w:rsid w:val="7B3F66F6"/>
    <w:rsid w:val="7B42766E"/>
    <w:rsid w:val="7B4C38D7"/>
    <w:rsid w:val="7B581EC8"/>
    <w:rsid w:val="7B5B428C"/>
    <w:rsid w:val="7B5C603C"/>
    <w:rsid w:val="7B6358B9"/>
    <w:rsid w:val="7B6A569E"/>
    <w:rsid w:val="7B6D346B"/>
    <w:rsid w:val="7B6E2211"/>
    <w:rsid w:val="7B7B5AE7"/>
    <w:rsid w:val="7B89704B"/>
    <w:rsid w:val="7B900A6F"/>
    <w:rsid w:val="7B9A4DB4"/>
    <w:rsid w:val="7BAC4723"/>
    <w:rsid w:val="7BAE2FFF"/>
    <w:rsid w:val="7BCB7A29"/>
    <w:rsid w:val="7BD37033"/>
    <w:rsid w:val="7BDA1655"/>
    <w:rsid w:val="7BDB29D9"/>
    <w:rsid w:val="7BDE5FD1"/>
    <w:rsid w:val="7BE41C3E"/>
    <w:rsid w:val="7BF00E78"/>
    <w:rsid w:val="7BF605D5"/>
    <w:rsid w:val="7BFC40F0"/>
    <w:rsid w:val="7C01047E"/>
    <w:rsid w:val="7C1705F6"/>
    <w:rsid w:val="7C1846CC"/>
    <w:rsid w:val="7C1C7D31"/>
    <w:rsid w:val="7C1D181E"/>
    <w:rsid w:val="7C291C15"/>
    <w:rsid w:val="7C2F774D"/>
    <w:rsid w:val="7C374CF9"/>
    <w:rsid w:val="7C3A1E14"/>
    <w:rsid w:val="7C40108E"/>
    <w:rsid w:val="7C4A4A2C"/>
    <w:rsid w:val="7C596A1E"/>
    <w:rsid w:val="7C5A2796"/>
    <w:rsid w:val="7C6751C1"/>
    <w:rsid w:val="7C6774CE"/>
    <w:rsid w:val="7C6E1430"/>
    <w:rsid w:val="7C6F4493"/>
    <w:rsid w:val="7C703D67"/>
    <w:rsid w:val="7C736F91"/>
    <w:rsid w:val="7C7459B2"/>
    <w:rsid w:val="7C75137E"/>
    <w:rsid w:val="7C7750F6"/>
    <w:rsid w:val="7C7E0232"/>
    <w:rsid w:val="7C823224"/>
    <w:rsid w:val="7C88585D"/>
    <w:rsid w:val="7C8F68E3"/>
    <w:rsid w:val="7C9167D8"/>
    <w:rsid w:val="7C971FF9"/>
    <w:rsid w:val="7C9C4B5C"/>
    <w:rsid w:val="7CA11797"/>
    <w:rsid w:val="7CA516D8"/>
    <w:rsid w:val="7CAA7279"/>
    <w:rsid w:val="7CBC250E"/>
    <w:rsid w:val="7CBC50DD"/>
    <w:rsid w:val="7CBE7521"/>
    <w:rsid w:val="7CC406F4"/>
    <w:rsid w:val="7CC52305"/>
    <w:rsid w:val="7CCA2165"/>
    <w:rsid w:val="7CD2025B"/>
    <w:rsid w:val="7CDE44A4"/>
    <w:rsid w:val="7CE66F97"/>
    <w:rsid w:val="7CED53B8"/>
    <w:rsid w:val="7CFA71D4"/>
    <w:rsid w:val="7CFE7956"/>
    <w:rsid w:val="7D035603"/>
    <w:rsid w:val="7D060228"/>
    <w:rsid w:val="7D083009"/>
    <w:rsid w:val="7D0A5F6A"/>
    <w:rsid w:val="7D0B32A8"/>
    <w:rsid w:val="7D133070"/>
    <w:rsid w:val="7D187F63"/>
    <w:rsid w:val="7D244B23"/>
    <w:rsid w:val="7D250FF6"/>
    <w:rsid w:val="7D3764F1"/>
    <w:rsid w:val="7D3E3D9A"/>
    <w:rsid w:val="7D3E5C13"/>
    <w:rsid w:val="7D417D69"/>
    <w:rsid w:val="7D4E4321"/>
    <w:rsid w:val="7D4F2143"/>
    <w:rsid w:val="7D4F3854"/>
    <w:rsid w:val="7D562F5D"/>
    <w:rsid w:val="7D5B0573"/>
    <w:rsid w:val="7D607ABF"/>
    <w:rsid w:val="7D6B2EAC"/>
    <w:rsid w:val="7D6E3BC6"/>
    <w:rsid w:val="7D734F8D"/>
    <w:rsid w:val="7D761851"/>
    <w:rsid w:val="7D772F67"/>
    <w:rsid w:val="7D794CB8"/>
    <w:rsid w:val="7D7C4CEE"/>
    <w:rsid w:val="7D7F24B4"/>
    <w:rsid w:val="7D8447FB"/>
    <w:rsid w:val="7D881CD5"/>
    <w:rsid w:val="7D8833E9"/>
    <w:rsid w:val="7D8F4D8B"/>
    <w:rsid w:val="7D9046C1"/>
    <w:rsid w:val="7D937014"/>
    <w:rsid w:val="7D953281"/>
    <w:rsid w:val="7D9B661F"/>
    <w:rsid w:val="7DA61889"/>
    <w:rsid w:val="7DAA35FC"/>
    <w:rsid w:val="7DB303AF"/>
    <w:rsid w:val="7DBA4CD5"/>
    <w:rsid w:val="7DC4191F"/>
    <w:rsid w:val="7DC67561"/>
    <w:rsid w:val="7DCC76C3"/>
    <w:rsid w:val="7DCD6B27"/>
    <w:rsid w:val="7DCD75AF"/>
    <w:rsid w:val="7DCE51E9"/>
    <w:rsid w:val="7DD81BC4"/>
    <w:rsid w:val="7DE22A43"/>
    <w:rsid w:val="7DEE0A71"/>
    <w:rsid w:val="7DEE1CF1"/>
    <w:rsid w:val="7DF42F6B"/>
    <w:rsid w:val="7DF57DDA"/>
    <w:rsid w:val="7DFD5ACF"/>
    <w:rsid w:val="7E01111B"/>
    <w:rsid w:val="7E015318"/>
    <w:rsid w:val="7E0806FB"/>
    <w:rsid w:val="7E0935BC"/>
    <w:rsid w:val="7E0F54E4"/>
    <w:rsid w:val="7E1B01F2"/>
    <w:rsid w:val="7E33504C"/>
    <w:rsid w:val="7E376539"/>
    <w:rsid w:val="7E3E4BDF"/>
    <w:rsid w:val="7E407174"/>
    <w:rsid w:val="7E446447"/>
    <w:rsid w:val="7E447259"/>
    <w:rsid w:val="7E447CAC"/>
    <w:rsid w:val="7E462FD2"/>
    <w:rsid w:val="7E470AE8"/>
    <w:rsid w:val="7E5C45A3"/>
    <w:rsid w:val="7E607762"/>
    <w:rsid w:val="7E760CEC"/>
    <w:rsid w:val="7E7E705F"/>
    <w:rsid w:val="7E85045E"/>
    <w:rsid w:val="7E867872"/>
    <w:rsid w:val="7E8A6634"/>
    <w:rsid w:val="7E8B1C58"/>
    <w:rsid w:val="7E9256E0"/>
    <w:rsid w:val="7E947383"/>
    <w:rsid w:val="7E9674F0"/>
    <w:rsid w:val="7E98303F"/>
    <w:rsid w:val="7E9E0D60"/>
    <w:rsid w:val="7E9F0934"/>
    <w:rsid w:val="7EA30424"/>
    <w:rsid w:val="7EA63044"/>
    <w:rsid w:val="7EAA67DC"/>
    <w:rsid w:val="7EAB4B4F"/>
    <w:rsid w:val="7EC108AA"/>
    <w:rsid w:val="7ECA3534"/>
    <w:rsid w:val="7ECA4338"/>
    <w:rsid w:val="7ECB34D7"/>
    <w:rsid w:val="7EDC56E4"/>
    <w:rsid w:val="7EDD4C6B"/>
    <w:rsid w:val="7EE06F82"/>
    <w:rsid w:val="7EE2719E"/>
    <w:rsid w:val="7EE4500E"/>
    <w:rsid w:val="7EE63C40"/>
    <w:rsid w:val="7EED169F"/>
    <w:rsid w:val="7EEE184F"/>
    <w:rsid w:val="7EF014CF"/>
    <w:rsid w:val="7F086B76"/>
    <w:rsid w:val="7F0F3F82"/>
    <w:rsid w:val="7F0F55FC"/>
    <w:rsid w:val="7F115287"/>
    <w:rsid w:val="7F1E7AAB"/>
    <w:rsid w:val="7F211C9E"/>
    <w:rsid w:val="7F272E03"/>
    <w:rsid w:val="7F2E6600"/>
    <w:rsid w:val="7F345520"/>
    <w:rsid w:val="7F350E85"/>
    <w:rsid w:val="7F45023B"/>
    <w:rsid w:val="7F567638"/>
    <w:rsid w:val="7F5C05D3"/>
    <w:rsid w:val="7F831D43"/>
    <w:rsid w:val="7F930498"/>
    <w:rsid w:val="7FA03871"/>
    <w:rsid w:val="7FA723C4"/>
    <w:rsid w:val="7FBB5720"/>
    <w:rsid w:val="7FC56D57"/>
    <w:rsid w:val="7FE1365B"/>
    <w:rsid w:val="7FE3702A"/>
    <w:rsid w:val="7FE80BDA"/>
    <w:rsid w:val="7FF058EB"/>
    <w:rsid w:val="7FF761CD"/>
    <w:rsid w:val="7FF8324D"/>
    <w:rsid w:val="7FFE2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qFormat="1" w:unhideWhenUsed="0" w:uiPriority="0" w:semiHidden="0" w:name="index 3"/>
    <w:lsdException w:uiPriority="0" w:name="index 4"/>
    <w:lsdException w:uiPriority="0" w:name="index 5"/>
    <w:lsdException w:uiPriority="0" w:name="index 6"/>
    <w:lsdException w:qFormat="1" w:unhideWhenUsed="0" w:uiPriority="0" w:semiHidden="0" w:name="index 7"/>
    <w:lsdException w:uiPriority="0" w:name="index 8"/>
    <w:lsdException w:uiPriority="0" w:name="index 9"/>
    <w:lsdException w:qFormat="1" w:unhideWhenUsed="0" w:uiPriority="0"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0" w:name="List 4"/>
    <w:lsdException w:uiPriority="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qFormat="1" w:unhideWhenUsed="0" w:uiPriority="0" w:semiHidden="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qFormat="1" w:unhideWhenUsed="0" w:uiPriority="0" w:semiHidden="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qFormat="1" w:unhideWhenUsed="0" w:uiPriority="0" w:semiHidden="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nhideWhenUsed="0" w:uiPriority="0" w:semiHidden="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Times New Roman" w:hAnsi="Times New Roman" w:eastAsia="宋体" w:cs="Times New Roman"/>
      <w:kern w:val="2"/>
      <w:sz w:val="24"/>
      <w:szCs w:val="21"/>
      <w:lang w:val="en-US" w:eastAsia="zh-CN" w:bidi="ar-SA"/>
    </w:rPr>
  </w:style>
  <w:style w:type="paragraph" w:styleId="3">
    <w:name w:val="heading 1"/>
    <w:basedOn w:val="1"/>
    <w:next w:val="1"/>
    <w:link w:val="119"/>
    <w:autoRedefine/>
    <w:qFormat/>
    <w:uiPriority w:val="0"/>
    <w:pPr>
      <w:keepNext/>
      <w:widowControl/>
      <w:jc w:val="center"/>
      <w:outlineLvl w:val="0"/>
    </w:pPr>
    <w:rPr>
      <w:rFonts w:cs="宋体"/>
      <w:b/>
      <w:kern w:val="0"/>
      <w:sz w:val="32"/>
      <w:szCs w:val="20"/>
    </w:rPr>
  </w:style>
  <w:style w:type="paragraph" w:styleId="4">
    <w:name w:val="heading 2"/>
    <w:basedOn w:val="1"/>
    <w:next w:val="1"/>
    <w:link w:val="98"/>
    <w:autoRedefine/>
    <w:qFormat/>
    <w:uiPriority w:val="0"/>
    <w:pPr>
      <w:keepNext/>
      <w:widowControl/>
      <w:spacing w:line="500" w:lineRule="exact"/>
      <w:jc w:val="center"/>
      <w:outlineLvl w:val="1"/>
    </w:pPr>
    <w:rPr>
      <w:rFonts w:cs="宋体"/>
      <w:kern w:val="0"/>
      <w:sz w:val="28"/>
      <w:szCs w:val="20"/>
      <w:lang w:val="zh-CN"/>
    </w:rPr>
  </w:style>
  <w:style w:type="paragraph" w:styleId="5">
    <w:name w:val="heading 3"/>
    <w:basedOn w:val="1"/>
    <w:next w:val="1"/>
    <w:link w:val="99"/>
    <w:autoRedefine/>
    <w:qFormat/>
    <w:uiPriority w:val="0"/>
    <w:pPr>
      <w:keepNext/>
      <w:widowControl/>
      <w:spacing w:line="500" w:lineRule="exact"/>
      <w:jc w:val="left"/>
      <w:outlineLvl w:val="2"/>
    </w:pPr>
    <w:rPr>
      <w:rFonts w:cs="宋体"/>
      <w:kern w:val="0"/>
      <w:sz w:val="20"/>
      <w:szCs w:val="20"/>
      <w:lang w:val="zh-CN"/>
    </w:rPr>
  </w:style>
  <w:style w:type="paragraph" w:styleId="6">
    <w:name w:val="heading 4"/>
    <w:basedOn w:val="1"/>
    <w:next w:val="1"/>
    <w:link w:val="113"/>
    <w:autoRedefine/>
    <w:qFormat/>
    <w:uiPriority w:val="0"/>
    <w:pPr>
      <w:keepNext/>
      <w:keepLines/>
      <w:widowControl/>
      <w:spacing w:before="280" w:after="290" w:line="376" w:lineRule="auto"/>
      <w:jc w:val="left"/>
      <w:outlineLvl w:val="3"/>
    </w:pPr>
    <w:rPr>
      <w:rFonts w:ascii="Cambria" w:hAnsi="Cambria" w:cs="宋体"/>
      <w:b/>
      <w:bCs/>
      <w:kern w:val="0"/>
      <w:sz w:val="28"/>
      <w:szCs w:val="28"/>
    </w:rPr>
  </w:style>
  <w:style w:type="paragraph" w:styleId="7">
    <w:name w:val="heading 5"/>
    <w:basedOn w:val="1"/>
    <w:next w:val="1"/>
    <w:link w:val="114"/>
    <w:autoRedefine/>
    <w:qFormat/>
    <w:uiPriority w:val="0"/>
    <w:pPr>
      <w:keepNext/>
      <w:keepLines/>
      <w:widowControl/>
      <w:spacing w:before="280" w:after="290" w:line="376" w:lineRule="auto"/>
      <w:jc w:val="left"/>
      <w:outlineLvl w:val="4"/>
    </w:pPr>
    <w:rPr>
      <w:rFonts w:cs="宋体"/>
      <w:b/>
      <w:bCs/>
      <w:kern w:val="0"/>
      <w:sz w:val="28"/>
      <w:szCs w:val="28"/>
    </w:rPr>
  </w:style>
  <w:style w:type="paragraph" w:styleId="8">
    <w:name w:val="heading 6"/>
    <w:basedOn w:val="1"/>
    <w:next w:val="9"/>
    <w:link w:val="115"/>
    <w:autoRedefine/>
    <w:qFormat/>
    <w:uiPriority w:val="0"/>
    <w:pPr>
      <w:keepNext/>
      <w:keepLines/>
      <w:widowControl/>
      <w:tabs>
        <w:tab w:val="left" w:pos="1152"/>
        <w:tab w:val="left" w:pos="1260"/>
      </w:tabs>
      <w:spacing w:before="240" w:after="64" w:line="320" w:lineRule="auto"/>
      <w:ind w:left="1152" w:hanging="1152"/>
      <w:jc w:val="left"/>
      <w:outlineLvl w:val="5"/>
    </w:pPr>
    <w:rPr>
      <w:rFonts w:ascii="Arial" w:hAnsi="Arial" w:eastAsia="黑体" w:cs="宋体"/>
      <w:b/>
      <w:kern w:val="0"/>
      <w:sz w:val="20"/>
      <w:szCs w:val="20"/>
    </w:rPr>
  </w:style>
  <w:style w:type="paragraph" w:styleId="11">
    <w:name w:val="heading 7"/>
    <w:basedOn w:val="1"/>
    <w:next w:val="9"/>
    <w:link w:val="116"/>
    <w:autoRedefine/>
    <w:qFormat/>
    <w:uiPriority w:val="0"/>
    <w:pPr>
      <w:keepNext/>
      <w:keepLines/>
      <w:widowControl/>
      <w:tabs>
        <w:tab w:val="left" w:pos="1260"/>
        <w:tab w:val="left" w:pos="1296"/>
      </w:tabs>
      <w:spacing w:before="240" w:after="64" w:line="320" w:lineRule="auto"/>
      <w:ind w:left="1296" w:hanging="1296"/>
      <w:jc w:val="left"/>
      <w:outlineLvl w:val="6"/>
    </w:pPr>
    <w:rPr>
      <w:rFonts w:ascii="宋体" w:cs="宋体"/>
      <w:b/>
      <w:kern w:val="0"/>
      <w:sz w:val="20"/>
      <w:szCs w:val="20"/>
    </w:rPr>
  </w:style>
  <w:style w:type="paragraph" w:styleId="12">
    <w:name w:val="heading 8"/>
    <w:basedOn w:val="1"/>
    <w:next w:val="9"/>
    <w:link w:val="117"/>
    <w:autoRedefine/>
    <w:qFormat/>
    <w:uiPriority w:val="0"/>
    <w:pPr>
      <w:keepNext/>
      <w:keepLines/>
      <w:widowControl/>
      <w:tabs>
        <w:tab w:val="left" w:pos="1260"/>
        <w:tab w:val="left" w:pos="1440"/>
      </w:tabs>
      <w:spacing w:before="240" w:after="64" w:line="320" w:lineRule="auto"/>
      <w:ind w:left="1440" w:hanging="1440"/>
      <w:jc w:val="left"/>
      <w:outlineLvl w:val="7"/>
    </w:pPr>
    <w:rPr>
      <w:rFonts w:ascii="Arial" w:hAnsi="Arial" w:eastAsia="黑体" w:cs="宋体"/>
      <w:kern w:val="0"/>
      <w:sz w:val="20"/>
      <w:szCs w:val="20"/>
    </w:rPr>
  </w:style>
  <w:style w:type="paragraph" w:styleId="13">
    <w:name w:val="heading 9"/>
    <w:basedOn w:val="1"/>
    <w:next w:val="9"/>
    <w:link w:val="118"/>
    <w:autoRedefine/>
    <w:qFormat/>
    <w:uiPriority w:val="0"/>
    <w:pPr>
      <w:keepNext/>
      <w:keepLines/>
      <w:widowControl/>
      <w:tabs>
        <w:tab w:val="left" w:pos="990"/>
        <w:tab w:val="left" w:pos="1260"/>
        <w:tab w:val="left" w:pos="1584"/>
      </w:tabs>
      <w:spacing w:before="240" w:after="64" w:line="320" w:lineRule="auto"/>
      <w:ind w:left="990" w:hanging="420"/>
      <w:jc w:val="left"/>
      <w:outlineLvl w:val="8"/>
    </w:pPr>
    <w:rPr>
      <w:rFonts w:ascii="Arial" w:hAnsi="Arial" w:eastAsia="黑体" w:cs="宋体"/>
      <w:kern w:val="0"/>
      <w:sz w:val="20"/>
      <w:szCs w:val="20"/>
    </w:rPr>
  </w:style>
  <w:style w:type="character" w:default="1" w:styleId="76">
    <w:name w:val="Default Paragraph Font"/>
    <w:autoRedefine/>
    <w:semiHidden/>
    <w:unhideWhenUsed/>
    <w:qFormat/>
    <w:uiPriority w:val="1"/>
  </w:style>
  <w:style w:type="table" w:default="1" w:styleId="69">
    <w:name w:val="Normal Table"/>
    <w:autoRedefine/>
    <w:semiHidden/>
    <w:unhideWhenUsed/>
    <w:qFormat/>
    <w:uiPriority w:val="99"/>
    <w:tblPr>
      <w:tblCellMar>
        <w:top w:w="0" w:type="dxa"/>
        <w:left w:w="108" w:type="dxa"/>
        <w:bottom w:w="0" w:type="dxa"/>
        <w:right w:w="108" w:type="dxa"/>
      </w:tblCellMar>
    </w:tblPr>
  </w:style>
  <w:style w:type="paragraph" w:styleId="2">
    <w:name w:val="macro"/>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360" w:lineRule="auto"/>
      <w:jc w:val="center"/>
    </w:pPr>
    <w:rPr>
      <w:rFonts w:ascii="Times New Roman" w:hAnsi="Times New Roman" w:eastAsia="黑体" w:cs="Times New Roman"/>
      <w:kern w:val="2"/>
      <w:sz w:val="24"/>
      <w:szCs w:val="24"/>
      <w:lang w:val="en-US" w:eastAsia="zh-CN" w:bidi="ar-SA"/>
    </w:rPr>
  </w:style>
  <w:style w:type="paragraph" w:styleId="9">
    <w:name w:val="Normal Indent"/>
    <w:basedOn w:val="1"/>
    <w:next w:val="10"/>
    <w:link w:val="124"/>
    <w:autoRedefine/>
    <w:qFormat/>
    <w:uiPriority w:val="0"/>
    <w:pPr>
      <w:widowControl/>
      <w:ind w:firstLine="420"/>
      <w:jc w:val="left"/>
    </w:pPr>
    <w:rPr>
      <w:rFonts w:cs="宋体"/>
      <w:kern w:val="0"/>
      <w:sz w:val="20"/>
      <w:szCs w:val="20"/>
    </w:rPr>
  </w:style>
  <w:style w:type="paragraph" w:customStyle="1" w:styleId="10">
    <w:name w:val="_正文格式"/>
    <w:basedOn w:val="1"/>
    <w:autoRedefine/>
    <w:qFormat/>
    <w:uiPriority w:val="0"/>
    <w:pPr>
      <w:spacing w:line="480" w:lineRule="exact"/>
      <w:ind w:firstLine="567"/>
    </w:pPr>
    <w:rPr>
      <w:rFonts w:eastAsia="仿宋_GB2312"/>
      <w:sz w:val="28"/>
    </w:rPr>
  </w:style>
  <w:style w:type="paragraph" w:styleId="14">
    <w:name w:val="List 3"/>
    <w:basedOn w:val="1"/>
    <w:autoRedefine/>
    <w:qFormat/>
    <w:uiPriority w:val="0"/>
    <w:pPr>
      <w:widowControl/>
      <w:ind w:left="100" w:leftChars="400" w:hanging="200" w:hangingChars="200"/>
      <w:jc w:val="left"/>
    </w:pPr>
    <w:rPr>
      <w:rFonts w:cs="宋体"/>
      <w:kern w:val="0"/>
      <w:sz w:val="20"/>
      <w:szCs w:val="20"/>
    </w:rPr>
  </w:style>
  <w:style w:type="paragraph" w:styleId="15">
    <w:name w:val="toc 7"/>
    <w:basedOn w:val="1"/>
    <w:next w:val="1"/>
    <w:autoRedefine/>
    <w:qFormat/>
    <w:uiPriority w:val="0"/>
    <w:pPr>
      <w:widowControl/>
      <w:ind w:left="1260"/>
      <w:jc w:val="left"/>
    </w:pPr>
    <w:rPr>
      <w:rFonts w:cs="宋体"/>
      <w:kern w:val="0"/>
      <w:sz w:val="20"/>
      <w:szCs w:val="20"/>
    </w:rPr>
  </w:style>
  <w:style w:type="paragraph" w:styleId="16">
    <w:name w:val="List Number 2"/>
    <w:basedOn w:val="1"/>
    <w:autoRedefine/>
    <w:qFormat/>
    <w:uiPriority w:val="0"/>
    <w:pPr>
      <w:widowControl/>
      <w:tabs>
        <w:tab w:val="left" w:pos="780"/>
      </w:tabs>
      <w:ind w:left="960" w:hanging="480"/>
      <w:jc w:val="left"/>
    </w:pPr>
    <w:rPr>
      <w:rFonts w:cs="宋体"/>
      <w:kern w:val="0"/>
      <w:sz w:val="20"/>
      <w:szCs w:val="20"/>
    </w:rPr>
  </w:style>
  <w:style w:type="paragraph" w:styleId="17">
    <w:name w:val="table of authorities"/>
    <w:basedOn w:val="1"/>
    <w:next w:val="1"/>
    <w:autoRedefine/>
    <w:qFormat/>
    <w:uiPriority w:val="0"/>
    <w:pPr>
      <w:widowControl/>
      <w:ind w:left="200" w:hanging="200"/>
      <w:jc w:val="left"/>
    </w:pPr>
    <w:rPr>
      <w:rFonts w:ascii="Calibri" w:hAnsi="Calibri" w:eastAsia="PMingLiU" w:cs="宋体"/>
      <w:kern w:val="0"/>
      <w:sz w:val="20"/>
      <w:szCs w:val="20"/>
      <w:lang w:eastAsia="zh-TW"/>
    </w:rPr>
  </w:style>
  <w:style w:type="paragraph" w:styleId="18">
    <w:name w:val="Note Heading"/>
    <w:basedOn w:val="1"/>
    <w:next w:val="1"/>
    <w:link w:val="276"/>
    <w:autoRedefine/>
    <w:qFormat/>
    <w:uiPriority w:val="0"/>
    <w:pPr>
      <w:widowControl/>
      <w:jc w:val="center"/>
    </w:pPr>
    <w:rPr>
      <w:rFonts w:cs="宋体"/>
      <w:kern w:val="0"/>
      <w:sz w:val="20"/>
      <w:szCs w:val="20"/>
    </w:rPr>
  </w:style>
  <w:style w:type="paragraph" w:styleId="19">
    <w:name w:val="List Bullet 4"/>
    <w:basedOn w:val="1"/>
    <w:autoRedefine/>
    <w:qFormat/>
    <w:uiPriority w:val="0"/>
    <w:pPr>
      <w:widowControl/>
      <w:tabs>
        <w:tab w:val="left" w:pos="1620"/>
      </w:tabs>
      <w:jc w:val="left"/>
    </w:pPr>
    <w:rPr>
      <w:rFonts w:cs="宋体"/>
      <w:kern w:val="0"/>
      <w:sz w:val="20"/>
      <w:szCs w:val="20"/>
    </w:rPr>
  </w:style>
  <w:style w:type="paragraph" w:styleId="20">
    <w:name w:val="List Number"/>
    <w:basedOn w:val="1"/>
    <w:autoRedefine/>
    <w:qFormat/>
    <w:uiPriority w:val="0"/>
    <w:pPr>
      <w:widowControl/>
      <w:numPr>
        <w:ilvl w:val="0"/>
        <w:numId w:val="1"/>
      </w:numPr>
      <w:tabs>
        <w:tab w:val="left" w:pos="360"/>
      </w:tabs>
      <w:jc w:val="left"/>
    </w:pPr>
    <w:rPr>
      <w:rFonts w:cs="宋体"/>
      <w:kern w:val="0"/>
      <w:sz w:val="20"/>
      <w:szCs w:val="20"/>
    </w:rPr>
  </w:style>
  <w:style w:type="paragraph" w:styleId="21">
    <w:name w:val="caption"/>
    <w:basedOn w:val="1"/>
    <w:next w:val="1"/>
    <w:link w:val="100"/>
    <w:autoRedefine/>
    <w:qFormat/>
    <w:uiPriority w:val="0"/>
    <w:pPr>
      <w:widowControl/>
      <w:spacing w:before="152" w:after="160"/>
      <w:ind w:left="100" w:leftChars="100" w:right="100" w:rightChars="100"/>
      <w:jc w:val="center"/>
    </w:pPr>
    <w:rPr>
      <w:rFonts w:eastAsia="黑体" w:cs="Arial"/>
      <w:kern w:val="0"/>
      <w:sz w:val="20"/>
      <w:szCs w:val="22"/>
    </w:rPr>
  </w:style>
  <w:style w:type="paragraph" w:styleId="22">
    <w:name w:val="List Bullet"/>
    <w:basedOn w:val="1"/>
    <w:autoRedefine/>
    <w:qFormat/>
    <w:uiPriority w:val="0"/>
    <w:pPr>
      <w:widowControl/>
      <w:tabs>
        <w:tab w:val="left" w:pos="360"/>
      </w:tabs>
      <w:ind w:left="842" w:hanging="360"/>
      <w:jc w:val="left"/>
    </w:pPr>
    <w:rPr>
      <w:rFonts w:cs="宋体"/>
      <w:kern w:val="0"/>
      <w:sz w:val="20"/>
      <w:szCs w:val="20"/>
    </w:rPr>
  </w:style>
  <w:style w:type="paragraph" w:styleId="23">
    <w:name w:val="Document Map"/>
    <w:basedOn w:val="1"/>
    <w:link w:val="138"/>
    <w:autoRedefine/>
    <w:qFormat/>
    <w:uiPriority w:val="0"/>
    <w:pPr>
      <w:widowControl/>
      <w:shd w:val="clear" w:color="auto" w:fill="000080"/>
      <w:jc w:val="left"/>
    </w:pPr>
    <w:rPr>
      <w:rFonts w:cs="宋体"/>
      <w:kern w:val="0"/>
      <w:sz w:val="20"/>
      <w:szCs w:val="20"/>
    </w:rPr>
  </w:style>
  <w:style w:type="paragraph" w:styleId="24">
    <w:name w:val="toa heading"/>
    <w:basedOn w:val="1"/>
    <w:next w:val="1"/>
    <w:autoRedefine/>
    <w:qFormat/>
    <w:uiPriority w:val="0"/>
    <w:pPr>
      <w:widowControl/>
      <w:spacing w:before="120"/>
      <w:jc w:val="left"/>
    </w:pPr>
    <w:rPr>
      <w:rFonts w:ascii="Arial" w:hAnsi="Arial" w:cs="Arial"/>
      <w:kern w:val="0"/>
      <w:sz w:val="20"/>
      <w:szCs w:val="20"/>
    </w:rPr>
  </w:style>
  <w:style w:type="paragraph" w:styleId="25">
    <w:name w:val="annotation text"/>
    <w:basedOn w:val="1"/>
    <w:link w:val="91"/>
    <w:autoRedefine/>
    <w:qFormat/>
    <w:uiPriority w:val="0"/>
    <w:pPr>
      <w:widowControl/>
      <w:jc w:val="left"/>
    </w:pPr>
    <w:rPr>
      <w:rFonts w:cs="宋体"/>
      <w:kern w:val="0"/>
      <w:sz w:val="20"/>
      <w:szCs w:val="20"/>
      <w:lang w:val="zh-CN"/>
    </w:rPr>
  </w:style>
  <w:style w:type="paragraph" w:styleId="26">
    <w:name w:val="Salutation"/>
    <w:basedOn w:val="1"/>
    <w:next w:val="1"/>
    <w:autoRedefine/>
    <w:qFormat/>
    <w:uiPriority w:val="0"/>
  </w:style>
  <w:style w:type="paragraph" w:styleId="27">
    <w:name w:val="Body Text 3"/>
    <w:basedOn w:val="1"/>
    <w:link w:val="235"/>
    <w:autoRedefine/>
    <w:qFormat/>
    <w:uiPriority w:val="0"/>
    <w:pPr>
      <w:widowControl/>
      <w:spacing w:line="320" w:lineRule="exact"/>
      <w:jc w:val="center"/>
    </w:pPr>
    <w:rPr>
      <w:rFonts w:cs="宋体"/>
      <w:bCs/>
      <w:color w:val="FF00FF"/>
      <w:kern w:val="0"/>
      <w:sz w:val="28"/>
      <w:szCs w:val="20"/>
    </w:rPr>
  </w:style>
  <w:style w:type="paragraph" w:styleId="28">
    <w:name w:val="List Bullet 3"/>
    <w:basedOn w:val="1"/>
    <w:autoRedefine/>
    <w:qFormat/>
    <w:uiPriority w:val="0"/>
    <w:pPr>
      <w:widowControl/>
      <w:numPr>
        <w:ilvl w:val="0"/>
        <w:numId w:val="2"/>
      </w:numPr>
      <w:tabs>
        <w:tab w:val="left" w:pos="1200"/>
      </w:tabs>
      <w:jc w:val="left"/>
    </w:pPr>
    <w:rPr>
      <w:rFonts w:cs="宋体"/>
      <w:kern w:val="0"/>
      <w:sz w:val="20"/>
      <w:szCs w:val="20"/>
    </w:rPr>
  </w:style>
  <w:style w:type="paragraph" w:styleId="29">
    <w:name w:val="Body Text"/>
    <w:basedOn w:val="1"/>
    <w:next w:val="1"/>
    <w:link w:val="101"/>
    <w:autoRedefine/>
    <w:qFormat/>
    <w:uiPriority w:val="0"/>
    <w:pPr>
      <w:widowControl/>
      <w:jc w:val="center"/>
    </w:pPr>
    <w:rPr>
      <w:rFonts w:cs="宋体"/>
      <w:kern w:val="0"/>
      <w:sz w:val="20"/>
    </w:rPr>
  </w:style>
  <w:style w:type="paragraph" w:styleId="30">
    <w:name w:val="Body Text Indent"/>
    <w:basedOn w:val="1"/>
    <w:link w:val="92"/>
    <w:autoRedefine/>
    <w:qFormat/>
    <w:uiPriority w:val="0"/>
    <w:pPr>
      <w:widowControl/>
      <w:spacing w:after="120"/>
      <w:ind w:left="420" w:leftChars="200"/>
      <w:jc w:val="left"/>
    </w:pPr>
    <w:rPr>
      <w:rFonts w:cs="宋体"/>
      <w:kern w:val="0"/>
      <w:sz w:val="20"/>
      <w:szCs w:val="20"/>
      <w:lang w:val="zh-CN"/>
    </w:rPr>
  </w:style>
  <w:style w:type="paragraph" w:styleId="31">
    <w:name w:val="List Number 3"/>
    <w:basedOn w:val="1"/>
    <w:autoRedefine/>
    <w:qFormat/>
    <w:uiPriority w:val="0"/>
    <w:pPr>
      <w:widowControl/>
      <w:tabs>
        <w:tab w:val="left" w:pos="840"/>
      </w:tabs>
      <w:ind w:left="840" w:hanging="720"/>
      <w:jc w:val="left"/>
    </w:pPr>
    <w:rPr>
      <w:rFonts w:cs="宋体"/>
      <w:kern w:val="0"/>
      <w:sz w:val="20"/>
      <w:szCs w:val="20"/>
    </w:rPr>
  </w:style>
  <w:style w:type="paragraph" w:styleId="32">
    <w:name w:val="List 2"/>
    <w:basedOn w:val="1"/>
    <w:autoRedefine/>
    <w:qFormat/>
    <w:uiPriority w:val="0"/>
    <w:pPr>
      <w:widowControl/>
      <w:ind w:left="100" w:leftChars="200" w:hanging="200" w:hangingChars="200"/>
      <w:jc w:val="left"/>
    </w:pPr>
    <w:rPr>
      <w:rFonts w:cs="宋体"/>
      <w:kern w:val="0"/>
      <w:sz w:val="20"/>
      <w:szCs w:val="20"/>
    </w:rPr>
  </w:style>
  <w:style w:type="paragraph" w:styleId="33">
    <w:name w:val="List Continue"/>
    <w:basedOn w:val="1"/>
    <w:autoRedefine/>
    <w:qFormat/>
    <w:uiPriority w:val="0"/>
    <w:pPr>
      <w:widowControl/>
      <w:spacing w:after="120"/>
      <w:ind w:left="420" w:leftChars="200"/>
      <w:jc w:val="left"/>
    </w:pPr>
    <w:rPr>
      <w:rFonts w:cs="宋体"/>
      <w:kern w:val="0"/>
      <w:sz w:val="20"/>
      <w:szCs w:val="20"/>
    </w:rPr>
  </w:style>
  <w:style w:type="paragraph" w:styleId="34">
    <w:name w:val="Block Text"/>
    <w:basedOn w:val="1"/>
    <w:autoRedefine/>
    <w:qFormat/>
    <w:uiPriority w:val="0"/>
    <w:pPr>
      <w:widowControl/>
      <w:ind w:left="360" w:right="-153" w:rightChars="-73"/>
      <w:jc w:val="left"/>
    </w:pPr>
    <w:rPr>
      <w:rFonts w:cs="宋体"/>
      <w:kern w:val="0"/>
      <w:sz w:val="28"/>
      <w:szCs w:val="20"/>
    </w:rPr>
  </w:style>
  <w:style w:type="paragraph" w:styleId="35">
    <w:name w:val="List Bullet 2"/>
    <w:basedOn w:val="1"/>
    <w:autoRedefine/>
    <w:qFormat/>
    <w:uiPriority w:val="0"/>
    <w:pPr>
      <w:widowControl/>
      <w:numPr>
        <w:ilvl w:val="0"/>
        <w:numId w:val="3"/>
      </w:numPr>
      <w:tabs>
        <w:tab w:val="left" w:pos="780"/>
      </w:tabs>
      <w:jc w:val="left"/>
    </w:pPr>
    <w:rPr>
      <w:rFonts w:cs="宋体"/>
      <w:kern w:val="0"/>
      <w:sz w:val="20"/>
      <w:szCs w:val="20"/>
    </w:rPr>
  </w:style>
  <w:style w:type="paragraph" w:styleId="36">
    <w:name w:val="toc 5"/>
    <w:basedOn w:val="1"/>
    <w:next w:val="1"/>
    <w:autoRedefine/>
    <w:qFormat/>
    <w:uiPriority w:val="0"/>
    <w:pPr>
      <w:widowControl/>
      <w:ind w:left="840"/>
      <w:jc w:val="left"/>
    </w:pPr>
    <w:rPr>
      <w:rFonts w:cs="宋体"/>
      <w:kern w:val="0"/>
      <w:sz w:val="18"/>
      <w:szCs w:val="18"/>
    </w:rPr>
  </w:style>
  <w:style w:type="paragraph" w:styleId="37">
    <w:name w:val="toc 3"/>
    <w:basedOn w:val="1"/>
    <w:next w:val="1"/>
    <w:autoRedefine/>
    <w:qFormat/>
    <w:uiPriority w:val="0"/>
    <w:pPr>
      <w:widowControl/>
      <w:ind w:left="420"/>
      <w:jc w:val="left"/>
    </w:pPr>
    <w:rPr>
      <w:rFonts w:cs="宋体"/>
      <w:i/>
      <w:iCs/>
      <w:kern w:val="0"/>
      <w:sz w:val="20"/>
      <w:szCs w:val="20"/>
    </w:rPr>
  </w:style>
  <w:style w:type="paragraph" w:styleId="38">
    <w:name w:val="Plain Text"/>
    <w:basedOn w:val="1"/>
    <w:next w:val="26"/>
    <w:link w:val="93"/>
    <w:autoRedefine/>
    <w:qFormat/>
    <w:uiPriority w:val="0"/>
    <w:pPr>
      <w:widowControl/>
      <w:jc w:val="left"/>
    </w:pPr>
    <w:rPr>
      <w:rFonts w:ascii="宋体" w:hAnsi="Courier New" w:cs="宋体"/>
      <w:kern w:val="0"/>
      <w:sz w:val="20"/>
      <w:szCs w:val="20"/>
      <w:lang w:val="zh-CN"/>
    </w:rPr>
  </w:style>
  <w:style w:type="paragraph" w:styleId="39">
    <w:name w:val="List Bullet 5"/>
    <w:basedOn w:val="1"/>
    <w:autoRedefine/>
    <w:qFormat/>
    <w:uiPriority w:val="0"/>
    <w:pPr>
      <w:widowControl/>
      <w:numPr>
        <w:ilvl w:val="0"/>
        <w:numId w:val="4"/>
      </w:numPr>
      <w:tabs>
        <w:tab w:val="left" w:pos="2040"/>
      </w:tabs>
      <w:jc w:val="left"/>
    </w:pPr>
    <w:rPr>
      <w:rFonts w:cs="宋体"/>
      <w:kern w:val="0"/>
      <w:sz w:val="20"/>
      <w:szCs w:val="20"/>
    </w:rPr>
  </w:style>
  <w:style w:type="paragraph" w:styleId="40">
    <w:name w:val="List Number 4"/>
    <w:basedOn w:val="1"/>
    <w:autoRedefine/>
    <w:qFormat/>
    <w:uiPriority w:val="0"/>
    <w:pPr>
      <w:widowControl/>
      <w:tabs>
        <w:tab w:val="left" w:pos="1620"/>
      </w:tabs>
      <w:ind w:left="1620" w:leftChars="600" w:hanging="360" w:hangingChars="200"/>
      <w:jc w:val="left"/>
    </w:pPr>
    <w:rPr>
      <w:rFonts w:cs="宋体"/>
      <w:kern w:val="0"/>
      <w:sz w:val="20"/>
      <w:szCs w:val="20"/>
    </w:rPr>
  </w:style>
  <w:style w:type="paragraph" w:styleId="41">
    <w:name w:val="toc 8"/>
    <w:basedOn w:val="1"/>
    <w:next w:val="1"/>
    <w:autoRedefine/>
    <w:qFormat/>
    <w:uiPriority w:val="0"/>
    <w:pPr>
      <w:widowControl/>
      <w:ind w:left="1470"/>
      <w:jc w:val="left"/>
    </w:pPr>
    <w:rPr>
      <w:rFonts w:cs="宋体"/>
      <w:kern w:val="0"/>
      <w:sz w:val="18"/>
      <w:szCs w:val="18"/>
    </w:rPr>
  </w:style>
  <w:style w:type="paragraph" w:styleId="42">
    <w:name w:val="index 3"/>
    <w:basedOn w:val="1"/>
    <w:next w:val="1"/>
    <w:autoRedefine/>
    <w:qFormat/>
    <w:uiPriority w:val="0"/>
    <w:pPr>
      <w:widowControl/>
      <w:spacing w:before="60" w:line="540" w:lineRule="exact"/>
      <w:ind w:firstLine="480" w:firstLineChars="200"/>
      <w:jc w:val="left"/>
    </w:pPr>
    <w:rPr>
      <w:rFonts w:cs="宋体"/>
      <w:kern w:val="0"/>
      <w:sz w:val="20"/>
      <w:szCs w:val="20"/>
    </w:rPr>
  </w:style>
  <w:style w:type="paragraph" w:styleId="43">
    <w:name w:val="Date"/>
    <w:basedOn w:val="1"/>
    <w:next w:val="1"/>
    <w:link w:val="280"/>
    <w:autoRedefine/>
    <w:qFormat/>
    <w:uiPriority w:val="0"/>
    <w:pPr>
      <w:widowControl/>
      <w:jc w:val="left"/>
    </w:pPr>
    <w:rPr>
      <w:rFonts w:cs="宋体"/>
      <w:kern w:val="0"/>
      <w:sz w:val="28"/>
      <w:szCs w:val="20"/>
    </w:rPr>
  </w:style>
  <w:style w:type="paragraph" w:styleId="44">
    <w:name w:val="Body Text Indent 2"/>
    <w:basedOn w:val="1"/>
    <w:next w:val="1"/>
    <w:link w:val="120"/>
    <w:autoRedefine/>
    <w:qFormat/>
    <w:uiPriority w:val="0"/>
    <w:pPr>
      <w:widowControl/>
      <w:ind w:firstLine="570"/>
      <w:jc w:val="left"/>
    </w:pPr>
    <w:rPr>
      <w:rFonts w:ascii="宋体" w:hAnsi="宋体" w:cs="宋体"/>
      <w:color w:val="FF0000"/>
      <w:kern w:val="0"/>
      <w:sz w:val="20"/>
      <w:szCs w:val="20"/>
    </w:rPr>
  </w:style>
  <w:style w:type="paragraph" w:styleId="45">
    <w:name w:val="Balloon Text"/>
    <w:basedOn w:val="1"/>
    <w:link w:val="89"/>
    <w:autoRedefine/>
    <w:qFormat/>
    <w:uiPriority w:val="0"/>
    <w:pPr>
      <w:widowControl/>
      <w:jc w:val="left"/>
    </w:pPr>
    <w:rPr>
      <w:rFonts w:cs="宋体"/>
      <w:kern w:val="0"/>
      <w:sz w:val="18"/>
      <w:szCs w:val="18"/>
      <w:lang w:val="zh-CN"/>
    </w:rPr>
  </w:style>
  <w:style w:type="paragraph" w:styleId="46">
    <w:name w:val="footer"/>
    <w:basedOn w:val="1"/>
    <w:link w:val="94"/>
    <w:autoRedefine/>
    <w:qFormat/>
    <w:uiPriority w:val="99"/>
    <w:pPr>
      <w:widowControl/>
      <w:tabs>
        <w:tab w:val="center" w:pos="4153"/>
        <w:tab w:val="right" w:pos="8306"/>
      </w:tabs>
      <w:snapToGrid w:val="0"/>
      <w:jc w:val="left"/>
    </w:pPr>
    <w:rPr>
      <w:rFonts w:cs="宋体"/>
      <w:kern w:val="0"/>
      <w:sz w:val="18"/>
      <w:szCs w:val="18"/>
      <w:lang w:val="zh-CN"/>
    </w:rPr>
  </w:style>
  <w:style w:type="paragraph" w:styleId="47">
    <w:name w:val="header"/>
    <w:basedOn w:val="1"/>
    <w:link w:val="112"/>
    <w:autoRedefine/>
    <w:qFormat/>
    <w:uiPriority w:val="0"/>
    <w:pPr>
      <w:widowControl/>
      <w:pBdr>
        <w:bottom w:val="single" w:color="auto" w:sz="6" w:space="1"/>
      </w:pBdr>
      <w:tabs>
        <w:tab w:val="center" w:pos="4153"/>
        <w:tab w:val="right" w:pos="8306"/>
      </w:tabs>
      <w:snapToGrid w:val="0"/>
      <w:jc w:val="center"/>
    </w:pPr>
    <w:rPr>
      <w:rFonts w:cs="宋体"/>
      <w:kern w:val="0"/>
      <w:sz w:val="18"/>
      <w:szCs w:val="18"/>
    </w:rPr>
  </w:style>
  <w:style w:type="paragraph" w:styleId="48">
    <w:name w:val="toc 1"/>
    <w:basedOn w:val="1"/>
    <w:next w:val="1"/>
    <w:autoRedefine/>
    <w:qFormat/>
    <w:uiPriority w:val="0"/>
    <w:pPr>
      <w:widowControl/>
      <w:spacing w:line="400" w:lineRule="exact"/>
      <w:jc w:val="left"/>
    </w:pPr>
    <w:rPr>
      <w:rFonts w:cs="宋体"/>
      <w:kern w:val="0"/>
      <w:sz w:val="20"/>
    </w:rPr>
  </w:style>
  <w:style w:type="paragraph" w:styleId="49">
    <w:name w:val="toc 4"/>
    <w:basedOn w:val="1"/>
    <w:next w:val="1"/>
    <w:autoRedefine/>
    <w:qFormat/>
    <w:uiPriority w:val="0"/>
    <w:pPr>
      <w:widowControl/>
      <w:ind w:left="630"/>
      <w:jc w:val="left"/>
    </w:pPr>
    <w:rPr>
      <w:rFonts w:cs="宋体"/>
      <w:kern w:val="0"/>
      <w:sz w:val="18"/>
      <w:szCs w:val="18"/>
    </w:rPr>
  </w:style>
  <w:style w:type="paragraph" w:styleId="50">
    <w:name w:val="index heading"/>
    <w:basedOn w:val="1"/>
    <w:next w:val="51"/>
    <w:autoRedefine/>
    <w:qFormat/>
    <w:uiPriority w:val="0"/>
    <w:pPr>
      <w:widowControl/>
      <w:jc w:val="left"/>
    </w:pPr>
    <w:rPr>
      <w:rFonts w:cs="宋体"/>
      <w:kern w:val="0"/>
      <w:sz w:val="20"/>
      <w:szCs w:val="20"/>
    </w:rPr>
  </w:style>
  <w:style w:type="paragraph" w:styleId="51">
    <w:name w:val="index 1"/>
    <w:basedOn w:val="1"/>
    <w:next w:val="1"/>
    <w:autoRedefine/>
    <w:qFormat/>
    <w:uiPriority w:val="0"/>
    <w:pPr>
      <w:widowControl/>
      <w:jc w:val="left"/>
    </w:pPr>
    <w:rPr>
      <w:rFonts w:cs="宋体"/>
      <w:kern w:val="0"/>
      <w:sz w:val="20"/>
      <w:szCs w:val="20"/>
    </w:rPr>
  </w:style>
  <w:style w:type="paragraph" w:styleId="52">
    <w:name w:val="Subtitle"/>
    <w:basedOn w:val="1"/>
    <w:next w:val="1"/>
    <w:link w:val="291"/>
    <w:autoRedefine/>
    <w:qFormat/>
    <w:uiPriority w:val="0"/>
    <w:pPr>
      <w:widowControl/>
      <w:spacing w:before="240" w:after="60"/>
      <w:ind w:left="100" w:leftChars="100" w:right="100" w:rightChars="100"/>
      <w:jc w:val="left"/>
      <w:outlineLvl w:val="1"/>
    </w:pPr>
    <w:rPr>
      <w:rFonts w:ascii="宋体" w:hAnsi="宋体" w:eastAsia="新宋体" w:cs="宋体"/>
      <w:b/>
      <w:bCs/>
      <w:kern w:val="28"/>
      <w:sz w:val="28"/>
      <w:szCs w:val="32"/>
    </w:rPr>
  </w:style>
  <w:style w:type="paragraph" w:styleId="53">
    <w:name w:val="List Number 5"/>
    <w:basedOn w:val="1"/>
    <w:autoRedefine/>
    <w:qFormat/>
    <w:uiPriority w:val="0"/>
    <w:pPr>
      <w:widowControl/>
      <w:tabs>
        <w:tab w:val="left" w:pos="2040"/>
      </w:tabs>
      <w:ind w:left="2040" w:leftChars="800" w:hanging="360" w:hangingChars="200"/>
      <w:jc w:val="left"/>
    </w:pPr>
    <w:rPr>
      <w:rFonts w:cs="宋体"/>
      <w:kern w:val="24"/>
      <w:sz w:val="20"/>
      <w:szCs w:val="20"/>
    </w:rPr>
  </w:style>
  <w:style w:type="paragraph" w:styleId="54">
    <w:name w:val="List"/>
    <w:basedOn w:val="1"/>
    <w:autoRedefine/>
    <w:qFormat/>
    <w:uiPriority w:val="0"/>
    <w:pPr>
      <w:widowControl/>
      <w:ind w:left="200" w:hanging="200" w:hangingChars="200"/>
      <w:jc w:val="left"/>
    </w:pPr>
    <w:rPr>
      <w:rFonts w:cs="宋体"/>
      <w:kern w:val="0"/>
      <w:sz w:val="20"/>
      <w:szCs w:val="20"/>
    </w:rPr>
  </w:style>
  <w:style w:type="paragraph" w:styleId="55">
    <w:name w:val="footnote text"/>
    <w:basedOn w:val="1"/>
    <w:link w:val="294"/>
    <w:autoRedefine/>
    <w:qFormat/>
    <w:uiPriority w:val="0"/>
    <w:pPr>
      <w:widowControl/>
      <w:snapToGrid w:val="0"/>
      <w:jc w:val="left"/>
    </w:pPr>
    <w:rPr>
      <w:rFonts w:cs="宋体"/>
      <w:kern w:val="0"/>
      <w:sz w:val="18"/>
      <w:szCs w:val="18"/>
    </w:rPr>
  </w:style>
  <w:style w:type="paragraph" w:styleId="56">
    <w:name w:val="toc 6"/>
    <w:basedOn w:val="1"/>
    <w:next w:val="1"/>
    <w:autoRedefine/>
    <w:qFormat/>
    <w:uiPriority w:val="0"/>
    <w:pPr>
      <w:widowControl/>
      <w:ind w:left="1050"/>
      <w:jc w:val="left"/>
    </w:pPr>
    <w:rPr>
      <w:rFonts w:cs="宋体"/>
      <w:kern w:val="0"/>
      <w:sz w:val="18"/>
      <w:szCs w:val="18"/>
    </w:rPr>
  </w:style>
  <w:style w:type="paragraph" w:styleId="57">
    <w:name w:val="Body Text Indent 3"/>
    <w:basedOn w:val="1"/>
    <w:link w:val="121"/>
    <w:autoRedefine/>
    <w:qFormat/>
    <w:uiPriority w:val="0"/>
    <w:pPr>
      <w:widowControl/>
      <w:ind w:firstLine="480"/>
      <w:jc w:val="left"/>
    </w:pPr>
    <w:rPr>
      <w:rFonts w:cs="宋体"/>
      <w:color w:val="000000"/>
      <w:kern w:val="0"/>
      <w:sz w:val="20"/>
      <w:szCs w:val="20"/>
    </w:rPr>
  </w:style>
  <w:style w:type="paragraph" w:styleId="58">
    <w:name w:val="index 7"/>
    <w:basedOn w:val="1"/>
    <w:next w:val="1"/>
    <w:autoRedefine/>
    <w:qFormat/>
    <w:uiPriority w:val="0"/>
    <w:pPr>
      <w:widowControl/>
      <w:adjustRightInd w:val="0"/>
      <w:ind w:left="1960" w:hanging="280"/>
      <w:jc w:val="left"/>
      <w:textAlignment w:val="baseline"/>
    </w:pPr>
    <w:rPr>
      <w:rFonts w:cs="宋体"/>
      <w:kern w:val="0"/>
      <w:sz w:val="20"/>
      <w:szCs w:val="20"/>
    </w:rPr>
  </w:style>
  <w:style w:type="paragraph" w:styleId="59">
    <w:name w:val="table of figures"/>
    <w:basedOn w:val="1"/>
    <w:next w:val="1"/>
    <w:autoRedefine/>
    <w:qFormat/>
    <w:uiPriority w:val="0"/>
    <w:pPr>
      <w:widowControl/>
      <w:tabs>
        <w:tab w:val="left" w:pos="510"/>
      </w:tabs>
      <w:adjustRightInd w:val="0"/>
      <w:spacing w:line="240" w:lineRule="atLeast"/>
      <w:jc w:val="left"/>
      <w:textAlignment w:val="baseline"/>
    </w:pPr>
    <w:rPr>
      <w:rFonts w:cs="宋体"/>
      <w:kern w:val="0"/>
      <w:sz w:val="20"/>
      <w:szCs w:val="20"/>
    </w:rPr>
  </w:style>
  <w:style w:type="paragraph" w:styleId="60">
    <w:name w:val="toc 2"/>
    <w:basedOn w:val="1"/>
    <w:next w:val="1"/>
    <w:autoRedefine/>
    <w:qFormat/>
    <w:uiPriority w:val="39"/>
    <w:pPr>
      <w:widowControl/>
      <w:ind w:left="420" w:leftChars="200"/>
      <w:jc w:val="left"/>
    </w:pPr>
    <w:rPr>
      <w:rFonts w:cs="宋体"/>
      <w:kern w:val="0"/>
      <w:sz w:val="20"/>
      <w:szCs w:val="20"/>
    </w:rPr>
  </w:style>
  <w:style w:type="paragraph" w:styleId="61">
    <w:name w:val="toc 9"/>
    <w:basedOn w:val="1"/>
    <w:next w:val="1"/>
    <w:autoRedefine/>
    <w:qFormat/>
    <w:uiPriority w:val="0"/>
    <w:pPr>
      <w:widowControl/>
      <w:ind w:left="1680"/>
      <w:jc w:val="left"/>
    </w:pPr>
    <w:rPr>
      <w:rFonts w:cs="宋体"/>
      <w:kern w:val="0"/>
      <w:sz w:val="18"/>
      <w:szCs w:val="18"/>
    </w:rPr>
  </w:style>
  <w:style w:type="paragraph" w:styleId="62">
    <w:name w:val="Body Text 2"/>
    <w:basedOn w:val="1"/>
    <w:link w:val="264"/>
    <w:autoRedefine/>
    <w:qFormat/>
    <w:uiPriority w:val="0"/>
    <w:pPr>
      <w:widowControl/>
      <w:spacing w:line="420" w:lineRule="exact"/>
      <w:jc w:val="left"/>
    </w:pPr>
    <w:rPr>
      <w:rFonts w:cs="宋体"/>
      <w:bCs/>
      <w:kern w:val="0"/>
      <w:sz w:val="28"/>
      <w:szCs w:val="20"/>
    </w:rPr>
  </w:style>
  <w:style w:type="paragraph" w:styleId="63">
    <w:name w:val="HTML Preformatted"/>
    <w:basedOn w:val="1"/>
    <w:link w:val="131"/>
    <w:autoRedefine/>
    <w:qFormat/>
    <w:uiPriority w:val="0"/>
    <w:pPr>
      <w:widowControl/>
      <w:jc w:val="left"/>
    </w:pPr>
    <w:rPr>
      <w:rFonts w:ascii="Courier New" w:hAnsi="Courier New" w:cs="Courier New"/>
      <w:kern w:val="0"/>
      <w:sz w:val="20"/>
      <w:szCs w:val="20"/>
    </w:rPr>
  </w:style>
  <w:style w:type="paragraph" w:styleId="64">
    <w:name w:val="Normal (Web)"/>
    <w:basedOn w:val="1"/>
    <w:autoRedefine/>
    <w:qFormat/>
    <w:uiPriority w:val="0"/>
    <w:pPr>
      <w:widowControl/>
      <w:jc w:val="left"/>
    </w:pPr>
    <w:rPr>
      <w:rFonts w:cs="宋体"/>
      <w:kern w:val="0"/>
      <w:sz w:val="20"/>
      <w:szCs w:val="20"/>
    </w:rPr>
  </w:style>
  <w:style w:type="paragraph" w:styleId="65">
    <w:name w:val="Title"/>
    <w:basedOn w:val="1"/>
    <w:link w:val="189"/>
    <w:autoRedefine/>
    <w:qFormat/>
    <w:uiPriority w:val="0"/>
    <w:pPr>
      <w:keepNext/>
      <w:keepLines/>
      <w:widowControl/>
      <w:spacing w:before="144" w:after="72"/>
      <w:jc w:val="center"/>
    </w:pPr>
    <w:rPr>
      <w:rFonts w:ascii="Arial" w:hAnsi="Arial" w:eastAsia="PMingLiU" w:cs="宋体"/>
      <w:b/>
      <w:color w:val="000000"/>
      <w:kern w:val="0"/>
      <w:sz w:val="36"/>
      <w:szCs w:val="20"/>
      <w:lang w:eastAsia="zh-TW"/>
    </w:rPr>
  </w:style>
  <w:style w:type="paragraph" w:styleId="66">
    <w:name w:val="annotation subject"/>
    <w:basedOn w:val="25"/>
    <w:next w:val="25"/>
    <w:link w:val="90"/>
    <w:autoRedefine/>
    <w:qFormat/>
    <w:uiPriority w:val="0"/>
    <w:rPr>
      <w:b/>
      <w:bCs/>
    </w:rPr>
  </w:style>
  <w:style w:type="paragraph" w:styleId="67">
    <w:name w:val="Body Text First Indent"/>
    <w:basedOn w:val="29"/>
    <w:link w:val="102"/>
    <w:autoRedefine/>
    <w:qFormat/>
    <w:uiPriority w:val="0"/>
    <w:pPr>
      <w:spacing w:after="120" w:line="240" w:lineRule="auto"/>
      <w:ind w:firstLine="420" w:firstLineChars="100"/>
      <w:jc w:val="both"/>
    </w:pPr>
    <w:rPr>
      <w:sz w:val="21"/>
      <w:szCs w:val="24"/>
    </w:rPr>
  </w:style>
  <w:style w:type="paragraph" w:styleId="68">
    <w:name w:val="Body Text First Indent 2"/>
    <w:basedOn w:val="30"/>
    <w:link w:val="175"/>
    <w:autoRedefine/>
    <w:unhideWhenUsed/>
    <w:qFormat/>
    <w:uiPriority w:val="0"/>
    <w:pPr>
      <w:ind w:firstLine="420" w:firstLineChars="200"/>
    </w:pPr>
    <w:rPr>
      <w:lang w:val="en-US"/>
    </w:rPr>
  </w:style>
  <w:style w:type="table" w:styleId="70">
    <w:name w:val="Table Grid"/>
    <w:basedOn w:val="69"/>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table" w:styleId="71">
    <w:name w:val="Table Theme"/>
    <w:basedOn w:val="6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2">
    <w:name w:val="Table Simple 1"/>
    <w:basedOn w:val="69"/>
    <w:autoRedefine/>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73">
    <w:name w:val="Table List 3"/>
    <w:basedOn w:val="69"/>
    <w:autoRedefine/>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74">
    <w:name w:val="Table Grid 1"/>
    <w:basedOn w:val="69"/>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75">
    <w:name w:val="Table Professional"/>
    <w:basedOn w:val="69"/>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7">
    <w:name w:val="Strong"/>
    <w:autoRedefine/>
    <w:qFormat/>
    <w:uiPriority w:val="22"/>
    <w:rPr>
      <w:b/>
      <w:bCs/>
    </w:rPr>
  </w:style>
  <w:style w:type="character" w:styleId="78">
    <w:name w:val="page number"/>
    <w:basedOn w:val="76"/>
    <w:autoRedefine/>
    <w:qFormat/>
    <w:uiPriority w:val="0"/>
  </w:style>
  <w:style w:type="character" w:styleId="79">
    <w:name w:val="FollowedHyperlink"/>
    <w:autoRedefine/>
    <w:unhideWhenUsed/>
    <w:qFormat/>
    <w:uiPriority w:val="99"/>
    <w:rPr>
      <w:color w:val="954F72"/>
      <w:u w:val="single"/>
    </w:rPr>
  </w:style>
  <w:style w:type="character" w:styleId="80">
    <w:name w:val="Emphasis"/>
    <w:autoRedefine/>
    <w:qFormat/>
    <w:uiPriority w:val="20"/>
    <w:rPr>
      <w:i/>
      <w:iCs/>
    </w:rPr>
  </w:style>
  <w:style w:type="character" w:styleId="81">
    <w:name w:val="line number"/>
    <w:autoRedefine/>
    <w:qFormat/>
    <w:uiPriority w:val="0"/>
    <w:rPr>
      <w:rFonts w:ascii="宋体" w:hAnsi="宋体" w:eastAsia="宋体" w:cs="Courier New"/>
      <w:kern w:val="2"/>
      <w:sz w:val="32"/>
      <w:szCs w:val="32"/>
      <w:lang w:val="en-US" w:eastAsia="zh-CN" w:bidi="ar-SA"/>
    </w:rPr>
  </w:style>
  <w:style w:type="character" w:styleId="82">
    <w:name w:val="Hyperlink"/>
    <w:autoRedefine/>
    <w:qFormat/>
    <w:uiPriority w:val="99"/>
    <w:rPr>
      <w:color w:val="0000FF"/>
      <w:u w:val="single"/>
    </w:rPr>
  </w:style>
  <w:style w:type="character" w:styleId="83">
    <w:name w:val="annotation reference"/>
    <w:basedOn w:val="76"/>
    <w:autoRedefine/>
    <w:qFormat/>
    <w:uiPriority w:val="99"/>
    <w:rPr>
      <w:sz w:val="21"/>
      <w:szCs w:val="21"/>
    </w:rPr>
  </w:style>
  <w:style w:type="character" w:styleId="84">
    <w:name w:val="footnote reference"/>
    <w:autoRedefine/>
    <w:qFormat/>
    <w:uiPriority w:val="0"/>
    <w:rPr>
      <w:vertAlign w:val="superscript"/>
    </w:rPr>
  </w:style>
  <w:style w:type="paragraph" w:customStyle="1" w:styleId="85">
    <w:name w:val="Default"/>
    <w:next w:val="86"/>
    <w:link w:val="258"/>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6">
    <w:name w:val="样式3"/>
    <w:basedOn w:val="48"/>
    <w:next w:val="87"/>
    <w:autoRedefine/>
    <w:qFormat/>
    <w:uiPriority w:val="0"/>
    <w:pPr>
      <w:autoSpaceDE w:val="0"/>
      <w:autoSpaceDN w:val="0"/>
      <w:snapToGrid w:val="0"/>
      <w:spacing w:before="120" w:line="460" w:lineRule="atLeast"/>
      <w:jc w:val="center"/>
    </w:pPr>
    <w:rPr>
      <w:rFonts w:eastAsia="黑体"/>
      <w:sz w:val="28"/>
      <w:szCs w:val="20"/>
    </w:rPr>
  </w:style>
  <w:style w:type="paragraph" w:customStyle="1" w:styleId="87">
    <w:name w:val="目录 53"/>
    <w:basedOn w:val="1"/>
    <w:next w:val="1"/>
    <w:autoRedefine/>
    <w:qFormat/>
    <w:uiPriority w:val="0"/>
    <w:pPr>
      <w:ind w:left="840"/>
    </w:pPr>
    <w:rPr>
      <w:rFonts w:cs="宋体"/>
      <w:color w:val="000000"/>
    </w:rPr>
  </w:style>
  <w:style w:type="paragraph" w:customStyle="1" w:styleId="88">
    <w:name w:val="xl2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character" w:customStyle="1" w:styleId="89">
    <w:name w:val="批注框文本 字符"/>
    <w:link w:val="45"/>
    <w:autoRedefine/>
    <w:qFormat/>
    <w:uiPriority w:val="0"/>
    <w:rPr>
      <w:kern w:val="2"/>
      <w:sz w:val="18"/>
      <w:szCs w:val="18"/>
    </w:rPr>
  </w:style>
  <w:style w:type="character" w:customStyle="1" w:styleId="90">
    <w:name w:val="批注主题 字符"/>
    <w:link w:val="66"/>
    <w:autoRedefine/>
    <w:qFormat/>
    <w:uiPriority w:val="0"/>
    <w:rPr>
      <w:b/>
      <w:bCs/>
      <w:kern w:val="2"/>
      <w:sz w:val="21"/>
      <w:szCs w:val="24"/>
    </w:rPr>
  </w:style>
  <w:style w:type="character" w:customStyle="1" w:styleId="91">
    <w:name w:val="批注文字 字符1"/>
    <w:link w:val="25"/>
    <w:autoRedefine/>
    <w:qFormat/>
    <w:uiPriority w:val="0"/>
    <w:rPr>
      <w:kern w:val="2"/>
      <w:sz w:val="21"/>
      <w:szCs w:val="24"/>
    </w:rPr>
  </w:style>
  <w:style w:type="character" w:customStyle="1" w:styleId="92">
    <w:name w:val="正文文本缩进 字符"/>
    <w:link w:val="30"/>
    <w:autoRedefine/>
    <w:qFormat/>
    <w:uiPriority w:val="0"/>
    <w:rPr>
      <w:kern w:val="2"/>
      <w:sz w:val="21"/>
      <w:szCs w:val="24"/>
    </w:rPr>
  </w:style>
  <w:style w:type="character" w:customStyle="1" w:styleId="93">
    <w:name w:val="纯文本 字符"/>
    <w:link w:val="38"/>
    <w:autoRedefine/>
    <w:qFormat/>
    <w:uiPriority w:val="0"/>
    <w:rPr>
      <w:rFonts w:ascii="宋体" w:hAnsi="Courier New"/>
      <w:kern w:val="2"/>
    </w:rPr>
  </w:style>
  <w:style w:type="character" w:customStyle="1" w:styleId="94">
    <w:name w:val="页脚 字符"/>
    <w:link w:val="46"/>
    <w:autoRedefine/>
    <w:qFormat/>
    <w:uiPriority w:val="99"/>
    <w:rPr>
      <w:kern w:val="2"/>
      <w:sz w:val="18"/>
      <w:szCs w:val="18"/>
    </w:rPr>
  </w:style>
  <w:style w:type="character" w:customStyle="1" w:styleId="95">
    <w:name w:val="正文(首行缩进) Char Char"/>
    <w:link w:val="96"/>
    <w:autoRedefine/>
    <w:qFormat/>
    <w:uiPriority w:val="0"/>
    <w:rPr>
      <w:snapToGrid/>
      <w:sz w:val="24"/>
      <w:szCs w:val="24"/>
    </w:rPr>
  </w:style>
  <w:style w:type="paragraph" w:customStyle="1" w:styleId="96">
    <w:name w:val="正文(首行缩进)"/>
    <w:basedOn w:val="1"/>
    <w:link w:val="95"/>
    <w:autoRedefine/>
    <w:qFormat/>
    <w:uiPriority w:val="0"/>
    <w:pPr>
      <w:widowControl/>
      <w:jc w:val="left"/>
    </w:pPr>
    <w:rPr>
      <w:rFonts w:cs="宋体"/>
      <w:kern w:val="0"/>
      <w:sz w:val="20"/>
      <w:szCs w:val="20"/>
      <w:lang w:val="zh-CN"/>
    </w:rPr>
  </w:style>
  <w:style w:type="character" w:customStyle="1" w:styleId="97">
    <w:name w:val="页脚 Char"/>
    <w:autoRedefine/>
    <w:qFormat/>
    <w:uiPriority w:val="99"/>
    <w:rPr>
      <w:kern w:val="2"/>
      <w:sz w:val="18"/>
      <w:szCs w:val="18"/>
    </w:rPr>
  </w:style>
  <w:style w:type="character" w:customStyle="1" w:styleId="98">
    <w:name w:val="标题 2 字符"/>
    <w:link w:val="4"/>
    <w:autoRedefine/>
    <w:qFormat/>
    <w:uiPriority w:val="0"/>
    <w:rPr>
      <w:kern w:val="2"/>
      <w:sz w:val="28"/>
    </w:rPr>
  </w:style>
  <w:style w:type="character" w:customStyle="1" w:styleId="99">
    <w:name w:val="标题 3 字符"/>
    <w:link w:val="5"/>
    <w:autoRedefine/>
    <w:qFormat/>
    <w:uiPriority w:val="0"/>
    <w:rPr>
      <w:kern w:val="2"/>
      <w:sz w:val="21"/>
    </w:rPr>
  </w:style>
  <w:style w:type="character" w:customStyle="1" w:styleId="100">
    <w:name w:val="题注 字符"/>
    <w:link w:val="21"/>
    <w:autoRedefine/>
    <w:qFormat/>
    <w:uiPriority w:val="0"/>
    <w:rPr>
      <w:rFonts w:eastAsia="黑体" w:cs="Arial"/>
      <w:kern w:val="2"/>
      <w:sz w:val="21"/>
      <w:szCs w:val="22"/>
    </w:rPr>
  </w:style>
  <w:style w:type="character" w:customStyle="1" w:styleId="101">
    <w:name w:val="正文文本 字符"/>
    <w:link w:val="29"/>
    <w:autoRedefine/>
    <w:qFormat/>
    <w:uiPriority w:val="0"/>
    <w:rPr>
      <w:kern w:val="2"/>
      <w:sz w:val="24"/>
      <w:szCs w:val="21"/>
    </w:rPr>
  </w:style>
  <w:style w:type="character" w:customStyle="1" w:styleId="102">
    <w:name w:val="正文文本首行缩进 字符"/>
    <w:link w:val="67"/>
    <w:autoRedefine/>
    <w:qFormat/>
    <w:uiPriority w:val="0"/>
    <w:rPr>
      <w:kern w:val="2"/>
      <w:sz w:val="21"/>
      <w:szCs w:val="24"/>
    </w:rPr>
  </w:style>
  <w:style w:type="character" w:customStyle="1" w:styleId="103">
    <w:name w:val="表格 Char"/>
    <w:link w:val="104"/>
    <w:autoRedefine/>
    <w:qFormat/>
    <w:uiPriority w:val="0"/>
    <w:rPr>
      <w:kern w:val="2"/>
      <w:sz w:val="21"/>
      <w:szCs w:val="24"/>
    </w:rPr>
  </w:style>
  <w:style w:type="paragraph" w:customStyle="1" w:styleId="104">
    <w:name w:val="表格"/>
    <w:basedOn w:val="105"/>
    <w:next w:val="1"/>
    <w:link w:val="103"/>
    <w:autoRedefine/>
    <w:qFormat/>
    <w:uiPriority w:val="0"/>
    <w:pPr>
      <w:tabs>
        <w:tab w:val="left" w:pos="510"/>
      </w:tabs>
      <w:snapToGrid w:val="0"/>
      <w:jc w:val="center"/>
    </w:pPr>
  </w:style>
  <w:style w:type="paragraph" w:customStyle="1" w:styleId="105">
    <w:name w:val="表格文字"/>
    <w:basedOn w:val="1"/>
    <w:link w:val="379"/>
    <w:autoRedefine/>
    <w:qFormat/>
    <w:uiPriority w:val="99"/>
    <w:pPr>
      <w:widowControl/>
      <w:jc w:val="center"/>
    </w:pPr>
    <w:rPr>
      <w:rFonts w:ascii="宋体" w:hAnsi="Arial Black" w:cs="宋体"/>
      <w:kern w:val="44"/>
      <w:sz w:val="20"/>
      <w:szCs w:val="20"/>
    </w:rPr>
  </w:style>
  <w:style w:type="character" w:customStyle="1" w:styleId="106">
    <w:name w:val="表格居中 Char"/>
    <w:link w:val="107"/>
    <w:autoRedefine/>
    <w:qFormat/>
    <w:uiPriority w:val="0"/>
    <w:rPr>
      <w:kern w:val="2"/>
      <w:sz w:val="21"/>
      <w:szCs w:val="24"/>
    </w:rPr>
  </w:style>
  <w:style w:type="paragraph" w:customStyle="1" w:styleId="107">
    <w:name w:val="表格居中"/>
    <w:next w:val="1"/>
    <w:link w:val="106"/>
    <w:autoRedefine/>
    <w:qFormat/>
    <w:uiPriority w:val="0"/>
    <w:pPr>
      <w:spacing w:line="0" w:lineRule="atLeast"/>
      <w:jc w:val="center"/>
    </w:pPr>
    <w:rPr>
      <w:rFonts w:ascii="Times New Roman" w:hAnsi="Times New Roman" w:eastAsia="宋体" w:cs="宋体"/>
      <w:kern w:val="2"/>
      <w:sz w:val="21"/>
      <w:szCs w:val="24"/>
      <w:lang w:val="en-US" w:eastAsia="zh-CN" w:bidi="ar-SA"/>
    </w:rPr>
  </w:style>
  <w:style w:type="character" w:customStyle="1" w:styleId="108">
    <w:name w:val="表头 Char"/>
    <w:link w:val="109"/>
    <w:autoRedefine/>
    <w:qFormat/>
    <w:uiPriority w:val="0"/>
    <w:rPr>
      <w:b/>
      <w:kern w:val="2"/>
      <w:sz w:val="24"/>
      <w:szCs w:val="24"/>
    </w:rPr>
  </w:style>
  <w:style w:type="paragraph" w:customStyle="1" w:styleId="109">
    <w:name w:val="表头"/>
    <w:basedOn w:val="29"/>
    <w:next w:val="1"/>
    <w:link w:val="108"/>
    <w:autoRedefine/>
    <w:qFormat/>
    <w:uiPriority w:val="0"/>
    <w:pPr>
      <w:keepNext/>
      <w:widowControl/>
      <w:snapToGrid w:val="0"/>
      <w:jc w:val="center"/>
    </w:pPr>
    <w:rPr>
      <w:rFonts w:cs="宋体"/>
      <w:b/>
      <w:kern w:val="0"/>
      <w:sz w:val="20"/>
      <w:szCs w:val="20"/>
    </w:rPr>
  </w:style>
  <w:style w:type="character" w:customStyle="1" w:styleId="110">
    <w:name w:val="国寰表头 Char"/>
    <w:link w:val="111"/>
    <w:autoRedefine/>
    <w:qFormat/>
    <w:uiPriority w:val="0"/>
    <w:rPr>
      <w:rFonts w:eastAsia="黑体"/>
      <w:bCs/>
      <w:kern w:val="2"/>
      <w:sz w:val="21"/>
      <w:szCs w:val="32"/>
    </w:rPr>
  </w:style>
  <w:style w:type="paragraph" w:customStyle="1" w:styleId="111">
    <w:name w:val="国寰表头"/>
    <w:basedOn w:val="1"/>
    <w:link w:val="110"/>
    <w:autoRedefine/>
    <w:qFormat/>
    <w:uiPriority w:val="0"/>
    <w:pPr>
      <w:widowControl/>
      <w:adjustRightInd w:val="0"/>
      <w:snapToGrid w:val="0"/>
      <w:jc w:val="center"/>
    </w:pPr>
    <w:rPr>
      <w:rFonts w:eastAsia="黑体" w:cs="宋体"/>
      <w:bCs/>
      <w:kern w:val="0"/>
      <w:sz w:val="20"/>
      <w:szCs w:val="32"/>
    </w:rPr>
  </w:style>
  <w:style w:type="character" w:customStyle="1" w:styleId="112">
    <w:name w:val="页眉 字符"/>
    <w:link w:val="47"/>
    <w:autoRedefine/>
    <w:qFormat/>
    <w:uiPriority w:val="0"/>
    <w:rPr>
      <w:kern w:val="2"/>
      <w:sz w:val="18"/>
      <w:szCs w:val="18"/>
    </w:rPr>
  </w:style>
  <w:style w:type="character" w:customStyle="1" w:styleId="113">
    <w:name w:val="标题 4 字符"/>
    <w:link w:val="6"/>
    <w:autoRedefine/>
    <w:qFormat/>
    <w:uiPriority w:val="0"/>
    <w:rPr>
      <w:rFonts w:ascii="Cambria" w:hAnsi="Cambria"/>
      <w:b/>
      <w:bCs/>
      <w:kern w:val="2"/>
      <w:sz w:val="28"/>
      <w:szCs w:val="28"/>
    </w:rPr>
  </w:style>
  <w:style w:type="character" w:customStyle="1" w:styleId="114">
    <w:name w:val="标题 5 字符"/>
    <w:link w:val="7"/>
    <w:autoRedefine/>
    <w:qFormat/>
    <w:uiPriority w:val="0"/>
    <w:rPr>
      <w:b/>
      <w:bCs/>
      <w:kern w:val="2"/>
      <w:sz w:val="28"/>
      <w:szCs w:val="28"/>
    </w:rPr>
  </w:style>
  <w:style w:type="character" w:customStyle="1" w:styleId="115">
    <w:name w:val="标题 6 字符"/>
    <w:link w:val="8"/>
    <w:autoRedefine/>
    <w:qFormat/>
    <w:uiPriority w:val="0"/>
    <w:rPr>
      <w:rFonts w:ascii="Arial" w:hAnsi="Arial" w:eastAsia="黑体"/>
      <w:b/>
      <w:kern w:val="2"/>
      <w:sz w:val="24"/>
    </w:rPr>
  </w:style>
  <w:style w:type="character" w:customStyle="1" w:styleId="116">
    <w:name w:val="标题 7 字符"/>
    <w:link w:val="11"/>
    <w:autoRedefine/>
    <w:qFormat/>
    <w:uiPriority w:val="0"/>
    <w:rPr>
      <w:rFonts w:ascii="宋体"/>
      <w:b/>
      <w:kern w:val="2"/>
      <w:sz w:val="24"/>
    </w:rPr>
  </w:style>
  <w:style w:type="character" w:customStyle="1" w:styleId="117">
    <w:name w:val="标题 8 字符"/>
    <w:link w:val="12"/>
    <w:autoRedefine/>
    <w:qFormat/>
    <w:uiPriority w:val="0"/>
    <w:rPr>
      <w:rFonts w:ascii="Arial" w:hAnsi="Arial" w:eastAsia="黑体"/>
      <w:kern w:val="2"/>
      <w:sz w:val="24"/>
    </w:rPr>
  </w:style>
  <w:style w:type="character" w:customStyle="1" w:styleId="118">
    <w:name w:val="标题 9 字符"/>
    <w:link w:val="13"/>
    <w:autoRedefine/>
    <w:qFormat/>
    <w:uiPriority w:val="0"/>
    <w:rPr>
      <w:rFonts w:ascii="Arial" w:hAnsi="Arial" w:eastAsia="黑体"/>
      <w:kern w:val="2"/>
      <w:sz w:val="21"/>
    </w:rPr>
  </w:style>
  <w:style w:type="character" w:customStyle="1" w:styleId="119">
    <w:name w:val="标题 1 字符"/>
    <w:link w:val="3"/>
    <w:autoRedefine/>
    <w:qFormat/>
    <w:uiPriority w:val="0"/>
    <w:rPr>
      <w:b/>
      <w:kern w:val="2"/>
      <w:sz w:val="32"/>
    </w:rPr>
  </w:style>
  <w:style w:type="character" w:customStyle="1" w:styleId="120">
    <w:name w:val="正文文本缩进 2 字符"/>
    <w:link w:val="44"/>
    <w:autoRedefine/>
    <w:qFormat/>
    <w:uiPriority w:val="0"/>
    <w:rPr>
      <w:rFonts w:ascii="宋体" w:hAnsi="宋体"/>
      <w:color w:val="FF0000"/>
      <w:kern w:val="2"/>
      <w:sz w:val="24"/>
      <w:szCs w:val="24"/>
    </w:rPr>
  </w:style>
  <w:style w:type="character" w:customStyle="1" w:styleId="121">
    <w:name w:val="正文文本缩进 3 字符"/>
    <w:link w:val="57"/>
    <w:autoRedefine/>
    <w:qFormat/>
    <w:uiPriority w:val="0"/>
    <w:rPr>
      <w:color w:val="000000"/>
      <w:kern w:val="2"/>
      <w:sz w:val="24"/>
      <w:szCs w:val="24"/>
    </w:rPr>
  </w:style>
  <w:style w:type="character" w:customStyle="1" w:styleId="122">
    <w:name w:val="批注框文本 字符1"/>
    <w:autoRedefine/>
    <w:semiHidden/>
    <w:qFormat/>
    <w:uiPriority w:val="99"/>
    <w:rPr>
      <w:sz w:val="18"/>
      <w:szCs w:val="18"/>
    </w:rPr>
  </w:style>
  <w:style w:type="character" w:customStyle="1" w:styleId="123">
    <w:name w:val="批注主题 字符1"/>
    <w:autoRedefine/>
    <w:semiHidden/>
    <w:qFormat/>
    <w:uiPriority w:val="99"/>
    <w:rPr>
      <w:b/>
      <w:bCs/>
      <w:kern w:val="2"/>
      <w:sz w:val="21"/>
      <w:szCs w:val="24"/>
    </w:rPr>
  </w:style>
  <w:style w:type="character" w:customStyle="1" w:styleId="124">
    <w:name w:val="正文缩进 字符1"/>
    <w:link w:val="9"/>
    <w:autoRedefine/>
    <w:qFormat/>
    <w:locked/>
    <w:uiPriority w:val="0"/>
    <w:rPr>
      <w:kern w:val="2"/>
      <w:sz w:val="21"/>
    </w:rPr>
  </w:style>
  <w:style w:type="character" w:customStyle="1" w:styleId="125">
    <w:name w:val="1正文段落 Char"/>
    <w:link w:val="126"/>
    <w:autoRedefine/>
    <w:qFormat/>
    <w:uiPriority w:val="0"/>
    <w:rPr>
      <w:snapToGrid/>
      <w:sz w:val="24"/>
      <w:szCs w:val="24"/>
    </w:rPr>
  </w:style>
  <w:style w:type="paragraph" w:customStyle="1" w:styleId="126">
    <w:name w:val="1正文段落"/>
    <w:basedOn w:val="1"/>
    <w:link w:val="125"/>
    <w:autoRedefine/>
    <w:qFormat/>
    <w:uiPriority w:val="0"/>
    <w:pPr>
      <w:widowControl/>
      <w:ind w:firstLine="480" w:firstLineChars="200"/>
      <w:jc w:val="left"/>
    </w:pPr>
    <w:rPr>
      <w:rFonts w:cs="宋体"/>
      <w:kern w:val="0"/>
      <w:sz w:val="20"/>
      <w:szCs w:val="20"/>
    </w:rPr>
  </w:style>
  <w:style w:type="character" w:customStyle="1" w:styleId="127">
    <w:name w:val="批注文字 Char1"/>
    <w:autoRedefine/>
    <w:semiHidden/>
    <w:qFormat/>
    <w:uiPriority w:val="99"/>
  </w:style>
  <w:style w:type="character" w:customStyle="1" w:styleId="128">
    <w:name w:val="标题1"/>
    <w:autoRedefine/>
    <w:qFormat/>
    <w:uiPriority w:val="0"/>
    <w:rPr>
      <w:rFonts w:eastAsia="宋体" w:cs="宋体"/>
      <w:sz w:val="24"/>
      <w:szCs w:val="24"/>
      <w:lang w:val="en-US" w:eastAsia="zh-CN" w:bidi="ar-SA"/>
    </w:rPr>
  </w:style>
  <w:style w:type="character" w:customStyle="1" w:styleId="129">
    <w:name w:val="Char Char Char Char Char"/>
    <w:link w:val="130"/>
    <w:autoRedefine/>
    <w:qFormat/>
    <w:uiPriority w:val="0"/>
    <w:rPr>
      <w:szCs w:val="24"/>
    </w:rPr>
  </w:style>
  <w:style w:type="paragraph" w:customStyle="1" w:styleId="130">
    <w:name w:val="Char Char Char Char"/>
    <w:basedOn w:val="1"/>
    <w:link w:val="129"/>
    <w:autoRedefine/>
    <w:qFormat/>
    <w:uiPriority w:val="0"/>
    <w:pPr>
      <w:widowControl/>
      <w:jc w:val="left"/>
    </w:pPr>
    <w:rPr>
      <w:rFonts w:cs="宋体"/>
      <w:kern w:val="0"/>
      <w:sz w:val="20"/>
      <w:szCs w:val="20"/>
    </w:rPr>
  </w:style>
  <w:style w:type="character" w:customStyle="1" w:styleId="131">
    <w:name w:val="HTML 预设格式 字符"/>
    <w:link w:val="63"/>
    <w:autoRedefine/>
    <w:qFormat/>
    <w:uiPriority w:val="0"/>
    <w:rPr>
      <w:rFonts w:ascii="Courier New" w:hAnsi="Courier New" w:cs="Courier New"/>
    </w:rPr>
  </w:style>
  <w:style w:type="character" w:customStyle="1" w:styleId="132">
    <w:name w:val="text111"/>
    <w:autoRedefine/>
    <w:qFormat/>
    <w:uiPriority w:val="0"/>
    <w:rPr>
      <w:rFonts w:hint="eastAsia" w:ascii="宋体" w:hAnsi="宋体" w:eastAsia="宋体"/>
      <w:color w:val="000000"/>
      <w:sz w:val="18"/>
      <w:szCs w:val="18"/>
    </w:rPr>
  </w:style>
  <w:style w:type="character" w:customStyle="1" w:styleId="133">
    <w:name w:val="表蕊 Char1"/>
    <w:link w:val="134"/>
    <w:autoRedefine/>
    <w:qFormat/>
    <w:uiPriority w:val="0"/>
    <w:rPr>
      <w:rFonts w:eastAsia="楷体_GB2312"/>
      <w:spacing w:val="-10"/>
    </w:rPr>
  </w:style>
  <w:style w:type="paragraph" w:customStyle="1" w:styleId="134">
    <w:name w:val="表蕊"/>
    <w:basedOn w:val="1"/>
    <w:link w:val="133"/>
    <w:autoRedefine/>
    <w:qFormat/>
    <w:uiPriority w:val="0"/>
    <w:pPr>
      <w:widowControl/>
      <w:adjustRightInd w:val="0"/>
      <w:spacing w:line="320" w:lineRule="atLeast"/>
      <w:jc w:val="left"/>
      <w:textAlignment w:val="baseline"/>
    </w:pPr>
    <w:rPr>
      <w:rFonts w:eastAsia="楷体_GB2312" w:cs="宋体"/>
      <w:spacing w:val="-10"/>
      <w:kern w:val="0"/>
      <w:sz w:val="20"/>
      <w:szCs w:val="20"/>
    </w:rPr>
  </w:style>
  <w:style w:type="character" w:customStyle="1" w:styleId="135">
    <w:name w:val="吴用表格 Char"/>
    <w:link w:val="136"/>
    <w:autoRedefine/>
    <w:qFormat/>
    <w:uiPriority w:val="0"/>
    <w:rPr>
      <w:rFonts w:ascii="Arial" w:hAnsi="Arial" w:cs="Arial"/>
      <w:kern w:val="2"/>
      <w:sz w:val="21"/>
      <w:szCs w:val="21"/>
    </w:rPr>
  </w:style>
  <w:style w:type="paragraph" w:customStyle="1" w:styleId="136">
    <w:name w:val="吴用表格"/>
    <w:basedOn w:val="1"/>
    <w:link w:val="135"/>
    <w:autoRedefine/>
    <w:qFormat/>
    <w:uiPriority w:val="0"/>
    <w:pPr>
      <w:widowControl/>
      <w:spacing w:line="320" w:lineRule="exact"/>
      <w:jc w:val="center"/>
    </w:pPr>
    <w:rPr>
      <w:rFonts w:ascii="Arial" w:hAnsi="Arial" w:cs="Arial"/>
      <w:kern w:val="0"/>
      <w:sz w:val="20"/>
    </w:rPr>
  </w:style>
  <w:style w:type="character" w:customStyle="1" w:styleId="137">
    <w:name w:val="正文（首行缩进两字） Char Char Char Char Char Char Char Char Char Char C"/>
    <w:autoRedefine/>
    <w:qFormat/>
    <w:uiPriority w:val="0"/>
    <w:rPr>
      <w:rFonts w:eastAsia="宋体"/>
      <w:kern w:val="2"/>
      <w:sz w:val="24"/>
      <w:lang w:val="en-US" w:eastAsia="zh-CN" w:bidi="ar-SA"/>
    </w:rPr>
  </w:style>
  <w:style w:type="character" w:customStyle="1" w:styleId="138">
    <w:name w:val="文档结构图 字符"/>
    <w:link w:val="23"/>
    <w:autoRedefine/>
    <w:qFormat/>
    <w:uiPriority w:val="0"/>
    <w:rPr>
      <w:shd w:val="clear" w:color="auto" w:fill="000080"/>
    </w:rPr>
  </w:style>
  <w:style w:type="character" w:customStyle="1" w:styleId="139">
    <w:name w:val="表格标题 Char"/>
    <w:autoRedefine/>
    <w:qFormat/>
    <w:uiPriority w:val="0"/>
    <w:rPr>
      <w:b/>
      <w:sz w:val="24"/>
      <w:szCs w:val="24"/>
    </w:rPr>
  </w:style>
  <w:style w:type="character" w:customStyle="1" w:styleId="140">
    <w:name w:val="Char Char4"/>
    <w:autoRedefine/>
    <w:qFormat/>
    <w:uiPriority w:val="0"/>
    <w:rPr>
      <w:rFonts w:ascii="宋体"/>
      <w:sz w:val="34"/>
    </w:rPr>
  </w:style>
  <w:style w:type="character" w:customStyle="1" w:styleId="141">
    <w:name w:val="headline-content"/>
    <w:autoRedefine/>
    <w:qFormat/>
    <w:uiPriority w:val="0"/>
  </w:style>
  <w:style w:type="character" w:customStyle="1" w:styleId="142">
    <w:name w:val="批注主题 Char"/>
    <w:link w:val="143"/>
    <w:autoRedefine/>
    <w:qFormat/>
    <w:uiPriority w:val="0"/>
    <w:rPr>
      <w:b/>
      <w:bCs/>
    </w:rPr>
  </w:style>
  <w:style w:type="paragraph" w:customStyle="1" w:styleId="143">
    <w:name w:val="批注主题1"/>
    <w:basedOn w:val="25"/>
    <w:next w:val="25"/>
    <w:link w:val="142"/>
    <w:autoRedefine/>
    <w:qFormat/>
    <w:uiPriority w:val="0"/>
    <w:pPr>
      <w:jc w:val="both"/>
    </w:pPr>
    <w:rPr>
      <w:b/>
      <w:bCs/>
      <w:lang w:val="en-US"/>
    </w:rPr>
  </w:style>
  <w:style w:type="character" w:customStyle="1" w:styleId="144">
    <w:name w:val="font9 Char"/>
    <w:link w:val="145"/>
    <w:autoRedefine/>
    <w:qFormat/>
    <w:uiPriority w:val="0"/>
    <w:rPr>
      <w:rFonts w:eastAsia="Arial Unicode MS"/>
    </w:rPr>
  </w:style>
  <w:style w:type="paragraph" w:customStyle="1" w:styleId="145">
    <w:name w:val="font9"/>
    <w:basedOn w:val="1"/>
    <w:link w:val="144"/>
    <w:autoRedefine/>
    <w:qFormat/>
    <w:uiPriority w:val="0"/>
    <w:pPr>
      <w:widowControl/>
      <w:spacing w:before="100" w:beforeAutospacing="1" w:after="100" w:afterAutospacing="1"/>
      <w:jc w:val="left"/>
    </w:pPr>
    <w:rPr>
      <w:rFonts w:eastAsia="Arial Unicode MS" w:cs="宋体"/>
      <w:kern w:val="0"/>
      <w:sz w:val="20"/>
      <w:szCs w:val="20"/>
    </w:rPr>
  </w:style>
  <w:style w:type="character" w:customStyle="1" w:styleId="146">
    <w:name w:val="正文格式111 Char"/>
    <w:link w:val="147"/>
    <w:autoRedefine/>
    <w:qFormat/>
    <w:uiPriority w:val="0"/>
    <w:rPr>
      <w:rFonts w:ascii="宋体" w:hAnsi="宋体"/>
      <w:sz w:val="24"/>
      <w:szCs w:val="24"/>
    </w:rPr>
  </w:style>
  <w:style w:type="paragraph" w:customStyle="1" w:styleId="147">
    <w:name w:val="正文格式111"/>
    <w:basedOn w:val="1"/>
    <w:link w:val="146"/>
    <w:autoRedefine/>
    <w:qFormat/>
    <w:uiPriority w:val="0"/>
    <w:pPr>
      <w:widowControl/>
      <w:snapToGrid w:val="0"/>
      <w:spacing w:line="300" w:lineRule="auto"/>
      <w:ind w:firstLine="480" w:firstLineChars="200"/>
      <w:jc w:val="left"/>
    </w:pPr>
    <w:rPr>
      <w:rFonts w:ascii="宋体" w:hAnsi="宋体" w:cs="宋体"/>
      <w:kern w:val="0"/>
      <w:sz w:val="20"/>
      <w:szCs w:val="20"/>
    </w:rPr>
  </w:style>
  <w:style w:type="character" w:customStyle="1" w:styleId="148">
    <w:name w:val="wj1"/>
    <w:autoRedefine/>
    <w:qFormat/>
    <w:uiPriority w:val="0"/>
    <w:rPr>
      <w:color w:val="000000"/>
      <w:sz w:val="18"/>
      <w:szCs w:val="18"/>
      <w:u w:val="none"/>
    </w:rPr>
  </w:style>
  <w:style w:type="character" w:customStyle="1" w:styleId="149">
    <w:name w:val="表格标题 Char Char"/>
    <w:autoRedefine/>
    <w:qFormat/>
    <w:uiPriority w:val="0"/>
    <w:rPr>
      <w:rFonts w:ascii="Arial" w:hAnsi="Arial" w:eastAsia="黑体"/>
      <w:sz w:val="24"/>
    </w:rPr>
  </w:style>
  <w:style w:type="character" w:customStyle="1" w:styleId="150">
    <w:name w:val="p31"/>
    <w:autoRedefine/>
    <w:qFormat/>
    <w:uiPriority w:val="0"/>
    <w:rPr>
      <w:rFonts w:hint="eastAsia" w:ascii="文鼎粗行楷简" w:eastAsia="文鼎粗行楷简"/>
      <w:color w:val="FF0000"/>
      <w:sz w:val="40"/>
      <w:szCs w:val="40"/>
    </w:rPr>
  </w:style>
  <w:style w:type="character" w:customStyle="1" w:styleId="151">
    <w:name w:val="表格右"/>
    <w:autoRedefine/>
    <w:qFormat/>
    <w:uiPriority w:val="0"/>
    <w:rPr>
      <w:rFonts w:ascii="宋体" w:hAnsi="宋体" w:eastAsia="宋体"/>
      <w:color w:val="000080"/>
      <w:kern w:val="2"/>
      <w:sz w:val="18"/>
      <w:szCs w:val="24"/>
      <w:lang w:val="en-US" w:eastAsia="zh-CN"/>
    </w:rPr>
  </w:style>
  <w:style w:type="character" w:customStyle="1" w:styleId="152">
    <w:name w:val="正文样式 Char Char"/>
    <w:autoRedefine/>
    <w:qFormat/>
    <w:uiPriority w:val="0"/>
    <w:rPr>
      <w:rFonts w:ascii="宋体" w:hAnsi="宋体" w:eastAsia="宋体"/>
      <w:color w:val="000000"/>
      <w:kern w:val="2"/>
      <w:sz w:val="24"/>
      <w:szCs w:val="24"/>
      <w:lang w:val="en-US" w:eastAsia="zh-CN" w:bidi="ar-SA"/>
    </w:rPr>
  </w:style>
  <w:style w:type="character" w:customStyle="1" w:styleId="153">
    <w:name w:val="第二级 Char"/>
    <w:link w:val="154"/>
    <w:autoRedefine/>
    <w:qFormat/>
    <w:uiPriority w:val="0"/>
    <w:rPr>
      <w:rFonts w:ascii="宋体" w:hAnsi="宋体"/>
      <w:sz w:val="22"/>
      <w:szCs w:val="24"/>
    </w:rPr>
  </w:style>
  <w:style w:type="paragraph" w:customStyle="1" w:styleId="154">
    <w:name w:val="第二级"/>
    <w:basedOn w:val="1"/>
    <w:link w:val="153"/>
    <w:autoRedefine/>
    <w:qFormat/>
    <w:uiPriority w:val="0"/>
    <w:pPr>
      <w:widowControl/>
      <w:tabs>
        <w:tab w:val="left" w:pos="155"/>
      </w:tabs>
      <w:spacing w:line="420" w:lineRule="exact"/>
      <w:ind w:left="-837" w:firstLine="851"/>
      <w:jc w:val="left"/>
      <w:outlineLvl w:val="1"/>
    </w:pPr>
    <w:rPr>
      <w:rFonts w:ascii="宋体" w:hAnsi="宋体" w:cs="宋体"/>
      <w:kern w:val="0"/>
      <w:sz w:val="22"/>
      <w:szCs w:val="20"/>
    </w:rPr>
  </w:style>
  <w:style w:type="character" w:customStyle="1" w:styleId="155">
    <w:name w:val="Char Char3"/>
    <w:autoRedefine/>
    <w:qFormat/>
    <w:locked/>
    <w:uiPriority w:val="0"/>
    <w:rPr>
      <w:rFonts w:ascii="宋体" w:hAnsi="宋体" w:eastAsia="宋体"/>
      <w:kern w:val="2"/>
      <w:sz w:val="21"/>
      <w:lang w:val="en-US" w:eastAsia="zh-CN" w:bidi="ar-SA"/>
    </w:rPr>
  </w:style>
  <w:style w:type="character" w:customStyle="1" w:styleId="156">
    <w:name w:val="pt91"/>
    <w:autoRedefine/>
    <w:qFormat/>
    <w:uiPriority w:val="0"/>
    <w:rPr>
      <w:color w:val="666666"/>
      <w:sz w:val="18"/>
      <w:szCs w:val="18"/>
      <w:u w:val="none"/>
    </w:rPr>
  </w:style>
  <w:style w:type="character" w:customStyle="1" w:styleId="157">
    <w:name w:val="标准文本 居中 行距1.5倍 Char"/>
    <w:autoRedefine/>
    <w:qFormat/>
    <w:uiPriority w:val="0"/>
    <w:rPr>
      <w:rFonts w:eastAsia="宋体" w:cs="宋体"/>
      <w:kern w:val="2"/>
      <w:sz w:val="24"/>
      <w:szCs w:val="24"/>
      <w:lang w:val="en-US" w:eastAsia="zh-CN" w:bidi="ar-SA"/>
    </w:rPr>
  </w:style>
  <w:style w:type="character" w:customStyle="1" w:styleId="158">
    <w:name w:val="正文应用 Char"/>
    <w:link w:val="159"/>
    <w:autoRedefine/>
    <w:qFormat/>
    <w:uiPriority w:val="0"/>
    <w:rPr>
      <w:sz w:val="24"/>
      <w:szCs w:val="24"/>
    </w:rPr>
  </w:style>
  <w:style w:type="paragraph" w:customStyle="1" w:styleId="159">
    <w:name w:val="正文应用"/>
    <w:basedOn w:val="1"/>
    <w:link w:val="158"/>
    <w:autoRedefine/>
    <w:qFormat/>
    <w:uiPriority w:val="0"/>
    <w:pPr>
      <w:widowControl/>
      <w:ind w:firstLine="200" w:firstLineChars="200"/>
      <w:jc w:val="left"/>
    </w:pPr>
    <w:rPr>
      <w:rFonts w:cs="宋体"/>
      <w:kern w:val="0"/>
      <w:sz w:val="20"/>
      <w:szCs w:val="20"/>
    </w:rPr>
  </w:style>
  <w:style w:type="character" w:customStyle="1" w:styleId="160">
    <w:name w:val="正文1 Char"/>
    <w:link w:val="161"/>
    <w:autoRedefine/>
    <w:qFormat/>
    <w:uiPriority w:val="0"/>
    <w:rPr>
      <w:rFonts w:ascii="宋体"/>
      <w:sz w:val="28"/>
    </w:rPr>
  </w:style>
  <w:style w:type="paragraph" w:customStyle="1" w:styleId="161">
    <w:name w:val="正文1"/>
    <w:basedOn w:val="1"/>
    <w:link w:val="160"/>
    <w:autoRedefine/>
    <w:qFormat/>
    <w:uiPriority w:val="0"/>
    <w:pPr>
      <w:widowControl/>
      <w:adjustRightInd w:val="0"/>
      <w:spacing w:line="480" w:lineRule="exact"/>
      <w:jc w:val="center"/>
      <w:textAlignment w:val="baseline"/>
    </w:pPr>
    <w:rPr>
      <w:rFonts w:ascii="宋体" w:cs="宋体"/>
      <w:kern w:val="0"/>
      <w:sz w:val="28"/>
      <w:szCs w:val="20"/>
    </w:rPr>
  </w:style>
  <w:style w:type="character" w:customStyle="1" w:styleId="162">
    <w:name w:val="正文标准 Char"/>
    <w:autoRedefine/>
    <w:qFormat/>
    <w:uiPriority w:val="0"/>
    <w:rPr>
      <w:rFonts w:eastAsia="宋体"/>
    </w:rPr>
  </w:style>
  <w:style w:type="character" w:customStyle="1" w:styleId="163">
    <w:name w:val="3zw"/>
    <w:autoRedefine/>
    <w:qFormat/>
    <w:uiPriority w:val="0"/>
  </w:style>
  <w:style w:type="character" w:customStyle="1" w:styleId="164">
    <w:name w:val="普通文字 Char2"/>
    <w:autoRedefine/>
    <w:qFormat/>
    <w:uiPriority w:val="0"/>
    <w:rPr>
      <w:rFonts w:ascii="宋体" w:hAnsi="Courier New" w:eastAsia="宋体" w:cs="Courier New"/>
      <w:kern w:val="2"/>
      <w:sz w:val="21"/>
      <w:szCs w:val="21"/>
      <w:lang w:val="en-US" w:eastAsia="zh-CN" w:bidi="ar-SA"/>
    </w:rPr>
  </w:style>
  <w:style w:type="character" w:customStyle="1" w:styleId="165">
    <w:name w:val="正文文本 Char"/>
    <w:autoRedefine/>
    <w:qFormat/>
    <w:uiPriority w:val="0"/>
    <w:rPr>
      <w:rFonts w:eastAsia="宋体"/>
      <w:kern w:val="2"/>
      <w:sz w:val="21"/>
      <w:szCs w:val="24"/>
      <w:lang w:val="en-US" w:eastAsia="zh-CN" w:bidi="ar-SA"/>
    </w:rPr>
  </w:style>
  <w:style w:type="character" w:customStyle="1" w:styleId="166">
    <w:name w:val="text12"/>
    <w:autoRedefine/>
    <w:qFormat/>
    <w:uiPriority w:val="0"/>
    <w:rPr>
      <w:rFonts w:hint="eastAsia" w:ascii="宋体" w:hAnsi="宋体" w:eastAsia="宋体"/>
      <w:color w:val="008000"/>
      <w:sz w:val="24"/>
      <w:szCs w:val="24"/>
    </w:rPr>
  </w:style>
  <w:style w:type="character" w:customStyle="1" w:styleId="167">
    <w:name w:val="样式 (中文) 楷体_GB2312"/>
    <w:autoRedefine/>
    <w:qFormat/>
    <w:uiPriority w:val="0"/>
    <w:rPr>
      <w:rFonts w:eastAsia="创艺简老宋"/>
      <w:b/>
    </w:rPr>
  </w:style>
  <w:style w:type="character" w:customStyle="1" w:styleId="168">
    <w:name w:val="Char Char26"/>
    <w:autoRedefine/>
    <w:qFormat/>
    <w:uiPriority w:val="0"/>
    <w:rPr>
      <w:rFonts w:eastAsia="宋体"/>
      <w:kern w:val="2"/>
      <w:sz w:val="21"/>
      <w:szCs w:val="24"/>
      <w:lang w:val="en-US" w:eastAsia="zh-CN" w:bidi="ar-SA"/>
    </w:rPr>
  </w:style>
  <w:style w:type="character" w:customStyle="1" w:styleId="169">
    <w:name w:val="正文001 Char"/>
    <w:link w:val="170"/>
    <w:autoRedefine/>
    <w:qFormat/>
    <w:uiPriority w:val="0"/>
    <w:rPr>
      <w:rFonts w:ascii="Arial" w:hAnsi="Arial"/>
      <w:color w:val="000000"/>
      <w:sz w:val="24"/>
    </w:rPr>
  </w:style>
  <w:style w:type="paragraph" w:customStyle="1" w:styleId="170">
    <w:name w:val="正文001"/>
    <w:basedOn w:val="1"/>
    <w:link w:val="169"/>
    <w:autoRedefine/>
    <w:qFormat/>
    <w:uiPriority w:val="0"/>
    <w:pPr>
      <w:widowControl/>
      <w:spacing w:before="60" w:line="460" w:lineRule="exact"/>
      <w:ind w:firstLine="482" w:firstLineChars="200"/>
      <w:jc w:val="left"/>
    </w:pPr>
    <w:rPr>
      <w:rFonts w:ascii="Arial" w:hAnsi="Arial" w:cs="宋体"/>
      <w:color w:val="000000"/>
      <w:kern w:val="0"/>
      <w:sz w:val="20"/>
      <w:szCs w:val="20"/>
    </w:rPr>
  </w:style>
  <w:style w:type="character" w:customStyle="1" w:styleId="171">
    <w:name w:val="标准文本 首行缩进:2 字符 行距1倍 Char Char Char Char Char"/>
    <w:link w:val="172"/>
    <w:autoRedefine/>
    <w:qFormat/>
    <w:uiPriority w:val="0"/>
    <w:rPr>
      <w:rFonts w:cs="宋体"/>
      <w:sz w:val="24"/>
      <w:szCs w:val="24"/>
    </w:rPr>
  </w:style>
  <w:style w:type="paragraph" w:customStyle="1" w:styleId="172">
    <w:name w:val="标准文本 首行缩进:2 字符 行距1倍 Char Char Char Char"/>
    <w:basedOn w:val="1"/>
    <w:link w:val="171"/>
    <w:autoRedefine/>
    <w:qFormat/>
    <w:uiPriority w:val="0"/>
    <w:pPr>
      <w:widowControl/>
      <w:adjustRightInd w:val="0"/>
      <w:snapToGrid w:val="0"/>
      <w:ind w:firstLine="200" w:firstLineChars="200"/>
      <w:jc w:val="left"/>
      <w:textAlignment w:val="center"/>
    </w:pPr>
    <w:rPr>
      <w:rFonts w:cs="宋体"/>
      <w:kern w:val="0"/>
      <w:sz w:val="20"/>
      <w:szCs w:val="20"/>
    </w:rPr>
  </w:style>
  <w:style w:type="character" w:customStyle="1" w:styleId="173">
    <w:name w:val="明显参考1"/>
    <w:autoRedefine/>
    <w:qFormat/>
    <w:uiPriority w:val="32"/>
    <w:rPr>
      <w:b/>
      <w:bCs/>
      <w:smallCaps/>
      <w:color w:val="C0504D"/>
      <w:spacing w:val="5"/>
      <w:u w:val="single"/>
    </w:rPr>
  </w:style>
  <w:style w:type="character" w:customStyle="1" w:styleId="174">
    <w:name w:val="纯文本 Char"/>
    <w:autoRedefine/>
    <w:qFormat/>
    <w:uiPriority w:val="0"/>
    <w:rPr>
      <w:rFonts w:ascii="宋体" w:hAnsi="Courier New" w:eastAsia="宋体"/>
      <w:kern w:val="2"/>
      <w:sz w:val="21"/>
      <w:lang w:val="en-US" w:eastAsia="zh-CN" w:bidi="ar-SA"/>
    </w:rPr>
  </w:style>
  <w:style w:type="character" w:customStyle="1" w:styleId="175">
    <w:name w:val="正文文本首行缩进 2 字符"/>
    <w:link w:val="68"/>
    <w:autoRedefine/>
    <w:qFormat/>
    <w:uiPriority w:val="0"/>
  </w:style>
  <w:style w:type="character" w:customStyle="1" w:styleId="176">
    <w:name w:val="表格内文字 Char"/>
    <w:link w:val="177"/>
    <w:autoRedefine/>
    <w:qFormat/>
    <w:uiPriority w:val="0"/>
    <w:rPr>
      <w:rFonts w:ascii="仿宋_GB2312" w:eastAsia="仿宋_GB2312"/>
      <w:spacing w:val="4"/>
      <w:kern w:val="18"/>
      <w:sz w:val="24"/>
      <w:szCs w:val="24"/>
    </w:rPr>
  </w:style>
  <w:style w:type="paragraph" w:customStyle="1" w:styleId="177">
    <w:name w:val="表格内文字"/>
    <w:basedOn w:val="1"/>
    <w:link w:val="176"/>
    <w:autoRedefine/>
    <w:qFormat/>
    <w:uiPriority w:val="0"/>
    <w:pPr>
      <w:widowControl/>
      <w:tabs>
        <w:tab w:val="left" w:pos="0"/>
      </w:tabs>
      <w:adjustRightInd w:val="0"/>
      <w:snapToGrid w:val="0"/>
      <w:jc w:val="center"/>
    </w:pPr>
    <w:rPr>
      <w:rFonts w:ascii="仿宋_GB2312" w:eastAsia="仿宋_GB2312" w:cs="宋体"/>
      <w:spacing w:val="4"/>
      <w:kern w:val="18"/>
      <w:sz w:val="20"/>
      <w:szCs w:val="20"/>
    </w:rPr>
  </w:style>
  <w:style w:type="character" w:customStyle="1" w:styleId="178">
    <w:name w:val="题注1 Char Char"/>
    <w:autoRedefine/>
    <w:qFormat/>
    <w:uiPriority w:val="0"/>
    <w:rPr>
      <w:rFonts w:eastAsia="宋体"/>
      <w:kern w:val="2"/>
      <w:sz w:val="24"/>
      <w:szCs w:val="24"/>
      <w:lang w:val="en-US" w:eastAsia="zh-CN" w:bidi="ar-SA"/>
    </w:rPr>
  </w:style>
  <w:style w:type="character" w:customStyle="1" w:styleId="179">
    <w:name w:val="标题11"/>
    <w:autoRedefine/>
    <w:qFormat/>
    <w:uiPriority w:val="0"/>
    <w:rPr>
      <w:rFonts w:eastAsia="宋体" w:cs="宋体"/>
      <w:sz w:val="24"/>
      <w:szCs w:val="24"/>
      <w:lang w:val="en-US" w:eastAsia="zh-CN" w:bidi="ar-SA"/>
    </w:rPr>
  </w:style>
  <w:style w:type="character" w:customStyle="1" w:styleId="180">
    <w:name w:val="表格标题＋单位 Char"/>
    <w:link w:val="181"/>
    <w:autoRedefine/>
    <w:qFormat/>
    <w:uiPriority w:val="0"/>
    <w:rPr>
      <w:b/>
      <w:sz w:val="24"/>
      <w:szCs w:val="24"/>
    </w:rPr>
  </w:style>
  <w:style w:type="paragraph" w:customStyle="1" w:styleId="181">
    <w:name w:val="表格标题＋单位"/>
    <w:basedOn w:val="1"/>
    <w:link w:val="180"/>
    <w:autoRedefine/>
    <w:qFormat/>
    <w:uiPriority w:val="0"/>
    <w:pPr>
      <w:widowControl/>
      <w:wordWrap w:val="0"/>
      <w:spacing w:line="500" w:lineRule="exact"/>
      <w:jc w:val="right"/>
    </w:pPr>
    <w:rPr>
      <w:rFonts w:cs="宋体"/>
      <w:b/>
      <w:kern w:val="0"/>
      <w:sz w:val="20"/>
      <w:szCs w:val="20"/>
    </w:rPr>
  </w:style>
  <w:style w:type="character" w:customStyle="1" w:styleId="182">
    <w:name w:val="样式 标题 2标题 2 Char + 四号 Char"/>
    <w:autoRedefine/>
    <w:qFormat/>
    <w:uiPriority w:val="0"/>
    <w:rPr>
      <w:rFonts w:eastAsia="黑体"/>
      <w:b/>
      <w:bCs/>
      <w:sz w:val="28"/>
      <w:lang w:val="en-US" w:eastAsia="zh-CN" w:bidi="ar-SA"/>
    </w:rPr>
  </w:style>
  <w:style w:type="character" w:customStyle="1" w:styleId="183">
    <w:name w:val="正文文本缩进 Char1"/>
    <w:autoRedefine/>
    <w:qFormat/>
    <w:uiPriority w:val="0"/>
    <w:rPr>
      <w:b/>
      <w:kern w:val="2"/>
      <w:sz w:val="28"/>
    </w:rPr>
  </w:style>
  <w:style w:type="character" w:customStyle="1" w:styleId="184">
    <w:name w:val="Char Char7"/>
    <w:autoRedefine/>
    <w:qFormat/>
    <w:uiPriority w:val="0"/>
    <w:rPr>
      <w:rFonts w:eastAsia="宋体"/>
      <w:kern w:val="2"/>
      <w:sz w:val="18"/>
      <w:lang w:val="en-US" w:eastAsia="zh-CN" w:bidi="ar-SA"/>
    </w:rPr>
  </w:style>
  <w:style w:type="character" w:customStyle="1" w:styleId="185">
    <w:name w:val="apple-style-span"/>
    <w:autoRedefine/>
    <w:qFormat/>
    <w:uiPriority w:val="0"/>
  </w:style>
  <w:style w:type="character" w:customStyle="1" w:styleId="186">
    <w:name w:val="unnamed2"/>
    <w:autoRedefine/>
    <w:qFormat/>
    <w:uiPriority w:val="0"/>
  </w:style>
  <w:style w:type="character" w:customStyle="1" w:styleId="187">
    <w:name w:val="Char Char2"/>
    <w:autoRedefine/>
    <w:qFormat/>
    <w:uiPriority w:val="0"/>
    <w:rPr>
      <w:rFonts w:ascii="Arial" w:hAnsi="Arial" w:eastAsia="黑体"/>
      <w:b/>
      <w:bCs/>
      <w:kern w:val="2"/>
      <w:sz w:val="32"/>
      <w:szCs w:val="32"/>
      <w:lang w:val="en-US" w:eastAsia="zh-CN" w:bidi="ar-SA"/>
    </w:rPr>
  </w:style>
  <w:style w:type="character" w:customStyle="1" w:styleId="188">
    <w:name w:val="批注框文本 Char"/>
    <w:autoRedefine/>
    <w:qFormat/>
    <w:uiPriority w:val="0"/>
    <w:rPr>
      <w:kern w:val="2"/>
      <w:sz w:val="18"/>
      <w:szCs w:val="18"/>
    </w:rPr>
  </w:style>
  <w:style w:type="character" w:customStyle="1" w:styleId="189">
    <w:name w:val="标题 字符"/>
    <w:link w:val="65"/>
    <w:autoRedefine/>
    <w:qFormat/>
    <w:uiPriority w:val="0"/>
    <w:rPr>
      <w:rFonts w:ascii="Arial" w:hAnsi="Arial" w:eastAsia="PMingLiU"/>
      <w:b/>
      <w:color w:val="000000"/>
      <w:sz w:val="36"/>
      <w:lang w:eastAsia="zh-TW"/>
    </w:rPr>
  </w:style>
  <w:style w:type="character" w:customStyle="1" w:styleId="190">
    <w:name w:val="zwb-正文 Char"/>
    <w:link w:val="191"/>
    <w:autoRedefine/>
    <w:qFormat/>
    <w:uiPriority w:val="0"/>
    <w:rPr>
      <w:sz w:val="24"/>
      <w:szCs w:val="24"/>
    </w:rPr>
  </w:style>
  <w:style w:type="paragraph" w:customStyle="1" w:styleId="191">
    <w:name w:val="zwb-正文"/>
    <w:basedOn w:val="1"/>
    <w:link w:val="190"/>
    <w:autoRedefine/>
    <w:qFormat/>
    <w:uiPriority w:val="0"/>
    <w:pPr>
      <w:widowControl/>
      <w:ind w:firstLine="480" w:firstLineChars="200"/>
      <w:jc w:val="left"/>
    </w:pPr>
    <w:rPr>
      <w:rFonts w:cs="宋体"/>
      <w:kern w:val="0"/>
      <w:sz w:val="20"/>
      <w:szCs w:val="20"/>
    </w:rPr>
  </w:style>
  <w:style w:type="character" w:customStyle="1" w:styleId="192">
    <w:name w:val="报告书正文 Char"/>
    <w:link w:val="193"/>
    <w:autoRedefine/>
    <w:qFormat/>
    <w:uiPriority w:val="0"/>
    <w:rPr>
      <w:sz w:val="24"/>
    </w:rPr>
  </w:style>
  <w:style w:type="paragraph" w:customStyle="1" w:styleId="193">
    <w:name w:val="报告书正文"/>
    <w:basedOn w:val="1"/>
    <w:link w:val="192"/>
    <w:autoRedefine/>
    <w:qFormat/>
    <w:uiPriority w:val="0"/>
    <w:pPr>
      <w:widowControl/>
      <w:spacing w:line="300" w:lineRule="auto"/>
      <w:ind w:firstLine="480" w:firstLineChars="200"/>
      <w:jc w:val="left"/>
    </w:pPr>
    <w:rPr>
      <w:rFonts w:cs="宋体"/>
      <w:kern w:val="0"/>
      <w:sz w:val="20"/>
      <w:szCs w:val="20"/>
    </w:rPr>
  </w:style>
  <w:style w:type="character" w:customStyle="1" w:styleId="194">
    <w:name w:val="apple-converted-space"/>
    <w:autoRedefine/>
    <w:qFormat/>
    <w:uiPriority w:val="0"/>
  </w:style>
  <w:style w:type="character" w:customStyle="1" w:styleId="195">
    <w:name w:val="正文样式 Char Char Char Char"/>
    <w:autoRedefine/>
    <w:qFormat/>
    <w:uiPriority w:val="0"/>
    <w:rPr>
      <w:rFonts w:ascii="宋体" w:hAnsi="宋体" w:eastAsia="宋体"/>
      <w:color w:val="000000"/>
      <w:kern w:val="2"/>
      <w:sz w:val="24"/>
      <w:szCs w:val="24"/>
      <w:lang w:val="en-US" w:eastAsia="zh-CN" w:bidi="ar-SA"/>
    </w:rPr>
  </w:style>
  <w:style w:type="character" w:customStyle="1" w:styleId="196">
    <w:name w:val="新正文 Char"/>
    <w:link w:val="197"/>
    <w:autoRedefine/>
    <w:qFormat/>
    <w:uiPriority w:val="0"/>
    <w:rPr>
      <w:rFonts w:ascii="仿宋_GB2312" w:eastAsia="仿宋_GB2312"/>
      <w:bCs/>
      <w:sz w:val="28"/>
    </w:rPr>
  </w:style>
  <w:style w:type="paragraph" w:customStyle="1" w:styleId="197">
    <w:name w:val="新正文"/>
    <w:basedOn w:val="1"/>
    <w:link w:val="196"/>
    <w:autoRedefine/>
    <w:qFormat/>
    <w:uiPriority w:val="0"/>
    <w:pPr>
      <w:widowControl/>
      <w:spacing w:line="500" w:lineRule="exact"/>
      <w:ind w:firstLine="482"/>
      <w:jc w:val="left"/>
    </w:pPr>
    <w:rPr>
      <w:rFonts w:ascii="仿宋_GB2312" w:eastAsia="仿宋_GB2312" w:cs="宋体"/>
      <w:bCs/>
      <w:kern w:val="0"/>
      <w:sz w:val="28"/>
      <w:szCs w:val="20"/>
    </w:rPr>
  </w:style>
  <w:style w:type="character" w:customStyle="1" w:styleId="198">
    <w:name w:val="第三级 Char"/>
    <w:link w:val="199"/>
    <w:autoRedefine/>
    <w:qFormat/>
    <w:uiPriority w:val="0"/>
    <w:rPr>
      <w:rFonts w:ascii="宋体" w:hAnsi="宋体"/>
      <w:sz w:val="22"/>
    </w:rPr>
  </w:style>
  <w:style w:type="paragraph" w:customStyle="1" w:styleId="199">
    <w:name w:val="第三级"/>
    <w:basedOn w:val="1"/>
    <w:link w:val="198"/>
    <w:autoRedefine/>
    <w:qFormat/>
    <w:uiPriority w:val="0"/>
    <w:pPr>
      <w:widowControl/>
      <w:tabs>
        <w:tab w:val="left" w:pos="851"/>
      </w:tabs>
      <w:spacing w:line="420" w:lineRule="exact"/>
      <w:ind w:left="-567" w:firstLine="1418"/>
      <w:jc w:val="left"/>
    </w:pPr>
    <w:rPr>
      <w:rFonts w:ascii="宋体" w:hAnsi="宋体" w:cs="宋体"/>
      <w:kern w:val="0"/>
      <w:sz w:val="22"/>
      <w:szCs w:val="20"/>
    </w:rPr>
  </w:style>
  <w:style w:type="character" w:customStyle="1" w:styleId="200">
    <w:name w:val="正文文字 Char Char Char"/>
    <w:autoRedefine/>
    <w:qFormat/>
    <w:uiPriority w:val="0"/>
    <w:rPr>
      <w:rFonts w:eastAsia="宋体"/>
      <w:kern w:val="2"/>
      <w:sz w:val="21"/>
      <w:szCs w:val="24"/>
      <w:lang w:val="en-US" w:eastAsia="zh-CN" w:bidi="ar-SA"/>
    </w:rPr>
  </w:style>
  <w:style w:type="character" w:customStyle="1" w:styleId="201">
    <w:name w:val="正文首行缩进 2 Char1"/>
    <w:autoRedefine/>
    <w:semiHidden/>
    <w:qFormat/>
    <w:uiPriority w:val="99"/>
  </w:style>
  <w:style w:type="character" w:customStyle="1" w:styleId="202">
    <w:name w:val="表格正文 Char"/>
    <w:link w:val="203"/>
    <w:autoRedefine/>
    <w:qFormat/>
    <w:uiPriority w:val="0"/>
    <w:rPr>
      <w:rFonts w:ascii="宋体"/>
      <w:szCs w:val="24"/>
      <w:lang w:val="en-GB"/>
    </w:rPr>
  </w:style>
  <w:style w:type="paragraph" w:customStyle="1" w:styleId="203">
    <w:name w:val="表格正文"/>
    <w:basedOn w:val="1"/>
    <w:link w:val="202"/>
    <w:autoRedefine/>
    <w:qFormat/>
    <w:uiPriority w:val="0"/>
    <w:pPr>
      <w:widowControl/>
      <w:adjustRightInd w:val="0"/>
      <w:snapToGrid w:val="0"/>
      <w:spacing w:line="400" w:lineRule="exact"/>
      <w:jc w:val="center"/>
    </w:pPr>
    <w:rPr>
      <w:rFonts w:ascii="宋体" w:cs="宋体"/>
      <w:kern w:val="0"/>
      <w:sz w:val="20"/>
      <w:szCs w:val="20"/>
      <w:lang w:val="en-GB"/>
    </w:rPr>
  </w:style>
  <w:style w:type="character" w:customStyle="1" w:styleId="204">
    <w:name w:val="style1"/>
    <w:autoRedefine/>
    <w:qFormat/>
    <w:uiPriority w:val="0"/>
  </w:style>
  <w:style w:type="character" w:customStyle="1" w:styleId="205">
    <w:name w:val="正文01 Char"/>
    <w:link w:val="206"/>
    <w:autoRedefine/>
    <w:qFormat/>
    <w:uiPriority w:val="0"/>
    <w:rPr>
      <w:sz w:val="24"/>
      <w:szCs w:val="24"/>
    </w:rPr>
  </w:style>
  <w:style w:type="paragraph" w:customStyle="1" w:styleId="206">
    <w:name w:val="正文01"/>
    <w:basedOn w:val="1"/>
    <w:link w:val="205"/>
    <w:autoRedefine/>
    <w:qFormat/>
    <w:uiPriority w:val="0"/>
    <w:pPr>
      <w:widowControl/>
      <w:spacing w:before="60" w:line="460" w:lineRule="exact"/>
      <w:ind w:firstLine="200" w:firstLineChars="200"/>
      <w:jc w:val="left"/>
    </w:pPr>
    <w:rPr>
      <w:rFonts w:cs="宋体"/>
      <w:kern w:val="0"/>
      <w:sz w:val="20"/>
      <w:szCs w:val="20"/>
    </w:rPr>
  </w:style>
  <w:style w:type="character" w:customStyle="1" w:styleId="207">
    <w:name w:val="正文(首行缩进) Char"/>
    <w:autoRedefine/>
    <w:qFormat/>
    <w:uiPriority w:val="0"/>
    <w:rPr>
      <w:rFonts w:eastAsia="宋体"/>
      <w:snapToGrid/>
      <w:sz w:val="24"/>
      <w:szCs w:val="24"/>
      <w:lang w:val="en-US" w:eastAsia="zh-CN" w:bidi="ar-SA"/>
    </w:rPr>
  </w:style>
  <w:style w:type="character" w:customStyle="1" w:styleId="208">
    <w:name w:val="样式 (中文) 仿宋_GB2312 Char"/>
    <w:link w:val="209"/>
    <w:autoRedefine/>
    <w:qFormat/>
    <w:uiPriority w:val="0"/>
    <w:rPr>
      <w:rFonts w:eastAsia="仿宋_GB2312"/>
      <w:sz w:val="24"/>
    </w:rPr>
  </w:style>
  <w:style w:type="paragraph" w:customStyle="1" w:styleId="209">
    <w:name w:val="样式 (中文) 仿宋_GB2312"/>
    <w:basedOn w:val="1"/>
    <w:link w:val="208"/>
    <w:autoRedefine/>
    <w:qFormat/>
    <w:uiPriority w:val="0"/>
    <w:pPr>
      <w:widowControl/>
      <w:adjustRightInd w:val="0"/>
      <w:snapToGrid w:val="0"/>
      <w:spacing w:before="120" w:line="300" w:lineRule="auto"/>
      <w:ind w:firstLine="482"/>
      <w:jc w:val="left"/>
      <w:textAlignment w:val="baseline"/>
    </w:pPr>
    <w:rPr>
      <w:rFonts w:eastAsia="仿宋_GB2312" w:cs="宋体"/>
      <w:kern w:val="0"/>
      <w:sz w:val="20"/>
      <w:szCs w:val="20"/>
    </w:rPr>
  </w:style>
  <w:style w:type="character" w:customStyle="1" w:styleId="210">
    <w:name w:val="3级标题 Char"/>
    <w:link w:val="211"/>
    <w:autoRedefine/>
    <w:qFormat/>
    <w:uiPriority w:val="0"/>
    <w:rPr>
      <w:rFonts w:ascii="黑体" w:eastAsia="黑体"/>
      <w:sz w:val="24"/>
      <w:szCs w:val="24"/>
    </w:rPr>
  </w:style>
  <w:style w:type="paragraph" w:customStyle="1" w:styleId="211">
    <w:name w:val="3级标题"/>
    <w:basedOn w:val="5"/>
    <w:link w:val="210"/>
    <w:autoRedefine/>
    <w:qFormat/>
    <w:uiPriority w:val="0"/>
    <w:pPr>
      <w:keepNext w:val="0"/>
      <w:tabs>
        <w:tab w:val="left" w:pos="720"/>
      </w:tabs>
      <w:spacing w:line="360" w:lineRule="auto"/>
    </w:pPr>
    <w:rPr>
      <w:rFonts w:ascii="黑体" w:eastAsia="黑体"/>
      <w:szCs w:val="24"/>
      <w:lang w:val="en-US"/>
    </w:rPr>
  </w:style>
  <w:style w:type="character" w:customStyle="1" w:styleId="212">
    <w:name w:val="text11"/>
    <w:autoRedefine/>
    <w:qFormat/>
    <w:uiPriority w:val="0"/>
    <w:rPr>
      <w:rFonts w:hint="eastAsia" w:ascii="宋体" w:hAnsi="宋体" w:eastAsia="宋体"/>
      <w:color w:val="008000"/>
      <w:sz w:val="24"/>
      <w:szCs w:val="24"/>
    </w:rPr>
  </w:style>
  <w:style w:type="character" w:customStyle="1" w:styleId="213">
    <w:name w:val="表格1 Char Char"/>
    <w:link w:val="214"/>
    <w:autoRedefine/>
    <w:qFormat/>
    <w:uiPriority w:val="0"/>
    <w:rPr>
      <w:rFonts w:ascii="宋体"/>
      <w:sz w:val="24"/>
    </w:rPr>
  </w:style>
  <w:style w:type="paragraph" w:customStyle="1" w:styleId="214">
    <w:name w:val="表格1"/>
    <w:basedOn w:val="1"/>
    <w:link w:val="213"/>
    <w:autoRedefine/>
    <w:qFormat/>
    <w:uiPriority w:val="0"/>
    <w:pPr>
      <w:widowControl/>
      <w:adjustRightInd w:val="0"/>
      <w:jc w:val="center"/>
      <w:textAlignment w:val="baseline"/>
    </w:pPr>
    <w:rPr>
      <w:rFonts w:ascii="宋体" w:cs="宋体"/>
      <w:kern w:val="0"/>
      <w:sz w:val="20"/>
      <w:szCs w:val="20"/>
    </w:rPr>
  </w:style>
  <w:style w:type="character" w:customStyle="1" w:styleId="215">
    <w:name w:val="wz1"/>
    <w:autoRedefine/>
    <w:qFormat/>
    <w:uiPriority w:val="0"/>
  </w:style>
  <w:style w:type="character" w:customStyle="1" w:styleId="216">
    <w:name w:val="Char Char1"/>
    <w:autoRedefine/>
    <w:qFormat/>
    <w:uiPriority w:val="0"/>
    <w:rPr>
      <w:rFonts w:eastAsia="宋体"/>
      <w:kern w:val="2"/>
      <w:sz w:val="21"/>
      <w:szCs w:val="24"/>
      <w:lang w:val="en-US" w:eastAsia="zh-CN" w:bidi="ar-SA"/>
    </w:rPr>
  </w:style>
  <w:style w:type="character" w:customStyle="1" w:styleId="217">
    <w:name w:val="批注文字 Char"/>
    <w:autoRedefine/>
    <w:qFormat/>
    <w:uiPriority w:val="0"/>
    <w:rPr>
      <w:kern w:val="2"/>
      <w:sz w:val="21"/>
    </w:rPr>
  </w:style>
  <w:style w:type="character" w:customStyle="1" w:styleId="218">
    <w:name w:val="样式 样式 正文文本 + 首行缩进:  2 字符 + 宋体 首行缩进:  2 字符 Char"/>
    <w:link w:val="219"/>
    <w:autoRedefine/>
    <w:qFormat/>
    <w:uiPriority w:val="0"/>
    <w:rPr>
      <w:rFonts w:cs="宋体"/>
      <w:sz w:val="24"/>
      <w:szCs w:val="24"/>
    </w:rPr>
  </w:style>
  <w:style w:type="paragraph" w:customStyle="1" w:styleId="219">
    <w:name w:val="样式 样式 正文文本 + 首行缩进:  2 字符 + 宋体 首行缩进:  2 字符"/>
    <w:basedOn w:val="1"/>
    <w:link w:val="218"/>
    <w:autoRedefine/>
    <w:qFormat/>
    <w:uiPriority w:val="0"/>
    <w:pPr>
      <w:widowControl/>
      <w:adjustRightInd w:val="0"/>
      <w:snapToGrid w:val="0"/>
      <w:spacing w:before="120" w:line="300" w:lineRule="auto"/>
      <w:ind w:firstLine="480" w:firstLineChars="200"/>
      <w:jc w:val="left"/>
      <w:textAlignment w:val="baseline"/>
    </w:pPr>
    <w:rPr>
      <w:rFonts w:cs="宋体"/>
      <w:kern w:val="0"/>
      <w:sz w:val="20"/>
      <w:szCs w:val="20"/>
    </w:rPr>
  </w:style>
  <w:style w:type="character" w:customStyle="1" w:styleId="220">
    <w:name w:val="标题 3 Char Char Char Char Char Char"/>
    <w:autoRedefine/>
    <w:qFormat/>
    <w:uiPriority w:val="0"/>
    <w:rPr>
      <w:rFonts w:ascii="黑体" w:eastAsia="黑体"/>
      <w:bCs/>
      <w:kern w:val="2"/>
      <w:sz w:val="24"/>
      <w:szCs w:val="24"/>
      <w:lang w:val="en-US" w:eastAsia="zh-CN" w:bidi="ar-SA"/>
    </w:rPr>
  </w:style>
  <w:style w:type="character" w:customStyle="1" w:styleId="221">
    <w:name w:val="正文缩进 字符"/>
    <w:autoRedefine/>
    <w:qFormat/>
    <w:uiPriority w:val="0"/>
    <w:rPr>
      <w:rFonts w:ascii="Times New Roman" w:hAnsi="Times New Roman" w:eastAsia="宋体" w:cs="Times New Roman"/>
      <w:szCs w:val="20"/>
    </w:rPr>
  </w:style>
  <w:style w:type="character" w:customStyle="1" w:styleId="222">
    <w:name w:val="表格文字 Char"/>
    <w:autoRedefine/>
    <w:qFormat/>
    <w:uiPriority w:val="0"/>
    <w:rPr>
      <w:rFonts w:ascii="宋体" w:hAnsi="Courier New" w:eastAsia="宋体" w:cs="Courier New"/>
      <w:kern w:val="2"/>
      <w:sz w:val="21"/>
      <w:szCs w:val="21"/>
      <w:lang w:val="en-US" w:eastAsia="zh-CN" w:bidi="ar-SA"/>
    </w:rPr>
  </w:style>
  <w:style w:type="character" w:customStyle="1" w:styleId="223">
    <w:name w:val="222 Char"/>
    <w:link w:val="224"/>
    <w:autoRedefine/>
    <w:qFormat/>
    <w:uiPriority w:val="0"/>
    <w:rPr>
      <w:b/>
      <w:bCs/>
      <w:color w:val="000000"/>
      <w:sz w:val="28"/>
      <w:szCs w:val="28"/>
    </w:rPr>
  </w:style>
  <w:style w:type="paragraph" w:customStyle="1" w:styleId="224">
    <w:name w:val="222"/>
    <w:basedOn w:val="4"/>
    <w:link w:val="223"/>
    <w:autoRedefine/>
    <w:qFormat/>
    <w:uiPriority w:val="0"/>
    <w:pPr>
      <w:keepLines/>
      <w:spacing w:line="360" w:lineRule="auto"/>
      <w:jc w:val="both"/>
    </w:pPr>
    <w:rPr>
      <w:b/>
      <w:bCs/>
      <w:color w:val="000000"/>
      <w:szCs w:val="28"/>
      <w:lang w:val="en-US"/>
    </w:rPr>
  </w:style>
  <w:style w:type="character" w:customStyle="1" w:styleId="225">
    <w:name w:val="headline-1-index"/>
    <w:autoRedefine/>
    <w:qFormat/>
    <w:uiPriority w:val="0"/>
  </w:style>
  <w:style w:type="character" w:customStyle="1" w:styleId="226">
    <w:name w:val="页码1"/>
    <w:autoRedefine/>
    <w:qFormat/>
    <w:uiPriority w:val="0"/>
  </w:style>
  <w:style w:type="character" w:customStyle="1" w:styleId="227">
    <w:name w:val="style31"/>
    <w:autoRedefine/>
    <w:qFormat/>
    <w:uiPriority w:val="0"/>
    <w:rPr>
      <w:color w:val="FF0000"/>
    </w:rPr>
  </w:style>
  <w:style w:type="character" w:customStyle="1" w:styleId="228">
    <w:name w:val="标题 2 Char Char"/>
    <w:autoRedefine/>
    <w:qFormat/>
    <w:uiPriority w:val="0"/>
    <w:rPr>
      <w:rFonts w:ascii="Arial" w:hAnsi="Arial" w:eastAsia="黑体"/>
      <w:b/>
      <w:bCs/>
      <w:kern w:val="2"/>
      <w:sz w:val="32"/>
      <w:szCs w:val="32"/>
      <w:lang w:val="en-US" w:eastAsia="zh-CN" w:bidi="ar-SA"/>
    </w:rPr>
  </w:style>
  <w:style w:type="character" w:customStyle="1" w:styleId="229">
    <w:name w:val="公式 首行缩进:  2 字符 Char"/>
    <w:autoRedefine/>
    <w:qFormat/>
    <w:uiPriority w:val="0"/>
    <w:rPr>
      <w:rFonts w:eastAsia="宋体" w:cs="宋体"/>
      <w:kern w:val="2"/>
      <w:sz w:val="24"/>
      <w:szCs w:val="24"/>
      <w:lang w:val="en-US" w:eastAsia="zh-CN" w:bidi="ar-SA"/>
    </w:rPr>
  </w:style>
  <w:style w:type="character" w:customStyle="1" w:styleId="230">
    <w:name w:val="!四号"/>
    <w:autoRedefine/>
    <w:qFormat/>
    <w:uiPriority w:val="0"/>
    <w:rPr>
      <w:rFonts w:ascii="宋体" w:hAnsi="宋体" w:eastAsia="宋体"/>
      <w:sz w:val="28"/>
      <w:szCs w:val="28"/>
    </w:rPr>
  </w:style>
  <w:style w:type="character" w:customStyle="1" w:styleId="231">
    <w:name w:val="style111"/>
    <w:autoRedefine/>
    <w:qFormat/>
    <w:uiPriority w:val="0"/>
    <w:rPr>
      <w:sz w:val="21"/>
      <w:szCs w:val="21"/>
    </w:rPr>
  </w:style>
  <w:style w:type="character" w:customStyle="1" w:styleId="232">
    <w:name w:val="正文（首行缩进两字） Char3"/>
    <w:autoRedefine/>
    <w:qFormat/>
    <w:uiPriority w:val="0"/>
    <w:rPr>
      <w:sz w:val="24"/>
    </w:rPr>
  </w:style>
  <w:style w:type="character" w:customStyle="1" w:styleId="233">
    <w:name w:val="标题3 Char"/>
    <w:link w:val="234"/>
    <w:autoRedefine/>
    <w:qFormat/>
    <w:uiPriority w:val="0"/>
    <w:rPr>
      <w:rFonts w:ascii="Arial" w:hAnsi="Arial"/>
      <w:b/>
      <w:color w:val="FF0000"/>
      <w:sz w:val="24"/>
    </w:rPr>
  </w:style>
  <w:style w:type="paragraph" w:customStyle="1" w:styleId="234">
    <w:name w:val="标题3"/>
    <w:basedOn w:val="1"/>
    <w:next w:val="9"/>
    <w:link w:val="233"/>
    <w:autoRedefine/>
    <w:qFormat/>
    <w:uiPriority w:val="0"/>
    <w:pPr>
      <w:widowControl/>
      <w:tabs>
        <w:tab w:val="left" w:pos="720"/>
      </w:tabs>
      <w:adjustRightInd w:val="0"/>
      <w:jc w:val="left"/>
      <w:textAlignment w:val="baseline"/>
      <w:outlineLvl w:val="2"/>
    </w:pPr>
    <w:rPr>
      <w:rFonts w:ascii="Arial" w:hAnsi="Arial" w:cs="宋体"/>
      <w:b/>
      <w:color w:val="FF0000"/>
      <w:kern w:val="0"/>
      <w:sz w:val="20"/>
      <w:szCs w:val="20"/>
    </w:rPr>
  </w:style>
  <w:style w:type="character" w:customStyle="1" w:styleId="235">
    <w:name w:val="正文文本 3 字符"/>
    <w:link w:val="27"/>
    <w:autoRedefine/>
    <w:qFormat/>
    <w:uiPriority w:val="0"/>
    <w:rPr>
      <w:bCs/>
      <w:color w:val="FF00FF"/>
      <w:sz w:val="28"/>
    </w:rPr>
  </w:style>
  <w:style w:type="character" w:customStyle="1" w:styleId="236">
    <w:name w:val="报告正文 Char"/>
    <w:link w:val="237"/>
    <w:autoRedefine/>
    <w:qFormat/>
    <w:uiPriority w:val="0"/>
    <w:rPr>
      <w:sz w:val="24"/>
      <w:szCs w:val="24"/>
    </w:rPr>
  </w:style>
  <w:style w:type="paragraph" w:customStyle="1" w:styleId="237">
    <w:name w:val="报告正文"/>
    <w:basedOn w:val="1"/>
    <w:link w:val="236"/>
    <w:autoRedefine/>
    <w:qFormat/>
    <w:uiPriority w:val="0"/>
    <w:pPr>
      <w:widowControl/>
      <w:spacing w:line="500" w:lineRule="exact"/>
      <w:ind w:firstLine="200" w:firstLineChars="200"/>
      <w:jc w:val="left"/>
    </w:pPr>
    <w:rPr>
      <w:rFonts w:cs="宋体"/>
      <w:kern w:val="0"/>
      <w:sz w:val="20"/>
      <w:szCs w:val="20"/>
    </w:rPr>
  </w:style>
  <w:style w:type="character" w:customStyle="1" w:styleId="238">
    <w:name w:val="标准文本 居中 单倍行距 Char Char Char"/>
    <w:autoRedefine/>
    <w:qFormat/>
    <w:uiPriority w:val="0"/>
    <w:rPr>
      <w:rFonts w:eastAsia="宋体" w:cs="宋体"/>
      <w:kern w:val="2"/>
      <w:sz w:val="24"/>
      <w:szCs w:val="24"/>
      <w:lang w:val="en-US" w:eastAsia="zh-CN" w:bidi="ar-SA"/>
    </w:rPr>
  </w:style>
  <w:style w:type="character" w:customStyle="1" w:styleId="239">
    <w:name w:val="hxtj3"/>
    <w:autoRedefine/>
    <w:qFormat/>
    <w:uiPriority w:val="0"/>
    <w:rPr>
      <w:color w:val="000000"/>
      <w:sz w:val="18"/>
      <w:szCs w:val="18"/>
      <w:u w:val="none"/>
    </w:rPr>
  </w:style>
  <w:style w:type="character" w:customStyle="1" w:styleId="240">
    <w:name w:val="正文文本缩进 Char"/>
    <w:autoRedefine/>
    <w:qFormat/>
    <w:uiPriority w:val="0"/>
    <w:rPr>
      <w:rFonts w:eastAsia="宋体"/>
      <w:kern w:val="2"/>
      <w:sz w:val="21"/>
      <w:szCs w:val="24"/>
      <w:lang w:val="en-US" w:eastAsia="zh-CN" w:bidi="ar-SA"/>
    </w:rPr>
  </w:style>
  <w:style w:type="character" w:customStyle="1" w:styleId="241">
    <w:name w:val="表号、图号 Char"/>
    <w:link w:val="242"/>
    <w:autoRedefine/>
    <w:qFormat/>
    <w:uiPriority w:val="0"/>
    <w:rPr>
      <w:rFonts w:ascii="黑体" w:hAnsi="黑体" w:eastAsia="黑体"/>
      <w:szCs w:val="24"/>
    </w:rPr>
  </w:style>
  <w:style w:type="paragraph" w:customStyle="1" w:styleId="242">
    <w:name w:val="表号、图号"/>
    <w:basedOn w:val="1"/>
    <w:link w:val="241"/>
    <w:autoRedefine/>
    <w:qFormat/>
    <w:uiPriority w:val="0"/>
    <w:pPr>
      <w:widowControl/>
      <w:jc w:val="center"/>
    </w:pPr>
    <w:rPr>
      <w:rFonts w:ascii="黑体" w:hAnsi="黑体" w:eastAsia="黑体" w:cs="宋体"/>
      <w:kern w:val="0"/>
      <w:sz w:val="20"/>
      <w:szCs w:val="20"/>
    </w:rPr>
  </w:style>
  <w:style w:type="character" w:customStyle="1" w:styleId="243">
    <w:name w:val="正文文本 Char2"/>
    <w:autoRedefine/>
    <w:semiHidden/>
    <w:qFormat/>
    <w:uiPriority w:val="99"/>
  </w:style>
  <w:style w:type="character" w:customStyle="1" w:styleId="244">
    <w:name w:val="标准文本 首行缩进:2 字符 行距1.5倍 Char"/>
    <w:autoRedefine/>
    <w:qFormat/>
    <w:uiPriority w:val="0"/>
    <w:rPr>
      <w:rFonts w:eastAsia="宋体" w:cs="宋体"/>
      <w:kern w:val="2"/>
      <w:sz w:val="24"/>
      <w:szCs w:val="24"/>
      <w:lang w:val="en-US" w:eastAsia="zh-CN" w:bidi="ar-SA"/>
    </w:rPr>
  </w:style>
  <w:style w:type="character" w:customStyle="1" w:styleId="245">
    <w:name w:val="表格字体 Char"/>
    <w:link w:val="246"/>
    <w:autoRedefine/>
    <w:qFormat/>
    <w:uiPriority w:val="0"/>
    <w:rPr>
      <w:rFonts w:ascii="宋体" w:hAnsi="宋体" w:eastAsia="Times New Roman" w:cs="宋体"/>
      <w:szCs w:val="24"/>
    </w:rPr>
  </w:style>
  <w:style w:type="paragraph" w:customStyle="1" w:styleId="246">
    <w:name w:val="表格字体"/>
    <w:basedOn w:val="1"/>
    <w:link w:val="245"/>
    <w:autoRedefine/>
    <w:qFormat/>
    <w:uiPriority w:val="0"/>
    <w:pPr>
      <w:widowControl/>
      <w:snapToGrid w:val="0"/>
      <w:spacing w:line="276" w:lineRule="auto"/>
      <w:jc w:val="left"/>
    </w:pPr>
    <w:rPr>
      <w:rFonts w:ascii="宋体" w:hAnsi="宋体" w:eastAsia="Times New Roman" w:cs="宋体"/>
      <w:kern w:val="0"/>
      <w:sz w:val="20"/>
      <w:szCs w:val="20"/>
    </w:rPr>
  </w:style>
  <w:style w:type="character" w:customStyle="1" w:styleId="247">
    <w:name w:val="text1"/>
    <w:autoRedefine/>
    <w:qFormat/>
    <w:uiPriority w:val="0"/>
    <w:rPr>
      <w:rFonts w:hint="eastAsia" w:ascii="宋体" w:hAnsi="宋体" w:eastAsia="宋体"/>
      <w:color w:val="999999"/>
      <w:sz w:val="18"/>
      <w:szCs w:val="18"/>
      <w:u w:val="none"/>
    </w:rPr>
  </w:style>
  <w:style w:type="character" w:customStyle="1" w:styleId="248">
    <w:name w:val="表头 Char Char"/>
    <w:autoRedefine/>
    <w:qFormat/>
    <w:uiPriority w:val="0"/>
    <w:rPr>
      <w:kern w:val="28"/>
      <w:sz w:val="32"/>
    </w:rPr>
  </w:style>
  <w:style w:type="character" w:customStyle="1" w:styleId="249">
    <w:name w:val="正文样式 Char Char Char Char Char Char"/>
    <w:autoRedefine/>
    <w:qFormat/>
    <w:uiPriority w:val="0"/>
    <w:rPr>
      <w:rFonts w:ascii="宋体" w:hAnsi="宋体" w:eastAsia="宋体"/>
      <w:color w:val="000000"/>
      <w:kern w:val="2"/>
      <w:sz w:val="24"/>
      <w:szCs w:val="24"/>
      <w:lang w:val="en-US" w:eastAsia="zh-CN" w:bidi="ar-SA"/>
    </w:rPr>
  </w:style>
  <w:style w:type="character" w:customStyle="1" w:styleId="250">
    <w:name w:val="正文文本 Char1"/>
    <w:autoRedefine/>
    <w:qFormat/>
    <w:uiPriority w:val="0"/>
    <w:rPr>
      <w:sz w:val="28"/>
    </w:rPr>
  </w:style>
  <w:style w:type="character" w:customStyle="1" w:styleId="251">
    <w:name w:val="题注 Char Char1 Char Char Char Char C"/>
    <w:autoRedefine/>
    <w:qFormat/>
    <w:uiPriority w:val="0"/>
    <w:rPr>
      <w:rFonts w:ascii="Arial" w:hAnsi="Arial" w:eastAsia="宋体" w:cs="Arial"/>
      <w:kern w:val="2"/>
      <w:sz w:val="24"/>
      <w:lang w:val="en-US" w:eastAsia="zh-CN" w:bidi="ar-SA"/>
    </w:rPr>
  </w:style>
  <w:style w:type="character" w:customStyle="1" w:styleId="252">
    <w:name w:val="题注1"/>
    <w:autoRedefine/>
    <w:qFormat/>
    <w:uiPriority w:val="0"/>
    <w:rPr>
      <w:rFonts w:ascii="Arial" w:hAnsi="Arial" w:eastAsia="方正魏碑简体" w:cs="Arial"/>
      <w:kern w:val="2"/>
      <w:sz w:val="24"/>
      <w:lang w:val="en-US" w:eastAsia="zh-CN" w:bidi="ar-SA"/>
    </w:rPr>
  </w:style>
  <w:style w:type="character" w:customStyle="1" w:styleId="253">
    <w:name w:val="表格文本 五号 居中 单倍行距 Char Char Char"/>
    <w:autoRedefine/>
    <w:qFormat/>
    <w:uiPriority w:val="0"/>
    <w:rPr>
      <w:rFonts w:eastAsia="宋体" w:cs="宋体"/>
      <w:kern w:val="2"/>
      <w:sz w:val="21"/>
      <w:szCs w:val="21"/>
      <w:lang w:val="en-US" w:eastAsia="zh-CN" w:bidi="ar-SA"/>
    </w:rPr>
  </w:style>
  <w:style w:type="character" w:customStyle="1" w:styleId="254">
    <w:name w:val="black"/>
    <w:autoRedefine/>
    <w:qFormat/>
    <w:uiPriority w:val="0"/>
  </w:style>
  <w:style w:type="character" w:customStyle="1" w:styleId="255">
    <w:name w:val="正文文本缩进 Char2"/>
    <w:autoRedefine/>
    <w:semiHidden/>
    <w:qFormat/>
    <w:uiPriority w:val="99"/>
  </w:style>
  <w:style w:type="character" w:customStyle="1" w:styleId="256">
    <w:name w:val="标题样式3 Char"/>
    <w:autoRedefine/>
    <w:qFormat/>
    <w:uiPriority w:val="0"/>
    <w:rPr>
      <w:rFonts w:ascii="黑体" w:eastAsia="黑体" w:cs="黑体"/>
      <w:b/>
      <w:bCs/>
      <w:color w:val="000000"/>
      <w:kern w:val="2"/>
      <w:sz w:val="28"/>
      <w:szCs w:val="28"/>
      <w:lang w:val="zh-CN" w:eastAsia="zh-CN" w:bidi="ar-SA"/>
    </w:rPr>
  </w:style>
  <w:style w:type="character" w:customStyle="1" w:styleId="257">
    <w:name w:val="标题样式1 Char"/>
    <w:autoRedefine/>
    <w:qFormat/>
    <w:uiPriority w:val="0"/>
    <w:rPr>
      <w:rFonts w:ascii="黑体" w:eastAsia="黑体"/>
      <w:b/>
      <w:bCs/>
      <w:kern w:val="44"/>
      <w:sz w:val="28"/>
      <w:szCs w:val="28"/>
      <w:lang w:val="en-US" w:eastAsia="zh-CN" w:bidi="ar-SA"/>
    </w:rPr>
  </w:style>
  <w:style w:type="character" w:customStyle="1" w:styleId="258">
    <w:name w:val="Default Char"/>
    <w:link w:val="85"/>
    <w:autoRedefine/>
    <w:qFormat/>
    <w:uiPriority w:val="0"/>
    <w:rPr>
      <w:rFonts w:ascii="宋体" w:cs="宋体"/>
      <w:color w:val="000000"/>
      <w:sz w:val="24"/>
      <w:szCs w:val="24"/>
    </w:rPr>
  </w:style>
  <w:style w:type="character" w:customStyle="1" w:styleId="259">
    <w:name w:val="正文文本 2 Char1"/>
    <w:autoRedefine/>
    <w:qFormat/>
    <w:uiPriority w:val="0"/>
  </w:style>
  <w:style w:type="character" w:customStyle="1" w:styleId="260">
    <w:name w:val="表头1 Char"/>
    <w:link w:val="261"/>
    <w:autoRedefine/>
    <w:qFormat/>
    <w:uiPriority w:val="0"/>
    <w:rPr>
      <w:rFonts w:eastAsia="黑体"/>
      <w:szCs w:val="21"/>
    </w:rPr>
  </w:style>
  <w:style w:type="paragraph" w:customStyle="1" w:styleId="261">
    <w:name w:val="表头1"/>
    <w:basedOn w:val="1"/>
    <w:next w:val="1"/>
    <w:link w:val="260"/>
    <w:autoRedefine/>
    <w:qFormat/>
    <w:uiPriority w:val="0"/>
    <w:pPr>
      <w:widowControl/>
      <w:tabs>
        <w:tab w:val="left" w:pos="605"/>
      </w:tabs>
      <w:adjustRightInd w:val="0"/>
      <w:snapToGrid w:val="0"/>
      <w:jc w:val="center"/>
    </w:pPr>
    <w:rPr>
      <w:rFonts w:eastAsia="黑体" w:cs="宋体"/>
      <w:kern w:val="0"/>
      <w:sz w:val="20"/>
    </w:rPr>
  </w:style>
  <w:style w:type="character" w:customStyle="1" w:styleId="262">
    <w:name w:val="Char Char Char Char Char Char Char1"/>
    <w:link w:val="263"/>
    <w:autoRedefine/>
    <w:qFormat/>
    <w:uiPriority w:val="0"/>
    <w:rPr>
      <w:szCs w:val="24"/>
    </w:rPr>
  </w:style>
  <w:style w:type="paragraph" w:customStyle="1" w:styleId="263">
    <w:name w:val="Char Char Char Char Char Char5"/>
    <w:basedOn w:val="1"/>
    <w:link w:val="262"/>
    <w:autoRedefine/>
    <w:qFormat/>
    <w:uiPriority w:val="0"/>
    <w:pPr>
      <w:widowControl/>
      <w:jc w:val="left"/>
    </w:pPr>
    <w:rPr>
      <w:rFonts w:cs="宋体"/>
      <w:kern w:val="0"/>
      <w:sz w:val="20"/>
      <w:szCs w:val="20"/>
    </w:rPr>
  </w:style>
  <w:style w:type="character" w:customStyle="1" w:styleId="264">
    <w:name w:val="正文文本 2 字符"/>
    <w:link w:val="62"/>
    <w:autoRedefine/>
    <w:qFormat/>
    <w:uiPriority w:val="0"/>
    <w:rPr>
      <w:bCs/>
      <w:sz w:val="28"/>
    </w:rPr>
  </w:style>
  <w:style w:type="character" w:customStyle="1" w:styleId="265">
    <w:name w:val="正文修改 Char"/>
    <w:link w:val="266"/>
    <w:autoRedefine/>
    <w:qFormat/>
    <w:uiPriority w:val="0"/>
    <w:rPr>
      <w:rFonts w:cs="宋体"/>
      <w:sz w:val="24"/>
      <w:szCs w:val="24"/>
    </w:rPr>
  </w:style>
  <w:style w:type="paragraph" w:customStyle="1" w:styleId="266">
    <w:name w:val="正文修改"/>
    <w:basedOn w:val="1"/>
    <w:link w:val="265"/>
    <w:autoRedefine/>
    <w:qFormat/>
    <w:uiPriority w:val="0"/>
    <w:pPr>
      <w:widowControl/>
      <w:ind w:firstLine="480" w:firstLineChars="200"/>
      <w:jc w:val="left"/>
    </w:pPr>
    <w:rPr>
      <w:rFonts w:cs="宋体"/>
      <w:kern w:val="0"/>
      <w:sz w:val="20"/>
      <w:szCs w:val="20"/>
    </w:rPr>
  </w:style>
  <w:style w:type="character" w:customStyle="1" w:styleId="267">
    <w:name w:val="hb3 Char Char"/>
    <w:autoRedefine/>
    <w:qFormat/>
    <w:uiPriority w:val="0"/>
    <w:rPr>
      <w:rFonts w:ascii="宋体" w:hAnsi="宋体" w:eastAsia="宋体"/>
      <w:b/>
      <w:bCs/>
      <w:sz w:val="24"/>
      <w:szCs w:val="32"/>
      <w:lang w:val="en-US" w:eastAsia="zh-CN" w:bidi="ar-SA"/>
    </w:rPr>
  </w:style>
  <w:style w:type="character" w:customStyle="1" w:styleId="268">
    <w:name w:val="zhengwen1"/>
    <w:autoRedefine/>
    <w:qFormat/>
    <w:uiPriority w:val="0"/>
    <w:rPr>
      <w:sz w:val="20"/>
      <w:szCs w:val="20"/>
    </w:rPr>
  </w:style>
  <w:style w:type="character" w:customStyle="1" w:styleId="269">
    <w:name w:val="样式 标准文本 首行缩进:2 字符 行距1.5倍 + 首行缩进:  2 字符1 Char"/>
    <w:autoRedefine/>
    <w:qFormat/>
    <w:uiPriority w:val="0"/>
  </w:style>
  <w:style w:type="character" w:customStyle="1" w:styleId="270">
    <w:name w:val="标题样式2 Char"/>
    <w:autoRedefine/>
    <w:qFormat/>
    <w:uiPriority w:val="0"/>
    <w:rPr>
      <w:rFonts w:ascii="黑体" w:hAnsi="Arial" w:eastAsia="黑体"/>
      <w:b/>
      <w:bCs/>
      <w:kern w:val="2"/>
      <w:sz w:val="28"/>
      <w:szCs w:val="28"/>
      <w:lang w:val="en-US" w:eastAsia="zh-CN" w:bidi="ar-SA"/>
    </w:rPr>
  </w:style>
  <w:style w:type="character" w:customStyle="1" w:styleId="271">
    <w:name w:val="段 Char"/>
    <w:link w:val="272"/>
    <w:autoRedefine/>
    <w:qFormat/>
    <w:uiPriority w:val="0"/>
    <w:rPr>
      <w:rFonts w:ascii="宋体"/>
    </w:rPr>
  </w:style>
  <w:style w:type="paragraph" w:customStyle="1" w:styleId="272">
    <w:name w:val="段"/>
    <w:link w:val="271"/>
    <w:autoRedefine/>
    <w:qFormat/>
    <w:uiPriority w:val="0"/>
    <w:pPr>
      <w:ind w:firstLine="200" w:firstLineChars="200"/>
      <w:jc w:val="both"/>
    </w:pPr>
    <w:rPr>
      <w:rFonts w:ascii="宋体" w:hAnsi="Times New Roman" w:eastAsia="宋体" w:cs="宋体"/>
      <w:sz w:val="24"/>
      <w:szCs w:val="24"/>
      <w:lang w:val="en-US" w:eastAsia="zh-CN" w:bidi="ar-SA"/>
    </w:rPr>
  </w:style>
  <w:style w:type="character" w:customStyle="1" w:styleId="273">
    <w:name w:val="纯文本2"/>
    <w:autoRedefine/>
    <w:qFormat/>
    <w:uiPriority w:val="0"/>
    <w:rPr>
      <w:rFonts w:ascii="宋体" w:hAnsi="Courier New" w:eastAsia="宋体" w:cs="Courier New"/>
      <w:kern w:val="2"/>
      <w:sz w:val="21"/>
      <w:szCs w:val="21"/>
      <w:lang w:val="en-US" w:eastAsia="zh-CN" w:bidi="ar-SA"/>
    </w:rPr>
  </w:style>
  <w:style w:type="character" w:customStyle="1" w:styleId="274">
    <w:name w:val="样式11"/>
    <w:autoRedefine/>
    <w:qFormat/>
    <w:uiPriority w:val="0"/>
    <w:rPr>
      <w:sz w:val="24"/>
      <w:szCs w:val="24"/>
    </w:rPr>
  </w:style>
  <w:style w:type="character" w:customStyle="1" w:styleId="275">
    <w:name w:val="正文文本 3 Char1"/>
    <w:autoRedefine/>
    <w:semiHidden/>
    <w:qFormat/>
    <w:uiPriority w:val="99"/>
    <w:rPr>
      <w:sz w:val="16"/>
      <w:szCs w:val="16"/>
    </w:rPr>
  </w:style>
  <w:style w:type="character" w:customStyle="1" w:styleId="276">
    <w:name w:val="注释标题 字符"/>
    <w:link w:val="18"/>
    <w:autoRedefine/>
    <w:qFormat/>
    <w:uiPriority w:val="0"/>
  </w:style>
  <w:style w:type="character" w:customStyle="1" w:styleId="277">
    <w:name w:val="正文文本 Char3"/>
    <w:autoRedefine/>
    <w:qFormat/>
    <w:uiPriority w:val="0"/>
    <w:rPr>
      <w:b/>
      <w:kern w:val="2"/>
      <w:sz w:val="28"/>
    </w:rPr>
  </w:style>
  <w:style w:type="character" w:customStyle="1" w:styleId="278">
    <w:name w:val="正文首行缩进 Char1"/>
    <w:autoRedefine/>
    <w:qFormat/>
    <w:uiPriority w:val="99"/>
    <w:rPr>
      <w:kern w:val="2"/>
      <w:sz w:val="21"/>
    </w:rPr>
  </w:style>
  <w:style w:type="character" w:customStyle="1" w:styleId="279">
    <w:name w:val="批注主题 Char1"/>
    <w:autoRedefine/>
    <w:qFormat/>
    <w:uiPriority w:val="0"/>
    <w:rPr>
      <w:b/>
      <w:bCs/>
    </w:rPr>
  </w:style>
  <w:style w:type="character" w:customStyle="1" w:styleId="280">
    <w:name w:val="日期 字符"/>
    <w:link w:val="43"/>
    <w:autoRedefine/>
    <w:qFormat/>
    <w:uiPriority w:val="0"/>
    <w:rPr>
      <w:sz w:val="28"/>
    </w:rPr>
  </w:style>
  <w:style w:type="character" w:customStyle="1" w:styleId="281">
    <w:name w:val="批注框文本 Char1"/>
    <w:autoRedefine/>
    <w:semiHidden/>
    <w:qFormat/>
    <w:uiPriority w:val="99"/>
    <w:rPr>
      <w:sz w:val="18"/>
      <w:szCs w:val="18"/>
    </w:rPr>
  </w:style>
  <w:style w:type="character" w:customStyle="1" w:styleId="282">
    <w:name w:val="HTML 预设格式 Char1"/>
    <w:autoRedefine/>
    <w:semiHidden/>
    <w:qFormat/>
    <w:uiPriority w:val="99"/>
    <w:rPr>
      <w:rFonts w:ascii="Courier New" w:hAnsi="Courier New" w:cs="Courier New"/>
      <w:sz w:val="20"/>
      <w:szCs w:val="20"/>
    </w:rPr>
  </w:style>
  <w:style w:type="character" w:customStyle="1" w:styleId="283">
    <w:name w:val="样式 样式 样式 宋体 首行缩进:  1.06 厘米 + 首行缩进:  2 字符 + 首行缩进:  2 字符 Char"/>
    <w:link w:val="284"/>
    <w:autoRedefine/>
    <w:qFormat/>
    <w:uiPriority w:val="0"/>
    <w:rPr>
      <w:sz w:val="24"/>
      <w:szCs w:val="24"/>
    </w:rPr>
  </w:style>
  <w:style w:type="paragraph" w:customStyle="1" w:styleId="284">
    <w:name w:val="样式 样式 样式 宋体 首行缩进:  1.06 厘米 + 首行缩进:  2 字符 + 首行缩进:  2 字符"/>
    <w:basedOn w:val="1"/>
    <w:link w:val="283"/>
    <w:autoRedefine/>
    <w:qFormat/>
    <w:uiPriority w:val="0"/>
    <w:pPr>
      <w:widowControl/>
      <w:ind w:firstLine="480" w:firstLineChars="200"/>
      <w:jc w:val="left"/>
    </w:pPr>
    <w:rPr>
      <w:rFonts w:cs="宋体"/>
      <w:kern w:val="0"/>
      <w:sz w:val="20"/>
      <w:szCs w:val="20"/>
    </w:rPr>
  </w:style>
  <w:style w:type="character" w:customStyle="1" w:styleId="285">
    <w:name w:val="正文AAA Char"/>
    <w:link w:val="286"/>
    <w:autoRedefine/>
    <w:qFormat/>
    <w:uiPriority w:val="0"/>
    <w:rPr>
      <w:rFonts w:ascii="宋体" w:hAnsi="宋体" w:cs="宋体"/>
      <w:sz w:val="24"/>
    </w:rPr>
  </w:style>
  <w:style w:type="paragraph" w:customStyle="1" w:styleId="286">
    <w:name w:val="正文AAA"/>
    <w:basedOn w:val="1"/>
    <w:link w:val="285"/>
    <w:autoRedefine/>
    <w:qFormat/>
    <w:uiPriority w:val="0"/>
    <w:pPr>
      <w:widowControl/>
      <w:spacing w:line="500" w:lineRule="exact"/>
      <w:ind w:firstLine="480" w:firstLineChars="200"/>
      <w:jc w:val="left"/>
    </w:pPr>
    <w:rPr>
      <w:rFonts w:ascii="宋体" w:hAnsi="宋体" w:cs="宋体"/>
      <w:kern w:val="0"/>
      <w:sz w:val="20"/>
      <w:szCs w:val="20"/>
    </w:rPr>
  </w:style>
  <w:style w:type="character" w:customStyle="1" w:styleId="287">
    <w:name w:val="样式 样式 样式 正文文本 + 首行缩进:  2 字符 + 宋体 首行缩进:  2 字符 + 宋体 黑色 Char"/>
    <w:link w:val="288"/>
    <w:autoRedefine/>
    <w:qFormat/>
    <w:uiPriority w:val="0"/>
    <w:rPr>
      <w:rFonts w:cs="宋体"/>
      <w:color w:val="000000"/>
      <w:sz w:val="24"/>
      <w:szCs w:val="24"/>
    </w:rPr>
  </w:style>
  <w:style w:type="paragraph" w:customStyle="1" w:styleId="288">
    <w:name w:val="样式 样式 样式 正文文本 + 首行缩进:  2 字符 + 宋体 首行缩进:  2 字符 + 宋体 黑色"/>
    <w:basedOn w:val="1"/>
    <w:link w:val="287"/>
    <w:autoRedefine/>
    <w:qFormat/>
    <w:uiPriority w:val="0"/>
    <w:pPr>
      <w:widowControl/>
      <w:adjustRightInd w:val="0"/>
      <w:snapToGrid w:val="0"/>
      <w:spacing w:before="120" w:line="300" w:lineRule="auto"/>
      <w:ind w:firstLine="480" w:firstLineChars="200"/>
      <w:jc w:val="left"/>
      <w:textAlignment w:val="baseline"/>
    </w:pPr>
    <w:rPr>
      <w:rFonts w:cs="宋体"/>
      <w:color w:val="000000"/>
      <w:kern w:val="0"/>
      <w:sz w:val="20"/>
      <w:szCs w:val="20"/>
    </w:rPr>
  </w:style>
  <w:style w:type="character" w:customStyle="1" w:styleId="289">
    <w:name w:val="正文－1.2倍行距－段后6磅 Char"/>
    <w:link w:val="290"/>
    <w:autoRedefine/>
    <w:qFormat/>
    <w:uiPriority w:val="0"/>
    <w:rPr>
      <w:rFonts w:ascii="Calibri" w:hAnsi="Calibri"/>
      <w:sz w:val="24"/>
      <w:szCs w:val="21"/>
    </w:rPr>
  </w:style>
  <w:style w:type="paragraph" w:customStyle="1" w:styleId="290">
    <w:name w:val="正文－1.2倍行距－段后6磅"/>
    <w:basedOn w:val="1"/>
    <w:link w:val="289"/>
    <w:autoRedefine/>
    <w:qFormat/>
    <w:uiPriority w:val="0"/>
    <w:pPr>
      <w:widowControl/>
      <w:spacing w:after="120" w:line="400" w:lineRule="exact"/>
      <w:ind w:firstLine="200" w:firstLineChars="200"/>
      <w:jc w:val="left"/>
    </w:pPr>
    <w:rPr>
      <w:rFonts w:ascii="Calibri" w:hAnsi="Calibri" w:cs="宋体"/>
      <w:kern w:val="0"/>
      <w:sz w:val="20"/>
    </w:rPr>
  </w:style>
  <w:style w:type="character" w:customStyle="1" w:styleId="291">
    <w:name w:val="副标题 字符"/>
    <w:link w:val="52"/>
    <w:autoRedefine/>
    <w:qFormat/>
    <w:uiPriority w:val="0"/>
    <w:rPr>
      <w:rFonts w:ascii="宋体" w:hAnsi="宋体" w:eastAsia="新宋体"/>
      <w:b/>
      <w:bCs/>
      <w:kern w:val="28"/>
      <w:sz w:val="28"/>
      <w:szCs w:val="32"/>
    </w:rPr>
  </w:style>
  <w:style w:type="character" w:customStyle="1" w:styleId="292">
    <w:name w:val="表内格式 Char"/>
    <w:link w:val="293"/>
    <w:autoRedefine/>
    <w:qFormat/>
    <w:uiPriority w:val="0"/>
    <w:rPr>
      <w:rFonts w:eastAsia="仿宋_GB2312"/>
    </w:rPr>
  </w:style>
  <w:style w:type="paragraph" w:customStyle="1" w:styleId="293">
    <w:name w:val="表内格式"/>
    <w:basedOn w:val="1"/>
    <w:link w:val="292"/>
    <w:autoRedefine/>
    <w:qFormat/>
    <w:uiPriority w:val="0"/>
    <w:pPr>
      <w:keepLines/>
      <w:widowControl/>
      <w:jc w:val="center"/>
    </w:pPr>
    <w:rPr>
      <w:rFonts w:eastAsia="仿宋_GB2312" w:cs="宋体"/>
      <w:kern w:val="0"/>
      <w:sz w:val="20"/>
      <w:szCs w:val="20"/>
    </w:rPr>
  </w:style>
  <w:style w:type="character" w:customStyle="1" w:styleId="294">
    <w:name w:val="脚注文本 字符"/>
    <w:link w:val="55"/>
    <w:autoRedefine/>
    <w:qFormat/>
    <w:uiPriority w:val="0"/>
    <w:rPr>
      <w:sz w:val="18"/>
      <w:szCs w:val="18"/>
    </w:rPr>
  </w:style>
  <w:style w:type="character" w:customStyle="1" w:styleId="295">
    <w:name w:val="书籍标题1"/>
    <w:autoRedefine/>
    <w:qFormat/>
    <w:uiPriority w:val="0"/>
    <w:rPr>
      <w:b/>
      <w:bCs/>
      <w:smallCaps/>
      <w:spacing w:val="5"/>
    </w:rPr>
  </w:style>
  <w:style w:type="character" w:customStyle="1" w:styleId="296">
    <w:name w:val="表格标题新 Char"/>
    <w:link w:val="297"/>
    <w:autoRedefine/>
    <w:qFormat/>
    <w:uiPriority w:val="0"/>
    <w:rPr>
      <w:rFonts w:ascii="仿宋_GB2312" w:hAnsi="宋体" w:eastAsia="黑体" w:cs="宋体"/>
      <w:b/>
      <w:sz w:val="24"/>
    </w:rPr>
  </w:style>
  <w:style w:type="paragraph" w:customStyle="1" w:styleId="297">
    <w:name w:val="表格标题新"/>
    <w:basedOn w:val="1"/>
    <w:link w:val="296"/>
    <w:autoRedefine/>
    <w:qFormat/>
    <w:uiPriority w:val="0"/>
    <w:pPr>
      <w:widowControl/>
      <w:tabs>
        <w:tab w:val="left" w:pos="0"/>
      </w:tabs>
      <w:snapToGrid w:val="0"/>
      <w:spacing w:beforeLines="50"/>
      <w:ind w:firstLine="562"/>
      <w:jc w:val="center"/>
    </w:pPr>
    <w:rPr>
      <w:rFonts w:ascii="仿宋_GB2312" w:hAnsi="宋体" w:eastAsia="黑体" w:cs="宋体"/>
      <w:b/>
      <w:kern w:val="0"/>
      <w:sz w:val="20"/>
      <w:szCs w:val="20"/>
    </w:rPr>
  </w:style>
  <w:style w:type="character" w:customStyle="1" w:styleId="298">
    <w:name w:val="t_tag"/>
    <w:autoRedefine/>
    <w:qFormat/>
    <w:uiPriority w:val="0"/>
  </w:style>
  <w:style w:type="character" w:customStyle="1" w:styleId="299">
    <w:name w:val="样式 四号"/>
    <w:autoRedefine/>
    <w:semiHidden/>
    <w:qFormat/>
    <w:uiPriority w:val="0"/>
    <w:rPr>
      <w:sz w:val="24"/>
    </w:rPr>
  </w:style>
  <w:style w:type="character" w:customStyle="1" w:styleId="300">
    <w:name w:val="正文1 Char1"/>
    <w:autoRedefine/>
    <w:qFormat/>
    <w:uiPriority w:val="0"/>
    <w:rPr>
      <w:rFonts w:ascii="Times New Roman" w:hAnsi="Times New Roman" w:eastAsia="宋体" w:cs="Times New Roman"/>
      <w:bCs/>
      <w:kern w:val="0"/>
      <w:sz w:val="24"/>
      <w:szCs w:val="18"/>
    </w:rPr>
  </w:style>
  <w:style w:type="character" w:customStyle="1" w:styleId="301">
    <w:name w:val="h31"/>
    <w:autoRedefine/>
    <w:qFormat/>
    <w:uiPriority w:val="0"/>
    <w:rPr>
      <w:sz w:val="21"/>
      <w:szCs w:val="21"/>
    </w:rPr>
  </w:style>
  <w:style w:type="character" w:customStyle="1" w:styleId="302">
    <w:name w:val="书籍标题2"/>
    <w:autoRedefine/>
    <w:qFormat/>
    <w:uiPriority w:val="0"/>
    <w:rPr>
      <w:b/>
      <w:bCs/>
      <w:smallCaps/>
      <w:spacing w:val="5"/>
    </w:rPr>
  </w:style>
  <w:style w:type="character" w:customStyle="1" w:styleId="303">
    <w:name w:val="hhcwt表格内文字 Char"/>
    <w:link w:val="304"/>
    <w:autoRedefine/>
    <w:qFormat/>
    <w:uiPriority w:val="0"/>
    <w:rPr>
      <w:rFonts w:eastAsia="仿宋_GB2312" w:cs="宋体"/>
      <w:szCs w:val="21"/>
    </w:rPr>
  </w:style>
  <w:style w:type="paragraph" w:customStyle="1" w:styleId="304">
    <w:name w:val="hhcwt表格内文字"/>
    <w:basedOn w:val="1"/>
    <w:link w:val="303"/>
    <w:autoRedefine/>
    <w:qFormat/>
    <w:uiPriority w:val="0"/>
    <w:pPr>
      <w:widowControl/>
      <w:jc w:val="center"/>
    </w:pPr>
    <w:rPr>
      <w:rFonts w:eastAsia="仿宋_GB2312" w:cs="宋体"/>
      <w:kern w:val="0"/>
      <w:sz w:val="20"/>
    </w:rPr>
  </w:style>
  <w:style w:type="character" w:customStyle="1" w:styleId="305">
    <w:name w:val="字体 Char"/>
    <w:link w:val="306"/>
    <w:autoRedefine/>
    <w:qFormat/>
    <w:uiPriority w:val="0"/>
  </w:style>
  <w:style w:type="paragraph" w:customStyle="1" w:styleId="306">
    <w:name w:val="字体"/>
    <w:basedOn w:val="1"/>
    <w:link w:val="305"/>
    <w:autoRedefine/>
    <w:qFormat/>
    <w:uiPriority w:val="0"/>
    <w:pPr>
      <w:widowControl/>
      <w:jc w:val="left"/>
    </w:pPr>
    <w:rPr>
      <w:rFonts w:cs="宋体"/>
      <w:kern w:val="0"/>
      <w:sz w:val="20"/>
      <w:szCs w:val="20"/>
    </w:rPr>
  </w:style>
  <w:style w:type="character" w:customStyle="1" w:styleId="307">
    <w:name w:val="正文内容 Char"/>
    <w:link w:val="308"/>
    <w:autoRedefine/>
    <w:qFormat/>
    <w:uiPriority w:val="0"/>
    <w:rPr>
      <w:rFonts w:hAnsi="Calibri"/>
      <w:bCs/>
      <w:color w:val="000000"/>
      <w:sz w:val="24"/>
      <w:szCs w:val="24"/>
    </w:rPr>
  </w:style>
  <w:style w:type="paragraph" w:customStyle="1" w:styleId="308">
    <w:name w:val="正文内容"/>
    <w:basedOn w:val="1"/>
    <w:link w:val="307"/>
    <w:autoRedefine/>
    <w:qFormat/>
    <w:uiPriority w:val="0"/>
    <w:pPr>
      <w:widowControl/>
      <w:overflowPunct w:val="0"/>
      <w:topLinePunct/>
      <w:ind w:firstLine="480" w:firstLineChars="200"/>
      <w:jc w:val="left"/>
    </w:pPr>
    <w:rPr>
      <w:rFonts w:hAnsi="Calibri" w:cs="宋体"/>
      <w:bCs/>
      <w:color w:val="000000"/>
      <w:kern w:val="0"/>
      <w:sz w:val="20"/>
      <w:szCs w:val="20"/>
    </w:rPr>
  </w:style>
  <w:style w:type="character" w:customStyle="1" w:styleId="309">
    <w:name w:val="Char Char11"/>
    <w:autoRedefine/>
    <w:qFormat/>
    <w:uiPriority w:val="0"/>
    <w:rPr>
      <w:rFonts w:ascii="Times New Roman" w:hAnsi="Times New Roman" w:eastAsia="宋体" w:cs="Times New Roman"/>
      <w:b/>
      <w:sz w:val="28"/>
      <w:szCs w:val="20"/>
    </w:rPr>
  </w:style>
  <w:style w:type="character" w:customStyle="1" w:styleId="310">
    <w:name w:val="style51"/>
    <w:autoRedefine/>
    <w:qFormat/>
    <w:uiPriority w:val="0"/>
    <w:rPr>
      <w:sz w:val="23"/>
      <w:szCs w:val="23"/>
    </w:rPr>
  </w:style>
  <w:style w:type="character" w:customStyle="1" w:styleId="311">
    <w:name w:val="标题 字符1"/>
    <w:autoRedefine/>
    <w:qFormat/>
    <w:uiPriority w:val="10"/>
    <w:rPr>
      <w:rFonts w:ascii="等线 Light" w:hAnsi="等线 Light" w:eastAsia="等线 Light" w:cs="Times New Roman"/>
      <w:b/>
      <w:bCs/>
      <w:kern w:val="2"/>
      <w:sz w:val="32"/>
      <w:szCs w:val="32"/>
    </w:rPr>
  </w:style>
  <w:style w:type="character" w:customStyle="1" w:styleId="312">
    <w:name w:val="标题 Char1"/>
    <w:autoRedefine/>
    <w:qFormat/>
    <w:uiPriority w:val="0"/>
    <w:rPr>
      <w:rFonts w:ascii="Calibri Light" w:hAnsi="Calibri Light" w:cs="Times New Roman"/>
      <w:b/>
      <w:bCs/>
      <w:kern w:val="2"/>
      <w:sz w:val="32"/>
      <w:szCs w:val="32"/>
    </w:rPr>
  </w:style>
  <w:style w:type="character" w:customStyle="1" w:styleId="313">
    <w:name w:val="正文文本首行缩进 字符1"/>
    <w:autoRedefine/>
    <w:semiHidden/>
    <w:qFormat/>
    <w:uiPriority w:val="99"/>
    <w:rPr>
      <w:rFonts w:ascii="Times New Roman" w:hAnsi="Times New Roman" w:eastAsia="宋体" w:cs="Times New Roman"/>
      <w:kern w:val="2"/>
      <w:sz w:val="24"/>
      <w:szCs w:val="21"/>
    </w:rPr>
  </w:style>
  <w:style w:type="character" w:customStyle="1" w:styleId="314">
    <w:name w:val="正文首行缩进 Char2"/>
    <w:autoRedefine/>
    <w:qFormat/>
    <w:uiPriority w:val="0"/>
    <w:rPr>
      <w:kern w:val="2"/>
      <w:sz w:val="21"/>
      <w:szCs w:val="24"/>
    </w:rPr>
  </w:style>
  <w:style w:type="character" w:customStyle="1" w:styleId="315">
    <w:name w:val="正文文本 3 字符1"/>
    <w:autoRedefine/>
    <w:semiHidden/>
    <w:qFormat/>
    <w:uiPriority w:val="99"/>
    <w:rPr>
      <w:kern w:val="2"/>
      <w:sz w:val="16"/>
      <w:szCs w:val="16"/>
    </w:rPr>
  </w:style>
  <w:style w:type="character" w:customStyle="1" w:styleId="316">
    <w:name w:val="正文文本 3 Char2"/>
    <w:autoRedefine/>
    <w:qFormat/>
    <w:uiPriority w:val="0"/>
    <w:rPr>
      <w:kern w:val="2"/>
      <w:sz w:val="16"/>
      <w:szCs w:val="16"/>
    </w:rPr>
  </w:style>
  <w:style w:type="character" w:customStyle="1" w:styleId="317">
    <w:name w:val="注释标题 字符1"/>
    <w:autoRedefine/>
    <w:semiHidden/>
    <w:qFormat/>
    <w:uiPriority w:val="99"/>
    <w:rPr>
      <w:kern w:val="2"/>
      <w:sz w:val="21"/>
      <w:szCs w:val="24"/>
    </w:rPr>
  </w:style>
  <w:style w:type="character" w:customStyle="1" w:styleId="318">
    <w:name w:val="注释标题 Char1"/>
    <w:autoRedefine/>
    <w:qFormat/>
    <w:uiPriority w:val="0"/>
    <w:rPr>
      <w:kern w:val="2"/>
      <w:sz w:val="21"/>
      <w:szCs w:val="24"/>
    </w:rPr>
  </w:style>
  <w:style w:type="character" w:customStyle="1" w:styleId="319">
    <w:name w:val="文档结构图 字符1"/>
    <w:autoRedefine/>
    <w:semiHidden/>
    <w:qFormat/>
    <w:uiPriority w:val="99"/>
    <w:rPr>
      <w:rFonts w:ascii="Microsoft YaHei UI" w:eastAsia="Microsoft YaHei UI"/>
      <w:kern w:val="2"/>
      <w:sz w:val="18"/>
      <w:szCs w:val="18"/>
    </w:rPr>
  </w:style>
  <w:style w:type="character" w:customStyle="1" w:styleId="320">
    <w:name w:val="文档结构图 Char1"/>
    <w:autoRedefine/>
    <w:qFormat/>
    <w:uiPriority w:val="0"/>
    <w:rPr>
      <w:rFonts w:ascii="Microsoft YaHei UI" w:eastAsia="Microsoft YaHei UI"/>
      <w:kern w:val="2"/>
      <w:sz w:val="18"/>
      <w:szCs w:val="18"/>
    </w:rPr>
  </w:style>
  <w:style w:type="character" w:customStyle="1" w:styleId="321">
    <w:name w:val="正文文本首行缩进 2 字符1"/>
    <w:autoRedefine/>
    <w:semiHidden/>
    <w:qFormat/>
    <w:uiPriority w:val="99"/>
    <w:rPr>
      <w:rFonts w:ascii="Times New Roman" w:hAnsi="Times New Roman" w:eastAsia="宋体" w:cs="Times New Roman"/>
      <w:kern w:val="2"/>
      <w:sz w:val="21"/>
      <w:szCs w:val="24"/>
    </w:rPr>
  </w:style>
  <w:style w:type="character" w:customStyle="1" w:styleId="322">
    <w:name w:val="正文首行缩进 2 Char2"/>
    <w:autoRedefine/>
    <w:qFormat/>
    <w:uiPriority w:val="0"/>
    <w:rPr>
      <w:rFonts w:ascii="Times New Roman" w:hAnsi="Times New Roman" w:eastAsia="宋体" w:cs="Times New Roman"/>
      <w:kern w:val="2"/>
      <w:sz w:val="21"/>
      <w:szCs w:val="24"/>
    </w:rPr>
  </w:style>
  <w:style w:type="character" w:customStyle="1" w:styleId="323">
    <w:name w:val="日期 字符1"/>
    <w:autoRedefine/>
    <w:qFormat/>
    <w:uiPriority w:val="99"/>
    <w:rPr>
      <w:kern w:val="2"/>
      <w:sz w:val="21"/>
      <w:szCs w:val="24"/>
    </w:rPr>
  </w:style>
  <w:style w:type="character" w:customStyle="1" w:styleId="324">
    <w:name w:val="日期 Char1"/>
    <w:autoRedefine/>
    <w:qFormat/>
    <w:uiPriority w:val="0"/>
    <w:rPr>
      <w:kern w:val="2"/>
      <w:sz w:val="21"/>
      <w:szCs w:val="24"/>
    </w:rPr>
  </w:style>
  <w:style w:type="character" w:customStyle="1" w:styleId="325">
    <w:name w:val="副标题 字符1"/>
    <w:autoRedefine/>
    <w:qFormat/>
    <w:uiPriority w:val="11"/>
    <w:rPr>
      <w:rFonts w:ascii="等线" w:hAnsi="等线" w:eastAsia="等线" w:cs="Times New Roman"/>
      <w:b/>
      <w:bCs/>
      <w:kern w:val="28"/>
      <w:sz w:val="32"/>
      <w:szCs w:val="32"/>
    </w:rPr>
  </w:style>
  <w:style w:type="character" w:customStyle="1" w:styleId="326">
    <w:name w:val="副标题 Char1"/>
    <w:autoRedefine/>
    <w:qFormat/>
    <w:uiPriority w:val="0"/>
    <w:rPr>
      <w:rFonts w:ascii="Calibri Light" w:hAnsi="Calibri Light" w:cs="Times New Roman"/>
      <w:b/>
      <w:bCs/>
      <w:kern w:val="28"/>
      <w:sz w:val="32"/>
      <w:szCs w:val="32"/>
    </w:rPr>
  </w:style>
  <w:style w:type="character" w:customStyle="1" w:styleId="327">
    <w:name w:val="脚注文本 字符1"/>
    <w:autoRedefine/>
    <w:semiHidden/>
    <w:qFormat/>
    <w:uiPriority w:val="99"/>
    <w:rPr>
      <w:kern w:val="2"/>
      <w:sz w:val="18"/>
      <w:szCs w:val="18"/>
    </w:rPr>
  </w:style>
  <w:style w:type="character" w:customStyle="1" w:styleId="328">
    <w:name w:val="脚注文本 Char1"/>
    <w:autoRedefine/>
    <w:qFormat/>
    <w:uiPriority w:val="0"/>
    <w:rPr>
      <w:kern w:val="2"/>
      <w:sz w:val="18"/>
      <w:szCs w:val="18"/>
    </w:rPr>
  </w:style>
  <w:style w:type="character" w:customStyle="1" w:styleId="329">
    <w:name w:val="HTML 预设格式 字符1"/>
    <w:autoRedefine/>
    <w:semiHidden/>
    <w:qFormat/>
    <w:uiPriority w:val="99"/>
    <w:rPr>
      <w:rFonts w:ascii="Courier New" w:hAnsi="Courier New" w:cs="Courier New"/>
      <w:kern w:val="2"/>
    </w:rPr>
  </w:style>
  <w:style w:type="character" w:customStyle="1" w:styleId="330">
    <w:name w:val="HTML 预设格式 Char2"/>
    <w:autoRedefine/>
    <w:qFormat/>
    <w:uiPriority w:val="0"/>
    <w:rPr>
      <w:rFonts w:ascii="Courier New" w:hAnsi="Courier New" w:cs="Courier New"/>
      <w:kern w:val="2"/>
    </w:rPr>
  </w:style>
  <w:style w:type="character" w:customStyle="1" w:styleId="331">
    <w:name w:val="正文文本 2 字符1"/>
    <w:autoRedefine/>
    <w:semiHidden/>
    <w:qFormat/>
    <w:uiPriority w:val="99"/>
    <w:rPr>
      <w:kern w:val="2"/>
      <w:sz w:val="21"/>
      <w:szCs w:val="24"/>
    </w:rPr>
  </w:style>
  <w:style w:type="character" w:customStyle="1" w:styleId="332">
    <w:name w:val="正文文本 2 Char2"/>
    <w:autoRedefine/>
    <w:qFormat/>
    <w:uiPriority w:val="0"/>
    <w:rPr>
      <w:kern w:val="2"/>
      <w:sz w:val="21"/>
      <w:szCs w:val="24"/>
    </w:rPr>
  </w:style>
  <w:style w:type="character" w:customStyle="1" w:styleId="333">
    <w:name w:val="样式 (中文) 仿宋_GB2312 Char Char"/>
    <w:autoRedefine/>
    <w:qFormat/>
    <w:uiPriority w:val="0"/>
    <w:rPr>
      <w:rFonts w:ascii="Times New Roman" w:hAnsi="Times New Roman" w:eastAsia="仿宋_GB2312" w:cs="Times New Roman"/>
      <w:snapToGrid/>
      <w:kern w:val="0"/>
      <w:sz w:val="24"/>
      <w:szCs w:val="20"/>
    </w:rPr>
  </w:style>
  <w:style w:type="character" w:customStyle="1" w:styleId="334">
    <w:name w:val="5 Char"/>
    <w:link w:val="335"/>
    <w:autoRedefine/>
    <w:qFormat/>
    <w:uiPriority w:val="0"/>
    <w:rPr>
      <w:kern w:val="2"/>
      <w:sz w:val="21"/>
      <w:szCs w:val="24"/>
    </w:rPr>
  </w:style>
  <w:style w:type="paragraph" w:customStyle="1" w:styleId="335">
    <w:name w:val="5"/>
    <w:link w:val="334"/>
    <w:autoRedefine/>
    <w:qFormat/>
    <w:uiPriority w:val="0"/>
    <w:pPr>
      <w:widowControl w:val="0"/>
      <w:jc w:val="both"/>
    </w:pPr>
    <w:rPr>
      <w:rFonts w:ascii="Times New Roman" w:hAnsi="Times New Roman" w:eastAsia="宋体" w:cs="宋体"/>
      <w:kern w:val="2"/>
      <w:sz w:val="21"/>
      <w:szCs w:val="24"/>
      <w:lang w:val="en-US" w:eastAsia="zh-CN" w:bidi="ar-SA"/>
    </w:rPr>
  </w:style>
  <w:style w:type="character" w:customStyle="1" w:styleId="336">
    <w:name w:val="dxj正文 Char"/>
    <w:link w:val="337"/>
    <w:autoRedefine/>
    <w:qFormat/>
    <w:uiPriority w:val="0"/>
    <w:rPr>
      <w:kern w:val="2"/>
      <w:sz w:val="24"/>
      <w:szCs w:val="24"/>
      <w:lang w:val="zh-CN" w:eastAsia="zh-CN"/>
    </w:rPr>
  </w:style>
  <w:style w:type="paragraph" w:customStyle="1" w:styleId="337">
    <w:name w:val="dxj正文"/>
    <w:basedOn w:val="1"/>
    <w:link w:val="336"/>
    <w:autoRedefine/>
    <w:qFormat/>
    <w:uiPriority w:val="0"/>
    <w:pPr>
      <w:widowControl/>
      <w:ind w:firstLine="200" w:firstLineChars="200"/>
      <w:jc w:val="left"/>
    </w:pPr>
    <w:rPr>
      <w:rFonts w:cs="宋体"/>
      <w:kern w:val="0"/>
      <w:sz w:val="20"/>
      <w:szCs w:val="20"/>
      <w:lang w:val="zh-CN"/>
    </w:rPr>
  </w:style>
  <w:style w:type="character" w:customStyle="1" w:styleId="338">
    <w:name w:val="正文缩进 Char1"/>
    <w:autoRedefine/>
    <w:qFormat/>
    <w:uiPriority w:val="0"/>
    <w:rPr>
      <w:rFonts w:eastAsia="宋体"/>
      <w:kern w:val="2"/>
      <w:sz w:val="21"/>
      <w:szCs w:val="24"/>
      <w:lang w:val="en-US" w:eastAsia="zh-CN" w:bidi="ar-SA"/>
    </w:rPr>
  </w:style>
  <w:style w:type="character" w:customStyle="1" w:styleId="339">
    <w:name w:val="标题 3 Char9"/>
    <w:autoRedefine/>
    <w:qFormat/>
    <w:uiPriority w:val="0"/>
    <w:rPr>
      <w:rFonts w:ascii="Calibri" w:hAnsi="Calibri" w:eastAsia="宋体"/>
      <w:b/>
      <w:kern w:val="2"/>
      <w:sz w:val="32"/>
    </w:rPr>
  </w:style>
  <w:style w:type="character" w:customStyle="1" w:styleId="340">
    <w:name w:val="表格备注 Char"/>
    <w:link w:val="341"/>
    <w:autoRedefine/>
    <w:qFormat/>
    <w:uiPriority w:val="0"/>
    <w:rPr>
      <w:sz w:val="16"/>
    </w:rPr>
  </w:style>
  <w:style w:type="paragraph" w:customStyle="1" w:styleId="341">
    <w:name w:val="表格备注"/>
    <w:basedOn w:val="1"/>
    <w:link w:val="340"/>
    <w:autoRedefine/>
    <w:qFormat/>
    <w:uiPriority w:val="0"/>
    <w:pPr>
      <w:widowControl/>
      <w:adjustRightInd w:val="0"/>
      <w:snapToGrid w:val="0"/>
      <w:ind w:firstLine="200" w:firstLineChars="200"/>
      <w:jc w:val="left"/>
    </w:pPr>
    <w:rPr>
      <w:rFonts w:cs="宋体"/>
      <w:kern w:val="0"/>
      <w:sz w:val="16"/>
      <w:szCs w:val="20"/>
    </w:rPr>
  </w:style>
  <w:style w:type="character" w:customStyle="1" w:styleId="342">
    <w:name w:val="彩色网格 - 强调文字颜色 1 Char"/>
    <w:link w:val="343"/>
    <w:autoRedefine/>
    <w:qFormat/>
    <w:uiPriority w:val="0"/>
    <w:rPr>
      <w:rFonts w:eastAsia="仿宋_GB2312"/>
    </w:rPr>
  </w:style>
  <w:style w:type="paragraph" w:customStyle="1" w:styleId="343">
    <w:name w:val="彩色网格 - 强调文字颜色 11"/>
    <w:basedOn w:val="341"/>
    <w:next w:val="1"/>
    <w:link w:val="342"/>
    <w:autoRedefine/>
    <w:qFormat/>
    <w:uiPriority w:val="0"/>
    <w:rPr>
      <w:rFonts w:eastAsia="仿宋_GB2312"/>
      <w:sz w:val="20"/>
    </w:rPr>
  </w:style>
  <w:style w:type="character" w:customStyle="1" w:styleId="344">
    <w:name w:val="图表内容 Char"/>
    <w:link w:val="345"/>
    <w:autoRedefine/>
    <w:qFormat/>
    <w:uiPriority w:val="0"/>
    <w:rPr>
      <w:kern w:val="21"/>
      <w:sz w:val="17"/>
    </w:rPr>
  </w:style>
  <w:style w:type="paragraph" w:customStyle="1" w:styleId="345">
    <w:name w:val="图表内容"/>
    <w:basedOn w:val="1"/>
    <w:link w:val="344"/>
    <w:autoRedefine/>
    <w:qFormat/>
    <w:uiPriority w:val="0"/>
    <w:pPr>
      <w:widowControl/>
      <w:adjustRightInd w:val="0"/>
      <w:jc w:val="left"/>
    </w:pPr>
    <w:rPr>
      <w:rFonts w:cs="宋体"/>
      <w:kern w:val="21"/>
      <w:sz w:val="17"/>
      <w:szCs w:val="20"/>
    </w:rPr>
  </w:style>
  <w:style w:type="character" w:customStyle="1" w:styleId="346">
    <w:name w:val="表体 Char"/>
    <w:link w:val="347"/>
    <w:autoRedefine/>
    <w:qFormat/>
    <w:uiPriority w:val="0"/>
    <w:rPr>
      <w:color w:val="000000"/>
      <w:kern w:val="24"/>
      <w:sz w:val="18"/>
    </w:rPr>
  </w:style>
  <w:style w:type="paragraph" w:customStyle="1" w:styleId="347">
    <w:name w:val="表体"/>
    <w:basedOn w:val="1"/>
    <w:link w:val="346"/>
    <w:autoRedefine/>
    <w:qFormat/>
    <w:uiPriority w:val="0"/>
    <w:pPr>
      <w:widowControl/>
      <w:overflowPunct w:val="0"/>
      <w:adjustRightInd w:val="0"/>
      <w:spacing w:line="300" w:lineRule="atLeast"/>
      <w:jc w:val="center"/>
      <w:textAlignment w:val="baseline"/>
    </w:pPr>
    <w:rPr>
      <w:rFonts w:cs="宋体"/>
      <w:color w:val="000000"/>
      <w:kern w:val="24"/>
      <w:sz w:val="18"/>
      <w:szCs w:val="20"/>
    </w:rPr>
  </w:style>
  <w:style w:type="character" w:customStyle="1" w:styleId="348">
    <w:name w:val="实例内容 Char"/>
    <w:link w:val="349"/>
    <w:autoRedefine/>
    <w:qFormat/>
    <w:uiPriority w:val="0"/>
    <w:rPr>
      <w:rFonts w:eastAsia="汉仪仿宋简"/>
    </w:rPr>
  </w:style>
  <w:style w:type="paragraph" w:customStyle="1" w:styleId="349">
    <w:name w:val="实例内容"/>
    <w:basedOn w:val="1"/>
    <w:link w:val="348"/>
    <w:autoRedefine/>
    <w:qFormat/>
    <w:uiPriority w:val="0"/>
    <w:pPr>
      <w:widowControl/>
      <w:pBdr>
        <w:left w:val="single" w:color="008000" w:sz="4" w:space="4"/>
        <w:bottom w:val="single" w:color="008000" w:sz="4" w:space="1"/>
        <w:right w:val="single" w:color="008000" w:sz="4" w:space="4"/>
      </w:pBdr>
      <w:adjustRightInd w:val="0"/>
      <w:ind w:left="113" w:firstLine="425"/>
      <w:jc w:val="left"/>
    </w:pPr>
    <w:rPr>
      <w:rFonts w:eastAsia="汉仪仿宋简" w:cs="宋体"/>
      <w:kern w:val="0"/>
      <w:sz w:val="20"/>
      <w:szCs w:val="20"/>
    </w:rPr>
  </w:style>
  <w:style w:type="character" w:customStyle="1" w:styleId="350">
    <w:name w:val="标题 1 Char2"/>
    <w:autoRedefine/>
    <w:qFormat/>
    <w:uiPriority w:val="0"/>
    <w:rPr>
      <w:rFonts w:ascii="Calibri" w:hAnsi="Calibri" w:eastAsia="宋体"/>
      <w:b/>
      <w:kern w:val="44"/>
      <w:sz w:val="44"/>
    </w:rPr>
  </w:style>
  <w:style w:type="character" w:customStyle="1" w:styleId="351">
    <w:name w:val="m"/>
    <w:basedOn w:val="76"/>
    <w:autoRedefine/>
    <w:qFormat/>
    <w:uiPriority w:val="0"/>
  </w:style>
  <w:style w:type="character" w:customStyle="1" w:styleId="352">
    <w:name w:val="公式说明 Char"/>
    <w:link w:val="353"/>
    <w:autoRedefine/>
    <w:qFormat/>
    <w:uiPriority w:val="0"/>
    <w:rPr>
      <w:kern w:val="22"/>
    </w:rPr>
  </w:style>
  <w:style w:type="paragraph" w:customStyle="1" w:styleId="353">
    <w:name w:val="公式说明"/>
    <w:basedOn w:val="1"/>
    <w:link w:val="352"/>
    <w:autoRedefine/>
    <w:qFormat/>
    <w:uiPriority w:val="0"/>
    <w:pPr>
      <w:widowControl/>
      <w:tabs>
        <w:tab w:val="left" w:pos="1890"/>
      </w:tabs>
      <w:topLinePunct/>
      <w:adjustRightInd w:val="0"/>
      <w:ind w:left="200" w:leftChars="200" w:firstLine="200" w:firstLineChars="200"/>
      <w:jc w:val="left"/>
    </w:pPr>
    <w:rPr>
      <w:rFonts w:cs="宋体"/>
      <w:kern w:val="22"/>
      <w:sz w:val="20"/>
      <w:szCs w:val="20"/>
    </w:rPr>
  </w:style>
  <w:style w:type="character" w:customStyle="1" w:styleId="354">
    <w:name w:val="表格内容 Char"/>
    <w:autoRedefine/>
    <w:qFormat/>
    <w:uiPriority w:val="0"/>
    <w:rPr>
      <w:rFonts w:ascii="Times New Roman" w:hAnsi="Times New Roman" w:eastAsia="宋体"/>
      <w:sz w:val="17"/>
    </w:rPr>
  </w:style>
  <w:style w:type="character" w:customStyle="1" w:styleId="355">
    <w:name w:val="公式 Char"/>
    <w:link w:val="356"/>
    <w:autoRedefine/>
    <w:qFormat/>
    <w:uiPriority w:val="0"/>
    <w:rPr>
      <w:rFonts w:eastAsia="黑体"/>
      <w:color w:val="000000"/>
      <w:kern w:val="22"/>
    </w:rPr>
  </w:style>
  <w:style w:type="paragraph" w:customStyle="1" w:styleId="356">
    <w:name w:val="公式"/>
    <w:basedOn w:val="1"/>
    <w:link w:val="355"/>
    <w:autoRedefine/>
    <w:qFormat/>
    <w:uiPriority w:val="0"/>
    <w:pPr>
      <w:widowControl/>
      <w:tabs>
        <w:tab w:val="center" w:pos="3360"/>
        <w:tab w:val="right" w:pos="7140"/>
      </w:tabs>
      <w:topLinePunct/>
      <w:adjustRightInd w:val="0"/>
      <w:jc w:val="left"/>
    </w:pPr>
    <w:rPr>
      <w:rFonts w:eastAsia="黑体" w:cs="宋体"/>
      <w:color w:val="000000"/>
      <w:kern w:val="22"/>
      <w:sz w:val="20"/>
      <w:szCs w:val="20"/>
    </w:rPr>
  </w:style>
  <w:style w:type="character" w:customStyle="1" w:styleId="357">
    <w:name w:val="批注引用1"/>
    <w:autoRedefine/>
    <w:qFormat/>
    <w:uiPriority w:val="0"/>
    <w:rPr>
      <w:sz w:val="21"/>
    </w:rPr>
  </w:style>
  <w:style w:type="character" w:customStyle="1" w:styleId="358">
    <w:name w:val="样式 正文文本 + Char"/>
    <w:autoRedefine/>
    <w:qFormat/>
    <w:uiPriority w:val="0"/>
    <w:rPr>
      <w:rFonts w:eastAsia="宋体"/>
      <w:sz w:val="21"/>
      <w:lang w:val="en-US" w:eastAsia="zh-CN"/>
    </w:rPr>
  </w:style>
  <w:style w:type="character" w:customStyle="1" w:styleId="359">
    <w:name w:val="占位符文本1"/>
    <w:autoRedefine/>
    <w:qFormat/>
    <w:uiPriority w:val="0"/>
    <w:rPr>
      <w:color w:val="808080"/>
    </w:rPr>
  </w:style>
  <w:style w:type="character" w:customStyle="1" w:styleId="360">
    <w:name w:val="图表说明 Char"/>
    <w:link w:val="361"/>
    <w:autoRedefine/>
    <w:qFormat/>
    <w:uiPriority w:val="0"/>
    <w:rPr>
      <w:rFonts w:ascii="Calibri" w:hAnsi="Calibri"/>
      <w:kern w:val="21"/>
      <w:sz w:val="16"/>
    </w:rPr>
  </w:style>
  <w:style w:type="paragraph" w:customStyle="1" w:styleId="361">
    <w:name w:val="图表说明"/>
    <w:basedOn w:val="1"/>
    <w:link w:val="360"/>
    <w:autoRedefine/>
    <w:qFormat/>
    <w:uiPriority w:val="0"/>
    <w:pPr>
      <w:widowControl/>
      <w:topLinePunct/>
      <w:adjustRightInd w:val="0"/>
      <w:spacing w:line="240" w:lineRule="exact"/>
      <w:jc w:val="left"/>
    </w:pPr>
    <w:rPr>
      <w:rFonts w:ascii="Calibri" w:hAnsi="Calibri" w:cs="宋体"/>
      <w:kern w:val="21"/>
      <w:sz w:val="16"/>
      <w:szCs w:val="20"/>
    </w:rPr>
  </w:style>
  <w:style w:type="character" w:customStyle="1" w:styleId="362">
    <w:name w:val="参考文献 Char"/>
    <w:link w:val="363"/>
    <w:autoRedefine/>
    <w:qFormat/>
    <w:uiPriority w:val="0"/>
    <w:rPr>
      <w:kern w:val="22"/>
      <w:sz w:val="18"/>
    </w:rPr>
  </w:style>
  <w:style w:type="paragraph" w:customStyle="1" w:styleId="363">
    <w:name w:val="参考文献"/>
    <w:basedOn w:val="1"/>
    <w:link w:val="362"/>
    <w:autoRedefine/>
    <w:qFormat/>
    <w:uiPriority w:val="0"/>
    <w:pPr>
      <w:widowControl/>
      <w:topLinePunct/>
      <w:adjustRightInd w:val="0"/>
      <w:spacing w:before="120" w:line="300" w:lineRule="exact"/>
      <w:ind w:firstLine="200" w:firstLineChars="200"/>
      <w:jc w:val="left"/>
    </w:pPr>
    <w:rPr>
      <w:rFonts w:cs="宋体"/>
      <w:kern w:val="22"/>
      <w:sz w:val="18"/>
      <w:szCs w:val="20"/>
    </w:rPr>
  </w:style>
  <w:style w:type="character" w:customStyle="1" w:styleId="364">
    <w:name w:val="_正文段落 Char"/>
    <w:link w:val="365"/>
    <w:autoRedefine/>
    <w:qFormat/>
    <w:uiPriority w:val="0"/>
    <w:rPr>
      <w:sz w:val="24"/>
    </w:rPr>
  </w:style>
  <w:style w:type="paragraph" w:customStyle="1" w:styleId="365">
    <w:name w:val="_正文段落"/>
    <w:basedOn w:val="1"/>
    <w:link w:val="364"/>
    <w:autoRedefine/>
    <w:qFormat/>
    <w:uiPriority w:val="0"/>
    <w:pPr>
      <w:widowControl/>
      <w:spacing w:before="46" w:beforeLines="15" w:after="93" w:afterLines="30"/>
      <w:ind w:firstLine="200" w:firstLineChars="200"/>
      <w:jc w:val="left"/>
    </w:pPr>
    <w:rPr>
      <w:rFonts w:cs="宋体"/>
      <w:kern w:val="0"/>
      <w:sz w:val="20"/>
      <w:szCs w:val="20"/>
    </w:rPr>
  </w:style>
  <w:style w:type="character" w:customStyle="1" w:styleId="366">
    <w:name w:val="页眉 Char1"/>
    <w:autoRedefine/>
    <w:qFormat/>
    <w:uiPriority w:val="0"/>
    <w:rPr>
      <w:sz w:val="18"/>
    </w:rPr>
  </w:style>
  <w:style w:type="character" w:customStyle="1" w:styleId="367">
    <w:name w:val="定义 Char"/>
    <w:link w:val="368"/>
    <w:autoRedefine/>
    <w:qFormat/>
    <w:uiPriority w:val="0"/>
    <w:rPr>
      <w:rFonts w:eastAsia="黑体"/>
      <w:sz w:val="28"/>
    </w:rPr>
  </w:style>
  <w:style w:type="paragraph" w:customStyle="1" w:styleId="368">
    <w:name w:val="定义"/>
    <w:basedOn w:val="1"/>
    <w:next w:val="1"/>
    <w:link w:val="367"/>
    <w:autoRedefine/>
    <w:qFormat/>
    <w:uiPriority w:val="0"/>
    <w:pPr>
      <w:widowControl/>
      <w:adjustRightInd w:val="0"/>
      <w:snapToGrid w:val="0"/>
      <w:spacing w:line="560" w:lineRule="exact"/>
      <w:ind w:firstLine="200" w:firstLineChars="200"/>
      <w:jc w:val="left"/>
    </w:pPr>
    <w:rPr>
      <w:rFonts w:eastAsia="黑体" w:cs="宋体"/>
      <w:kern w:val="0"/>
      <w:sz w:val="28"/>
      <w:szCs w:val="20"/>
    </w:rPr>
  </w:style>
  <w:style w:type="character" w:customStyle="1" w:styleId="369">
    <w:name w:val="标题 4 Char1"/>
    <w:autoRedefine/>
    <w:qFormat/>
    <w:uiPriority w:val="0"/>
    <w:rPr>
      <w:rFonts w:ascii="Cambria" w:hAnsi="Cambria" w:eastAsia="宋体"/>
      <w:b/>
      <w:kern w:val="2"/>
      <w:sz w:val="28"/>
    </w:rPr>
  </w:style>
  <w:style w:type="character" w:customStyle="1" w:styleId="370">
    <w:name w:val="附录 Char"/>
    <w:link w:val="371"/>
    <w:autoRedefine/>
    <w:qFormat/>
    <w:uiPriority w:val="0"/>
    <w:rPr>
      <w:rFonts w:ascii="黑体" w:eastAsia="黑体"/>
      <w:shd w:val="clear" w:color="FFFFFF" w:fill="FFFFFF"/>
    </w:rPr>
  </w:style>
  <w:style w:type="paragraph" w:customStyle="1" w:styleId="371">
    <w:name w:val="附录"/>
    <w:basedOn w:val="1"/>
    <w:link w:val="370"/>
    <w:autoRedefine/>
    <w:qFormat/>
    <w:uiPriority w:val="0"/>
    <w:pPr>
      <w:keepNext/>
      <w:widowControl/>
      <w:shd w:val="clear" w:color="FFFFFF" w:fill="FFFFFF"/>
      <w:tabs>
        <w:tab w:val="left" w:pos="6405"/>
      </w:tabs>
      <w:spacing w:before="640" w:after="280"/>
      <w:jc w:val="left"/>
      <w:outlineLvl w:val="0"/>
    </w:pPr>
    <w:rPr>
      <w:rFonts w:ascii="黑体" w:eastAsia="黑体" w:cs="宋体"/>
      <w:kern w:val="0"/>
      <w:sz w:val="20"/>
      <w:szCs w:val="20"/>
      <w:shd w:val="clear" w:color="FFFFFF" w:fill="FFFFFF"/>
    </w:rPr>
  </w:style>
  <w:style w:type="character" w:customStyle="1" w:styleId="372">
    <w:name w:val="我的表格 Char"/>
    <w:link w:val="373"/>
    <w:autoRedefine/>
    <w:qFormat/>
    <w:uiPriority w:val="0"/>
    <w:rPr>
      <w:rFonts w:ascii="仿宋_GB2312" w:hAnsi="仿宋_GB2312" w:eastAsia="仿宋_GB2312"/>
    </w:rPr>
  </w:style>
  <w:style w:type="paragraph" w:customStyle="1" w:styleId="373">
    <w:name w:val="我的表格"/>
    <w:basedOn w:val="1"/>
    <w:link w:val="372"/>
    <w:autoRedefine/>
    <w:qFormat/>
    <w:uiPriority w:val="0"/>
    <w:pPr>
      <w:widowControl/>
      <w:autoSpaceDE w:val="0"/>
      <w:autoSpaceDN w:val="0"/>
      <w:adjustRightInd w:val="0"/>
      <w:jc w:val="left"/>
    </w:pPr>
    <w:rPr>
      <w:rFonts w:ascii="仿宋_GB2312" w:hAnsi="仿宋_GB2312" w:eastAsia="仿宋_GB2312" w:cs="宋体"/>
      <w:kern w:val="0"/>
      <w:sz w:val="20"/>
      <w:szCs w:val="20"/>
    </w:rPr>
  </w:style>
  <w:style w:type="character" w:customStyle="1" w:styleId="374">
    <w:name w:val="实例标题 Char"/>
    <w:link w:val="375"/>
    <w:autoRedefine/>
    <w:qFormat/>
    <w:uiPriority w:val="0"/>
    <w:rPr>
      <w:rFonts w:ascii="Arial" w:hAnsi="Arial" w:eastAsia="汉仪大宋简"/>
      <w:kern w:val="20"/>
      <w:shd w:val="pct20" w:color="auto" w:fill="auto"/>
    </w:rPr>
  </w:style>
  <w:style w:type="paragraph" w:customStyle="1" w:styleId="375">
    <w:name w:val="实例标题"/>
    <w:basedOn w:val="1"/>
    <w:link w:val="374"/>
    <w:autoRedefine/>
    <w:qFormat/>
    <w:uiPriority w:val="0"/>
    <w:pPr>
      <w:widowControl/>
      <w:pBdr>
        <w:top w:val="single" w:color="008000" w:sz="4" w:space="1"/>
        <w:left w:val="single" w:color="008000" w:sz="4" w:space="4"/>
        <w:right w:val="single" w:color="008000" w:sz="4" w:space="4"/>
      </w:pBdr>
      <w:shd w:val="pct20" w:color="auto" w:fill="auto"/>
      <w:adjustRightInd w:val="0"/>
      <w:spacing w:line="480" w:lineRule="auto"/>
      <w:ind w:left="113"/>
      <w:jc w:val="left"/>
    </w:pPr>
    <w:rPr>
      <w:rFonts w:ascii="Arial" w:hAnsi="Arial" w:eastAsia="汉仪大宋简" w:cs="宋体"/>
      <w:kern w:val="20"/>
      <w:sz w:val="20"/>
      <w:szCs w:val="20"/>
      <w:shd w:val="pct20" w:color="auto" w:fill="auto"/>
    </w:rPr>
  </w:style>
  <w:style w:type="character" w:customStyle="1" w:styleId="376">
    <w:name w:val="标题 3 Char2"/>
    <w:autoRedefine/>
    <w:qFormat/>
    <w:uiPriority w:val="0"/>
    <w:rPr>
      <w:rFonts w:eastAsia="宋体"/>
      <w:b/>
      <w:bCs/>
      <w:kern w:val="2"/>
      <w:sz w:val="32"/>
      <w:szCs w:val="32"/>
      <w:lang w:val="en-US" w:eastAsia="zh-CN" w:bidi="ar-SA"/>
    </w:rPr>
  </w:style>
  <w:style w:type="character" w:customStyle="1" w:styleId="377">
    <w:name w:val="标题 2 Char3"/>
    <w:autoRedefine/>
    <w:qFormat/>
    <w:uiPriority w:val="0"/>
    <w:rPr>
      <w:rFonts w:ascii="Arial" w:hAnsi="Arial" w:eastAsia="黑体"/>
      <w:b/>
      <w:bCs/>
      <w:kern w:val="2"/>
      <w:sz w:val="32"/>
      <w:szCs w:val="32"/>
      <w:lang w:val="en-US" w:eastAsia="zh-CN" w:bidi="ar-SA"/>
    </w:rPr>
  </w:style>
  <w:style w:type="character" w:customStyle="1" w:styleId="378">
    <w:name w:val="标题 1 Char1"/>
    <w:autoRedefine/>
    <w:qFormat/>
    <w:uiPriority w:val="0"/>
    <w:rPr>
      <w:b/>
      <w:bCs/>
      <w:kern w:val="44"/>
      <w:sz w:val="44"/>
      <w:szCs w:val="44"/>
    </w:rPr>
  </w:style>
  <w:style w:type="character" w:customStyle="1" w:styleId="379">
    <w:name w:val="表格文字 Char Char"/>
    <w:link w:val="105"/>
    <w:autoRedefine/>
    <w:qFormat/>
    <w:uiPriority w:val="99"/>
    <w:rPr>
      <w:rFonts w:ascii="宋体" w:hAnsi="Arial Black"/>
      <w:kern w:val="44"/>
      <w:sz w:val="24"/>
    </w:rPr>
  </w:style>
  <w:style w:type="character" w:customStyle="1" w:styleId="380">
    <w:name w:val="样式4 Char"/>
    <w:link w:val="381"/>
    <w:autoRedefine/>
    <w:qFormat/>
    <w:uiPriority w:val="0"/>
    <w:rPr>
      <w:rFonts w:ascii="宋体" w:hAnsi="宋体"/>
      <w:snapToGrid/>
      <w:kern w:val="2"/>
      <w:sz w:val="28"/>
      <w:szCs w:val="24"/>
    </w:rPr>
  </w:style>
  <w:style w:type="paragraph" w:customStyle="1" w:styleId="381">
    <w:name w:val="样式4"/>
    <w:basedOn w:val="29"/>
    <w:link w:val="380"/>
    <w:autoRedefine/>
    <w:qFormat/>
    <w:uiPriority w:val="0"/>
    <w:pPr>
      <w:ind w:firstLine="560" w:firstLineChars="200"/>
      <w:jc w:val="both"/>
    </w:pPr>
    <w:rPr>
      <w:rFonts w:ascii="宋体" w:hAnsi="宋体"/>
      <w:sz w:val="28"/>
      <w:szCs w:val="24"/>
    </w:rPr>
  </w:style>
  <w:style w:type="character" w:customStyle="1" w:styleId="382">
    <w:name w:val="样式 样式 宋体 段前: 0.5 行 行距: 固定值 18 磅 + 首行缩进:  2 字符 Char"/>
    <w:link w:val="383"/>
    <w:autoRedefine/>
    <w:qFormat/>
    <w:uiPriority w:val="0"/>
    <w:rPr>
      <w:rFonts w:ascii="宋体" w:hAnsi="宋体"/>
      <w:color w:val="000000"/>
      <w:sz w:val="24"/>
      <w:szCs w:val="24"/>
    </w:rPr>
  </w:style>
  <w:style w:type="paragraph" w:customStyle="1" w:styleId="383">
    <w:name w:val="样式 样式 宋体 段前: 0.5 行 行距: 固定值 18 磅 + 首行缩进:  2 字符"/>
    <w:basedOn w:val="1"/>
    <w:link w:val="382"/>
    <w:autoRedefine/>
    <w:qFormat/>
    <w:uiPriority w:val="0"/>
    <w:pPr>
      <w:widowControl/>
      <w:snapToGrid w:val="0"/>
      <w:spacing w:before="156" w:beforeLines="50"/>
      <w:ind w:firstLine="480" w:firstLineChars="200"/>
      <w:jc w:val="left"/>
    </w:pPr>
    <w:rPr>
      <w:rFonts w:ascii="宋体" w:hAnsi="宋体" w:cs="宋体"/>
      <w:color w:val="000000"/>
      <w:kern w:val="0"/>
      <w:sz w:val="20"/>
      <w:szCs w:val="20"/>
    </w:rPr>
  </w:style>
  <w:style w:type="character" w:customStyle="1" w:styleId="384">
    <w:name w:val="报告书 正文 Char"/>
    <w:link w:val="385"/>
    <w:autoRedefine/>
    <w:qFormat/>
    <w:uiPriority w:val="0"/>
    <w:rPr>
      <w:rFonts w:eastAsia="仿宋_GB2312"/>
      <w:kern w:val="2"/>
      <w:sz w:val="28"/>
      <w:szCs w:val="24"/>
    </w:rPr>
  </w:style>
  <w:style w:type="paragraph" w:customStyle="1" w:styleId="385">
    <w:name w:val="报告书 正文"/>
    <w:link w:val="384"/>
    <w:autoRedefine/>
    <w:qFormat/>
    <w:uiPriority w:val="0"/>
    <w:pPr>
      <w:widowControl w:val="0"/>
      <w:spacing w:line="500" w:lineRule="exact"/>
      <w:ind w:firstLine="200" w:firstLineChars="200"/>
      <w:jc w:val="both"/>
    </w:pPr>
    <w:rPr>
      <w:rFonts w:ascii="Times New Roman" w:hAnsi="Times New Roman" w:eastAsia="仿宋_GB2312" w:cs="宋体"/>
      <w:kern w:val="2"/>
      <w:sz w:val="28"/>
      <w:szCs w:val="24"/>
      <w:lang w:val="en-US" w:eastAsia="zh-CN" w:bidi="ar-SA"/>
    </w:rPr>
  </w:style>
  <w:style w:type="character" w:customStyle="1" w:styleId="386">
    <w:name w:val="font31"/>
    <w:autoRedefine/>
    <w:qFormat/>
    <w:uiPriority w:val="0"/>
    <w:rPr>
      <w:rFonts w:hint="default" w:ascii="Times New Roman" w:hAnsi="Times New Roman" w:cs="Times New Roman"/>
      <w:color w:val="000000"/>
      <w:sz w:val="18"/>
      <w:szCs w:val="18"/>
      <w:u w:val="none"/>
      <w:vertAlign w:val="subscript"/>
    </w:rPr>
  </w:style>
  <w:style w:type="character" w:customStyle="1" w:styleId="387">
    <w:name w:val="font01"/>
    <w:autoRedefine/>
    <w:qFormat/>
    <w:uiPriority w:val="0"/>
    <w:rPr>
      <w:rFonts w:hint="default" w:ascii="Times New Roman" w:hAnsi="Times New Roman" w:cs="Times New Roman"/>
      <w:color w:val="000000"/>
      <w:sz w:val="21"/>
      <w:szCs w:val="21"/>
      <w:u w:val="none"/>
    </w:rPr>
  </w:style>
  <w:style w:type="character" w:customStyle="1" w:styleId="388">
    <w:name w:val="font21"/>
    <w:autoRedefine/>
    <w:qFormat/>
    <w:uiPriority w:val="0"/>
    <w:rPr>
      <w:rFonts w:hint="eastAsia" w:ascii="宋体" w:hAnsi="宋体" w:eastAsia="宋体" w:cs="宋体"/>
      <w:color w:val="000000"/>
      <w:sz w:val="21"/>
      <w:szCs w:val="21"/>
      <w:u w:val="none"/>
    </w:rPr>
  </w:style>
  <w:style w:type="character" w:customStyle="1" w:styleId="389">
    <w:name w:val="font41"/>
    <w:autoRedefine/>
    <w:qFormat/>
    <w:uiPriority w:val="0"/>
    <w:rPr>
      <w:rFonts w:hint="default" w:ascii="Times New Roman" w:hAnsi="Times New Roman" w:cs="Times New Roman"/>
      <w:color w:val="000000"/>
      <w:sz w:val="21"/>
      <w:szCs w:val="21"/>
      <w:u w:val="none"/>
    </w:rPr>
  </w:style>
  <w:style w:type="character" w:customStyle="1" w:styleId="390">
    <w:name w:val="标题2"/>
    <w:autoRedefine/>
    <w:qFormat/>
    <w:uiPriority w:val="0"/>
  </w:style>
  <w:style w:type="character" w:customStyle="1" w:styleId="391">
    <w:name w:val="纯文本1"/>
    <w:autoRedefine/>
    <w:qFormat/>
    <w:uiPriority w:val="0"/>
    <w:rPr>
      <w:rFonts w:ascii="宋体" w:hAnsi="Courier New" w:eastAsia="宋体" w:cs="Courier New"/>
      <w:kern w:val="2"/>
      <w:sz w:val="21"/>
      <w:szCs w:val="21"/>
      <w:lang w:val="en-US" w:eastAsia="zh-CN" w:bidi="ar-SA"/>
    </w:rPr>
  </w:style>
  <w:style w:type="character" w:customStyle="1" w:styleId="392">
    <w:name w:val="标题 1 Char Char"/>
    <w:autoRedefine/>
    <w:qFormat/>
    <w:uiPriority w:val="0"/>
    <w:rPr>
      <w:rFonts w:ascii="Times New Roman" w:hAnsi="Times New Roman" w:eastAsia="宋体" w:cs="Times New Roman"/>
      <w:b/>
      <w:bCs/>
      <w:kern w:val="44"/>
      <w:sz w:val="44"/>
      <w:szCs w:val="44"/>
    </w:rPr>
  </w:style>
  <w:style w:type="character" w:customStyle="1" w:styleId="393">
    <w:name w:val="批注框文本 Char Char"/>
    <w:autoRedefine/>
    <w:qFormat/>
    <w:uiPriority w:val="0"/>
    <w:rPr>
      <w:rFonts w:ascii="Times New Roman" w:hAnsi="Times New Roman" w:eastAsia="宋体" w:cs="Times New Roman"/>
      <w:sz w:val="18"/>
      <w:szCs w:val="18"/>
    </w:rPr>
  </w:style>
  <w:style w:type="character" w:customStyle="1" w:styleId="394">
    <w:name w:val="页脚 Char Char"/>
    <w:autoRedefine/>
    <w:qFormat/>
    <w:uiPriority w:val="0"/>
    <w:rPr>
      <w:sz w:val="18"/>
      <w:szCs w:val="18"/>
    </w:rPr>
  </w:style>
  <w:style w:type="character" w:customStyle="1" w:styleId="395">
    <w:name w:val="标题 3 Char1"/>
    <w:autoRedefine/>
    <w:qFormat/>
    <w:uiPriority w:val="0"/>
    <w:rPr>
      <w:b/>
      <w:bCs/>
      <w:kern w:val="2"/>
      <w:sz w:val="32"/>
      <w:szCs w:val="32"/>
    </w:rPr>
  </w:style>
  <w:style w:type="character" w:customStyle="1" w:styleId="396">
    <w:name w:val="Char Char81"/>
    <w:autoRedefine/>
    <w:qFormat/>
    <w:uiPriority w:val="0"/>
    <w:rPr>
      <w:kern w:val="2"/>
      <w:sz w:val="21"/>
    </w:rPr>
  </w:style>
  <w:style w:type="character" w:customStyle="1" w:styleId="397">
    <w:name w:val="样式 正文文本 + 首行缩进:  2 字符 Char"/>
    <w:link w:val="398"/>
    <w:autoRedefine/>
    <w:qFormat/>
    <w:uiPriority w:val="0"/>
    <w:rPr>
      <w:rFonts w:cs="宋体"/>
      <w:sz w:val="24"/>
      <w:szCs w:val="24"/>
      <w:lang w:val="zh-CN" w:eastAsia="zh-CN"/>
    </w:rPr>
  </w:style>
  <w:style w:type="paragraph" w:customStyle="1" w:styleId="398">
    <w:name w:val="样式 正文文本 + 首行缩进:  2 字符"/>
    <w:basedOn w:val="29"/>
    <w:link w:val="397"/>
    <w:autoRedefine/>
    <w:qFormat/>
    <w:uiPriority w:val="0"/>
    <w:pPr>
      <w:adjustRightInd w:val="0"/>
      <w:snapToGrid w:val="0"/>
      <w:spacing w:before="120" w:line="300" w:lineRule="auto"/>
      <w:ind w:firstLine="200" w:firstLineChars="200"/>
      <w:jc w:val="left"/>
      <w:textAlignment w:val="baseline"/>
    </w:pPr>
    <w:rPr>
      <w:szCs w:val="24"/>
      <w:lang w:val="zh-CN"/>
    </w:rPr>
  </w:style>
  <w:style w:type="character" w:customStyle="1" w:styleId="399">
    <w:name w:val="正文文本首行缩进 2 字符2"/>
    <w:autoRedefine/>
    <w:semiHidden/>
    <w:qFormat/>
    <w:uiPriority w:val="0"/>
    <w:rPr>
      <w:kern w:val="2"/>
      <w:sz w:val="21"/>
      <w:szCs w:val="24"/>
    </w:rPr>
  </w:style>
  <w:style w:type="character" w:customStyle="1" w:styleId="400">
    <w:name w:val="标题 4 Char3"/>
    <w:autoRedefine/>
    <w:qFormat/>
    <w:uiPriority w:val="0"/>
    <w:rPr>
      <w:rFonts w:ascii="黑体" w:hAnsi="Arial" w:eastAsia="黑体"/>
      <w:bCs/>
      <w:sz w:val="24"/>
      <w:szCs w:val="24"/>
      <w:lang w:val="en-US" w:eastAsia="zh-CN" w:bidi="ar-SA"/>
    </w:rPr>
  </w:style>
  <w:style w:type="character" w:customStyle="1" w:styleId="401">
    <w:name w:val="！正文 Char"/>
    <w:link w:val="402"/>
    <w:autoRedefine/>
    <w:qFormat/>
    <w:uiPriority w:val="0"/>
    <w:rPr>
      <w:kern w:val="2"/>
      <w:sz w:val="24"/>
      <w:szCs w:val="24"/>
    </w:rPr>
  </w:style>
  <w:style w:type="paragraph" w:customStyle="1" w:styleId="402">
    <w:name w:val="！正文"/>
    <w:basedOn w:val="1"/>
    <w:link w:val="401"/>
    <w:autoRedefine/>
    <w:qFormat/>
    <w:uiPriority w:val="0"/>
    <w:pPr>
      <w:widowControl/>
      <w:adjustRightInd w:val="0"/>
      <w:snapToGrid w:val="0"/>
      <w:ind w:firstLine="200" w:firstLineChars="200"/>
      <w:jc w:val="left"/>
    </w:pPr>
    <w:rPr>
      <w:rFonts w:cs="宋体"/>
      <w:kern w:val="0"/>
      <w:sz w:val="20"/>
      <w:szCs w:val="20"/>
    </w:rPr>
  </w:style>
  <w:style w:type="character" w:customStyle="1" w:styleId="403">
    <w:name w:val="! 图名表名 Char"/>
    <w:link w:val="404"/>
    <w:autoRedefine/>
    <w:qFormat/>
    <w:uiPriority w:val="0"/>
    <w:rPr>
      <w:rFonts w:eastAsia="黑体"/>
      <w:color w:val="000000"/>
      <w:kern w:val="2"/>
      <w:sz w:val="24"/>
      <w:szCs w:val="24"/>
    </w:rPr>
  </w:style>
  <w:style w:type="paragraph" w:customStyle="1" w:styleId="404">
    <w:name w:val="! 图名表名"/>
    <w:basedOn w:val="29"/>
    <w:link w:val="403"/>
    <w:autoRedefine/>
    <w:qFormat/>
    <w:uiPriority w:val="0"/>
    <w:pPr>
      <w:adjustRightInd w:val="0"/>
      <w:snapToGrid w:val="0"/>
    </w:pPr>
    <w:rPr>
      <w:rFonts w:eastAsia="黑体"/>
      <w:color w:val="000000"/>
      <w:szCs w:val="24"/>
    </w:rPr>
  </w:style>
  <w:style w:type="character" w:customStyle="1" w:styleId="405">
    <w:name w:val="标题4"/>
    <w:basedOn w:val="76"/>
    <w:autoRedefine/>
    <w:qFormat/>
    <w:uiPriority w:val="0"/>
  </w:style>
  <w:style w:type="character" w:customStyle="1" w:styleId="406">
    <w:name w:val="tajicy Char"/>
    <w:link w:val="407"/>
    <w:autoRedefine/>
    <w:qFormat/>
    <w:uiPriority w:val="0"/>
    <w:rPr>
      <w:color w:val="008000"/>
      <w:kern w:val="2"/>
      <w:sz w:val="24"/>
      <w:lang w:val="en-GB"/>
    </w:rPr>
  </w:style>
  <w:style w:type="paragraph" w:customStyle="1" w:styleId="407">
    <w:name w:val="tajicy"/>
    <w:basedOn w:val="1"/>
    <w:link w:val="406"/>
    <w:autoRedefine/>
    <w:qFormat/>
    <w:uiPriority w:val="0"/>
    <w:pPr>
      <w:widowControl/>
      <w:adjustRightInd w:val="0"/>
      <w:snapToGrid w:val="0"/>
      <w:spacing w:after="200"/>
      <w:ind w:firstLine="480" w:firstLineChars="200"/>
      <w:jc w:val="left"/>
    </w:pPr>
    <w:rPr>
      <w:rFonts w:cs="宋体"/>
      <w:color w:val="008000"/>
      <w:kern w:val="0"/>
      <w:sz w:val="20"/>
      <w:szCs w:val="20"/>
      <w:lang w:val="en-GB"/>
    </w:rPr>
  </w:style>
  <w:style w:type="character" w:customStyle="1" w:styleId="408">
    <w:name w:val="Default Char Char"/>
    <w:autoRedefine/>
    <w:qFormat/>
    <w:uiPriority w:val="0"/>
    <w:rPr>
      <w:rFonts w:ascii="宋体" w:hAnsi="宋体" w:cs="宋体"/>
      <w:color w:val="000000"/>
      <w:sz w:val="24"/>
      <w:szCs w:val="24"/>
      <w:lang w:val="en-US" w:eastAsia="zh-CN" w:bidi="ar-SA"/>
    </w:rPr>
  </w:style>
  <w:style w:type="character" w:customStyle="1" w:styleId="409">
    <w:name w:val="表标题2.4 Char"/>
    <w:link w:val="410"/>
    <w:autoRedefine/>
    <w:qFormat/>
    <w:uiPriority w:val="0"/>
    <w:rPr>
      <w:rFonts w:ascii="黑体" w:hAnsi="等线" w:eastAsia="黑体" w:cs="Times New Roman"/>
      <w:b/>
      <w:spacing w:val="6"/>
      <w:kern w:val="2"/>
      <w:sz w:val="24"/>
      <w:szCs w:val="24"/>
    </w:rPr>
  </w:style>
  <w:style w:type="paragraph" w:customStyle="1" w:styleId="410">
    <w:name w:val="表标题2.4"/>
    <w:basedOn w:val="1"/>
    <w:link w:val="409"/>
    <w:autoRedefine/>
    <w:qFormat/>
    <w:uiPriority w:val="0"/>
    <w:pPr>
      <w:widowControl/>
      <w:tabs>
        <w:tab w:val="center" w:pos="4060"/>
        <w:tab w:val="right" w:pos="8261"/>
      </w:tabs>
      <w:suppressAutoHyphens/>
      <w:adjustRightInd w:val="0"/>
      <w:spacing w:beforeLines="100" w:line="0" w:lineRule="atLeast"/>
      <w:jc w:val="left"/>
    </w:pPr>
    <w:rPr>
      <w:rFonts w:ascii="黑体" w:hAnsi="等线" w:eastAsia="黑体" w:cs="宋体"/>
      <w:b/>
      <w:spacing w:val="6"/>
      <w:kern w:val="0"/>
      <w:sz w:val="20"/>
      <w:szCs w:val="20"/>
    </w:rPr>
  </w:style>
  <w:style w:type="character" w:customStyle="1" w:styleId="411">
    <w:name w:val="题注 Char4"/>
    <w:autoRedefine/>
    <w:qFormat/>
    <w:uiPriority w:val="0"/>
    <w:rPr>
      <w:rFonts w:ascii="黑体" w:hAnsi="Arial" w:eastAsia="黑体" w:cs="Arial"/>
      <w:kern w:val="2"/>
      <w:sz w:val="24"/>
    </w:rPr>
  </w:style>
  <w:style w:type="character" w:customStyle="1" w:styleId="412">
    <w:name w:val="表格内容Q Char"/>
    <w:link w:val="413"/>
    <w:autoRedefine/>
    <w:qFormat/>
    <w:locked/>
    <w:uiPriority w:val="0"/>
    <w:rPr>
      <w:sz w:val="21"/>
      <w:szCs w:val="21"/>
    </w:rPr>
  </w:style>
  <w:style w:type="paragraph" w:customStyle="1" w:styleId="413">
    <w:name w:val="表格内容Q"/>
    <w:basedOn w:val="1"/>
    <w:link w:val="412"/>
    <w:autoRedefine/>
    <w:qFormat/>
    <w:uiPriority w:val="0"/>
    <w:pPr>
      <w:widowControl/>
      <w:jc w:val="center"/>
    </w:pPr>
    <w:rPr>
      <w:rFonts w:cs="宋体"/>
      <w:kern w:val="0"/>
      <w:sz w:val="20"/>
    </w:rPr>
  </w:style>
  <w:style w:type="character" w:customStyle="1" w:styleId="414">
    <w:name w:val="表格标题CCW Char"/>
    <w:link w:val="415"/>
    <w:autoRedefine/>
    <w:qFormat/>
    <w:locked/>
    <w:uiPriority w:val="0"/>
    <w:rPr>
      <w:b/>
      <w:sz w:val="24"/>
    </w:rPr>
  </w:style>
  <w:style w:type="paragraph" w:customStyle="1" w:styleId="415">
    <w:name w:val="表格标题CCW"/>
    <w:basedOn w:val="1"/>
    <w:next w:val="1"/>
    <w:link w:val="414"/>
    <w:autoRedefine/>
    <w:qFormat/>
    <w:uiPriority w:val="0"/>
    <w:pPr>
      <w:widowControl/>
      <w:jc w:val="center"/>
      <w:outlineLvl w:val="4"/>
    </w:pPr>
    <w:rPr>
      <w:rFonts w:cs="宋体"/>
      <w:b/>
      <w:kern w:val="0"/>
      <w:sz w:val="20"/>
      <w:szCs w:val="20"/>
    </w:rPr>
  </w:style>
  <w:style w:type="character" w:customStyle="1" w:styleId="416">
    <w:name w:val="表格标题QQ Char"/>
    <w:link w:val="417"/>
    <w:autoRedefine/>
    <w:qFormat/>
    <w:uiPriority w:val="0"/>
    <w:rPr>
      <w:b/>
      <w:sz w:val="24"/>
    </w:rPr>
  </w:style>
  <w:style w:type="paragraph" w:customStyle="1" w:styleId="417">
    <w:name w:val="表格标题QQ"/>
    <w:basedOn w:val="1"/>
    <w:link w:val="416"/>
    <w:autoRedefine/>
    <w:qFormat/>
    <w:uiPriority w:val="0"/>
    <w:pPr>
      <w:widowControl/>
      <w:jc w:val="center"/>
      <w:outlineLvl w:val="4"/>
    </w:pPr>
    <w:rPr>
      <w:rFonts w:cs="宋体"/>
      <w:b/>
      <w:kern w:val="0"/>
      <w:sz w:val="20"/>
      <w:szCs w:val="20"/>
    </w:rPr>
  </w:style>
  <w:style w:type="character" w:customStyle="1" w:styleId="418">
    <w:name w:val="! 正文 Char"/>
    <w:link w:val="419"/>
    <w:autoRedefine/>
    <w:qFormat/>
    <w:uiPriority w:val="0"/>
    <w:rPr>
      <w:color w:val="000000"/>
      <w:kern w:val="2"/>
      <w:sz w:val="24"/>
      <w:szCs w:val="24"/>
    </w:rPr>
  </w:style>
  <w:style w:type="paragraph" w:customStyle="1" w:styleId="419">
    <w:name w:val="! 正文"/>
    <w:basedOn w:val="404"/>
    <w:link w:val="418"/>
    <w:autoRedefine/>
    <w:qFormat/>
    <w:uiPriority w:val="0"/>
    <w:pPr>
      <w:ind w:firstLine="200" w:firstLineChars="200"/>
      <w:jc w:val="both"/>
    </w:pPr>
    <w:rPr>
      <w:rFonts w:eastAsia="宋体"/>
    </w:rPr>
  </w:style>
  <w:style w:type="character" w:customStyle="1" w:styleId="420">
    <w:name w:val="标题 Char"/>
    <w:autoRedefine/>
    <w:qFormat/>
    <w:uiPriority w:val="10"/>
    <w:rPr>
      <w:rFonts w:ascii="Cambria" w:hAnsi="Cambria"/>
      <w:b/>
      <w:bCs/>
      <w:kern w:val="2"/>
      <w:sz w:val="32"/>
      <w:szCs w:val="32"/>
    </w:rPr>
  </w:style>
  <w:style w:type="character" w:customStyle="1" w:styleId="421">
    <w:name w:val="！正文前 Char"/>
    <w:link w:val="422"/>
    <w:autoRedefine/>
    <w:qFormat/>
    <w:uiPriority w:val="0"/>
    <w:rPr>
      <w:kern w:val="2"/>
      <w:sz w:val="18"/>
      <w:szCs w:val="24"/>
    </w:rPr>
  </w:style>
  <w:style w:type="paragraph" w:customStyle="1" w:styleId="422">
    <w:name w:val="！正文前"/>
    <w:basedOn w:val="1"/>
    <w:link w:val="421"/>
    <w:autoRedefine/>
    <w:qFormat/>
    <w:uiPriority w:val="0"/>
    <w:pPr>
      <w:widowControl/>
      <w:adjustRightInd w:val="0"/>
      <w:snapToGrid w:val="0"/>
      <w:ind w:firstLine="200" w:firstLineChars="200"/>
      <w:jc w:val="left"/>
    </w:pPr>
    <w:rPr>
      <w:rFonts w:cs="宋体"/>
      <w:kern w:val="0"/>
      <w:sz w:val="18"/>
      <w:szCs w:val="20"/>
    </w:rPr>
  </w:style>
  <w:style w:type="character" w:customStyle="1" w:styleId="423">
    <w:name w:val="！表中 Char"/>
    <w:link w:val="424"/>
    <w:autoRedefine/>
    <w:qFormat/>
    <w:uiPriority w:val="0"/>
    <w:rPr>
      <w:sz w:val="18"/>
      <w:szCs w:val="18"/>
    </w:rPr>
  </w:style>
  <w:style w:type="paragraph" w:customStyle="1" w:styleId="424">
    <w:name w:val="！表中"/>
    <w:basedOn w:val="1"/>
    <w:link w:val="423"/>
    <w:autoRedefine/>
    <w:qFormat/>
    <w:uiPriority w:val="0"/>
    <w:pPr>
      <w:widowControl/>
      <w:adjustRightInd w:val="0"/>
      <w:snapToGrid w:val="0"/>
      <w:jc w:val="center"/>
    </w:pPr>
    <w:rPr>
      <w:rFonts w:cs="宋体"/>
      <w:kern w:val="0"/>
      <w:sz w:val="18"/>
      <w:szCs w:val="18"/>
    </w:rPr>
  </w:style>
  <w:style w:type="character" w:customStyle="1" w:styleId="425">
    <w:name w:val="！图名表名 Char"/>
    <w:link w:val="426"/>
    <w:autoRedefine/>
    <w:qFormat/>
    <w:uiPriority w:val="0"/>
    <w:rPr>
      <w:rFonts w:eastAsia="黑体"/>
      <w:kern w:val="2"/>
      <w:sz w:val="24"/>
      <w:szCs w:val="24"/>
    </w:rPr>
  </w:style>
  <w:style w:type="paragraph" w:customStyle="1" w:styleId="426">
    <w:name w:val="！图名表名"/>
    <w:basedOn w:val="402"/>
    <w:link w:val="425"/>
    <w:autoRedefine/>
    <w:qFormat/>
    <w:uiPriority w:val="0"/>
    <w:pPr>
      <w:ind w:firstLine="0" w:firstLineChars="0"/>
      <w:jc w:val="center"/>
    </w:pPr>
    <w:rPr>
      <w:rFonts w:eastAsia="黑体"/>
    </w:rPr>
  </w:style>
  <w:style w:type="paragraph" w:customStyle="1" w:styleId="427">
    <w:name w:val="Char Char Char Char Char Char Char2"/>
    <w:basedOn w:val="1"/>
    <w:autoRedefine/>
    <w:qFormat/>
    <w:uiPriority w:val="0"/>
    <w:pPr>
      <w:widowControl/>
      <w:ind w:firstLine="200" w:firstLineChars="200"/>
      <w:jc w:val="left"/>
    </w:pPr>
    <w:rPr>
      <w:rFonts w:ascii="宋体" w:hAnsi="宋体" w:cs="宋体"/>
      <w:kern w:val="0"/>
      <w:sz w:val="20"/>
      <w:szCs w:val="20"/>
    </w:rPr>
  </w:style>
  <w:style w:type="paragraph" w:customStyle="1" w:styleId="428">
    <w:name w:val="正文文本首行缩进 21"/>
    <w:basedOn w:val="30"/>
    <w:next w:val="68"/>
    <w:autoRedefine/>
    <w:qFormat/>
    <w:uiPriority w:val="0"/>
    <w:pPr>
      <w:ind w:firstLine="420" w:firstLineChars="200"/>
    </w:pPr>
    <w:rPr>
      <w:rFonts w:ascii="Calibri" w:hAnsi="Calibri"/>
      <w:szCs w:val="22"/>
      <w:lang w:val="en-US"/>
    </w:rPr>
  </w:style>
  <w:style w:type="paragraph" w:customStyle="1" w:styleId="429">
    <w:name w:val="liaoningcontent"/>
    <w:basedOn w:val="1"/>
    <w:autoRedefine/>
    <w:qFormat/>
    <w:uiPriority w:val="0"/>
    <w:pPr>
      <w:widowControl/>
      <w:jc w:val="left"/>
    </w:pPr>
    <w:rPr>
      <w:rFonts w:ascii="宋体" w:hAnsi="宋体" w:cs="宋体"/>
      <w:kern w:val="0"/>
      <w:sz w:val="20"/>
      <w:szCs w:val="20"/>
    </w:rPr>
  </w:style>
  <w:style w:type="paragraph" w:customStyle="1" w:styleId="430">
    <w:name w:val="书正文"/>
    <w:basedOn w:val="1"/>
    <w:autoRedefine/>
    <w:qFormat/>
    <w:uiPriority w:val="0"/>
    <w:pPr>
      <w:widowControl/>
      <w:spacing w:line="420" w:lineRule="exact"/>
      <w:ind w:firstLine="560" w:firstLineChars="200"/>
      <w:jc w:val="left"/>
    </w:pPr>
    <w:rPr>
      <w:rFonts w:cs="宋体"/>
      <w:kern w:val="0"/>
      <w:sz w:val="28"/>
      <w:szCs w:val="20"/>
    </w:rPr>
  </w:style>
  <w:style w:type="paragraph" w:customStyle="1" w:styleId="431">
    <w:name w:val="1 Char Char Char Char Char Char Char Char"/>
    <w:basedOn w:val="1"/>
    <w:autoRedefine/>
    <w:qFormat/>
    <w:uiPriority w:val="0"/>
    <w:pPr>
      <w:widowControl/>
      <w:ind w:left="720" w:hanging="720"/>
      <w:jc w:val="left"/>
    </w:pPr>
    <w:rPr>
      <w:rFonts w:cs="宋体"/>
      <w:kern w:val="0"/>
      <w:sz w:val="20"/>
    </w:rPr>
  </w:style>
  <w:style w:type="paragraph" w:customStyle="1" w:styleId="432">
    <w:name w:val="张小雄样式2"/>
    <w:basedOn w:val="1"/>
    <w:autoRedefine/>
    <w:qFormat/>
    <w:uiPriority w:val="0"/>
    <w:pPr>
      <w:widowControl/>
      <w:ind w:firstLine="200" w:firstLineChars="200"/>
      <w:jc w:val="left"/>
    </w:pPr>
    <w:rPr>
      <w:rFonts w:cs="宋体"/>
      <w:kern w:val="0"/>
      <w:sz w:val="20"/>
      <w:szCs w:val="20"/>
    </w:rPr>
  </w:style>
  <w:style w:type="paragraph" w:customStyle="1" w:styleId="433">
    <w:name w:val="2"/>
    <w:basedOn w:val="1"/>
    <w:next w:val="9"/>
    <w:autoRedefine/>
    <w:qFormat/>
    <w:uiPriority w:val="0"/>
    <w:pPr>
      <w:widowControl/>
      <w:spacing w:before="190" w:beforeLines="50" w:line="460" w:lineRule="exact"/>
      <w:ind w:firstLine="516" w:firstLineChars="215"/>
      <w:jc w:val="left"/>
    </w:pPr>
    <w:rPr>
      <w:rFonts w:ascii="Arial" w:hAnsi="Arial" w:cs="Arial"/>
      <w:kern w:val="0"/>
      <w:sz w:val="20"/>
      <w:szCs w:val="20"/>
    </w:rPr>
  </w:style>
  <w:style w:type="paragraph" w:customStyle="1" w:styleId="434">
    <w:name w:val="Char1 Char Char Char"/>
    <w:basedOn w:val="1"/>
    <w:autoRedefine/>
    <w:qFormat/>
    <w:uiPriority w:val="0"/>
    <w:pPr>
      <w:widowControl/>
      <w:jc w:val="left"/>
    </w:pPr>
    <w:rPr>
      <w:rFonts w:cs="宋体"/>
      <w:kern w:val="0"/>
      <w:sz w:val="20"/>
      <w:szCs w:val="20"/>
    </w:rPr>
  </w:style>
  <w:style w:type="paragraph" w:customStyle="1" w:styleId="435">
    <w:name w:val="仿宋体"/>
    <w:basedOn w:val="1"/>
    <w:autoRedefine/>
    <w:qFormat/>
    <w:uiPriority w:val="0"/>
    <w:pPr>
      <w:widowControl/>
      <w:spacing w:line="844" w:lineRule="atLeast"/>
      <w:ind w:firstLine="419"/>
      <w:jc w:val="left"/>
      <w:textAlignment w:val="baseline"/>
    </w:pPr>
    <w:rPr>
      <w:rFonts w:ascii="宋体" w:hAnsi="宋体" w:eastAsia="仿宋_GB2312" w:cs="宋体"/>
      <w:color w:val="000000"/>
      <w:kern w:val="0"/>
      <w:sz w:val="31"/>
      <w:szCs w:val="20"/>
      <w:u w:color="000000"/>
    </w:rPr>
  </w:style>
  <w:style w:type="paragraph" w:customStyle="1" w:styleId="436">
    <w:name w:val="Char Char Char1 Char1"/>
    <w:basedOn w:val="1"/>
    <w:autoRedefine/>
    <w:qFormat/>
    <w:uiPriority w:val="0"/>
    <w:pPr>
      <w:widowControl/>
      <w:jc w:val="left"/>
    </w:pPr>
    <w:rPr>
      <w:rFonts w:cs="宋体"/>
      <w:kern w:val="0"/>
      <w:sz w:val="20"/>
      <w:szCs w:val="20"/>
    </w:rPr>
  </w:style>
  <w:style w:type="paragraph" w:customStyle="1" w:styleId="437">
    <w:name w:val="表后正文"/>
    <w:basedOn w:val="44"/>
    <w:autoRedefine/>
    <w:qFormat/>
    <w:uiPriority w:val="0"/>
    <w:pPr>
      <w:adjustRightInd w:val="0"/>
      <w:spacing w:beforeLines="50" w:line="480" w:lineRule="exact"/>
      <w:ind w:firstLine="560" w:firstLineChars="200"/>
      <w:textAlignment w:val="baseline"/>
    </w:pPr>
    <w:rPr>
      <w:rFonts w:ascii="Times New Roman" w:hAnsi="Times New Roman" w:eastAsia="楷体_GB2312"/>
      <w:color w:val="000000"/>
      <w:sz w:val="28"/>
    </w:rPr>
  </w:style>
  <w:style w:type="paragraph" w:customStyle="1" w:styleId="438">
    <w:name w:val="font0"/>
    <w:basedOn w:val="1"/>
    <w:autoRedefine/>
    <w:qFormat/>
    <w:uiPriority w:val="0"/>
    <w:pPr>
      <w:widowControl/>
      <w:spacing w:before="100" w:beforeAutospacing="1" w:after="100" w:afterAutospacing="1"/>
      <w:jc w:val="left"/>
    </w:pPr>
    <w:rPr>
      <w:rFonts w:hint="eastAsia" w:ascii="宋体" w:hAnsi="宋体" w:cs="宋体"/>
      <w:kern w:val="0"/>
      <w:sz w:val="20"/>
      <w:szCs w:val="20"/>
    </w:rPr>
  </w:style>
  <w:style w:type="paragraph" w:customStyle="1" w:styleId="439">
    <w:name w:val="样式 样式 正文首行缩进 + 首行缩进:  2 字符 + 首行缩进:  2 字符"/>
    <w:basedOn w:val="1"/>
    <w:autoRedefine/>
    <w:qFormat/>
    <w:uiPriority w:val="0"/>
    <w:pPr>
      <w:widowControl/>
      <w:adjustRightInd w:val="0"/>
      <w:snapToGrid w:val="0"/>
      <w:ind w:firstLine="480"/>
      <w:jc w:val="left"/>
      <w:textAlignment w:val="baseline"/>
    </w:pPr>
    <w:rPr>
      <w:rFonts w:hAnsi="宋体" w:eastAsia="Times New Roman" w:cs="宋体"/>
      <w:kern w:val="0"/>
      <w:sz w:val="20"/>
      <w:szCs w:val="20"/>
    </w:rPr>
  </w:style>
  <w:style w:type="paragraph" w:customStyle="1" w:styleId="440">
    <w:name w:val="修订1"/>
    <w:autoRedefine/>
    <w:unhideWhenUsed/>
    <w:qFormat/>
    <w:uiPriority w:val="99"/>
    <w:rPr>
      <w:rFonts w:ascii="Times New Roman" w:hAnsi="Times New Roman" w:eastAsia="宋体" w:cs="宋体"/>
      <w:kern w:val="2"/>
      <w:sz w:val="21"/>
      <w:szCs w:val="24"/>
      <w:lang w:val="en-US" w:eastAsia="zh-CN" w:bidi="ar-SA"/>
    </w:rPr>
  </w:style>
  <w:style w:type="paragraph" w:styleId="441">
    <w:name w:val="List Paragraph"/>
    <w:basedOn w:val="1"/>
    <w:autoRedefine/>
    <w:qFormat/>
    <w:uiPriority w:val="34"/>
    <w:pPr>
      <w:widowControl/>
      <w:ind w:firstLine="420" w:firstLineChars="200"/>
      <w:jc w:val="left"/>
    </w:pPr>
    <w:rPr>
      <w:rFonts w:cs="宋体"/>
      <w:kern w:val="0"/>
      <w:sz w:val="20"/>
      <w:szCs w:val="20"/>
    </w:rPr>
  </w:style>
  <w:style w:type="paragraph" w:customStyle="1" w:styleId="442">
    <w:name w:val="列出段落12"/>
    <w:basedOn w:val="1"/>
    <w:autoRedefine/>
    <w:qFormat/>
    <w:uiPriority w:val="0"/>
    <w:pPr>
      <w:widowControl/>
      <w:ind w:firstLine="420" w:firstLineChars="200"/>
      <w:jc w:val="left"/>
    </w:pPr>
    <w:rPr>
      <w:rFonts w:ascii="Calibri" w:hAnsi="Calibri" w:cs="宋体"/>
      <w:kern w:val="0"/>
      <w:sz w:val="20"/>
      <w:szCs w:val="22"/>
    </w:rPr>
  </w:style>
  <w:style w:type="paragraph" w:customStyle="1" w:styleId="443">
    <w:name w:val="Char Char1 Char Char Char Char Char Char Char Char Char1 Char"/>
    <w:basedOn w:val="1"/>
    <w:autoRedefine/>
    <w:qFormat/>
    <w:uiPriority w:val="0"/>
    <w:pPr>
      <w:widowControl/>
      <w:jc w:val="left"/>
    </w:pPr>
    <w:rPr>
      <w:rFonts w:cs="宋体"/>
      <w:kern w:val="0"/>
      <w:sz w:val="20"/>
      <w:szCs w:val="20"/>
    </w:rPr>
  </w:style>
  <w:style w:type="paragraph" w:customStyle="1" w:styleId="444">
    <w:name w:val="列出段落1"/>
    <w:basedOn w:val="1"/>
    <w:autoRedefine/>
    <w:qFormat/>
    <w:uiPriority w:val="0"/>
    <w:pPr>
      <w:widowControl/>
      <w:ind w:firstLine="420" w:firstLineChars="200"/>
      <w:jc w:val="left"/>
    </w:pPr>
    <w:rPr>
      <w:rFonts w:ascii="Calibri" w:hAnsi="Calibri" w:cs="宋体"/>
      <w:kern w:val="0"/>
      <w:sz w:val="20"/>
      <w:szCs w:val="22"/>
    </w:rPr>
  </w:style>
  <w:style w:type="paragraph" w:customStyle="1" w:styleId="445">
    <w:name w:val="Char Char Char"/>
    <w:basedOn w:val="1"/>
    <w:autoRedefine/>
    <w:qFormat/>
    <w:uiPriority w:val="0"/>
    <w:pPr>
      <w:widowControl/>
      <w:jc w:val="left"/>
    </w:pPr>
    <w:rPr>
      <w:rFonts w:cs="宋体"/>
      <w:kern w:val="0"/>
      <w:sz w:val="20"/>
      <w:szCs w:val="20"/>
    </w:rPr>
  </w:style>
  <w:style w:type="paragraph" w:customStyle="1" w:styleId="446">
    <w:name w:val="表左"/>
    <w:basedOn w:val="1"/>
    <w:next w:val="1"/>
    <w:autoRedefine/>
    <w:qFormat/>
    <w:uiPriority w:val="0"/>
    <w:pPr>
      <w:widowControl/>
      <w:spacing w:line="280" w:lineRule="exact"/>
      <w:jc w:val="left"/>
    </w:pPr>
    <w:rPr>
      <w:rFonts w:cs="宋体"/>
      <w:color w:val="000000"/>
      <w:kern w:val="0"/>
      <w:sz w:val="18"/>
      <w:szCs w:val="20"/>
    </w:rPr>
  </w:style>
  <w:style w:type="paragraph" w:customStyle="1" w:styleId="447">
    <w:name w:val="Char Char1 Char Char Char Char Char Char Char Char Char1 Char1"/>
    <w:basedOn w:val="1"/>
    <w:autoRedefine/>
    <w:qFormat/>
    <w:uiPriority w:val="0"/>
    <w:pPr>
      <w:widowControl/>
      <w:jc w:val="left"/>
    </w:pPr>
    <w:rPr>
      <w:rFonts w:cs="宋体"/>
      <w:kern w:val="0"/>
      <w:sz w:val="20"/>
      <w:szCs w:val="20"/>
    </w:rPr>
  </w:style>
  <w:style w:type="paragraph" w:customStyle="1" w:styleId="448">
    <w:name w:val="Char Char Char1"/>
    <w:basedOn w:val="1"/>
    <w:autoRedefine/>
    <w:qFormat/>
    <w:uiPriority w:val="0"/>
    <w:pPr>
      <w:widowControl/>
      <w:jc w:val="left"/>
    </w:pPr>
    <w:rPr>
      <w:rFonts w:cs="宋体"/>
      <w:kern w:val="0"/>
      <w:sz w:val="20"/>
      <w:szCs w:val="20"/>
    </w:rPr>
  </w:style>
  <w:style w:type="paragraph" w:customStyle="1" w:styleId="449">
    <w:name w:val="三级标题"/>
    <w:basedOn w:val="1"/>
    <w:autoRedefine/>
    <w:qFormat/>
    <w:uiPriority w:val="0"/>
    <w:pPr>
      <w:widowControl/>
      <w:ind w:firstLine="200" w:firstLineChars="200"/>
      <w:jc w:val="left"/>
      <w:outlineLvl w:val="2"/>
    </w:pPr>
    <w:rPr>
      <w:rFonts w:cs="宋体"/>
      <w:b/>
      <w:kern w:val="0"/>
      <w:sz w:val="20"/>
      <w:szCs w:val="20"/>
    </w:rPr>
  </w:style>
  <w:style w:type="paragraph" w:customStyle="1" w:styleId="450">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451">
    <w:name w:val="四级条标题"/>
    <w:basedOn w:val="452"/>
    <w:next w:val="1"/>
    <w:autoRedefine/>
    <w:qFormat/>
    <w:uiPriority w:val="0"/>
    <w:pPr>
      <w:tabs>
        <w:tab w:val="left" w:pos="360"/>
        <w:tab w:val="left" w:pos="420"/>
        <w:tab w:val="left" w:pos="525"/>
        <w:tab w:val="left" w:pos="720"/>
        <w:tab w:val="left" w:pos="945"/>
        <w:tab w:val="left" w:pos="1021"/>
        <w:tab w:val="left" w:pos="1080"/>
        <w:tab w:val="left" w:pos="1155"/>
      </w:tabs>
      <w:ind w:left="0" w:firstLine="0"/>
      <w:outlineLvl w:val="5"/>
    </w:pPr>
  </w:style>
  <w:style w:type="paragraph" w:customStyle="1" w:styleId="452">
    <w:name w:val="三级条标题"/>
    <w:basedOn w:val="453"/>
    <w:next w:val="1"/>
    <w:autoRedefine/>
    <w:qFormat/>
    <w:uiPriority w:val="0"/>
    <w:pPr>
      <w:tabs>
        <w:tab w:val="left" w:pos="360"/>
        <w:tab w:val="left" w:pos="420"/>
        <w:tab w:val="left" w:pos="525"/>
        <w:tab w:val="left" w:pos="720"/>
        <w:tab w:val="left" w:pos="945"/>
        <w:tab w:val="left" w:pos="1080"/>
      </w:tabs>
      <w:ind w:left="2809"/>
      <w:outlineLvl w:val="4"/>
    </w:pPr>
  </w:style>
  <w:style w:type="paragraph" w:customStyle="1" w:styleId="453">
    <w:name w:val="二级条标题"/>
    <w:basedOn w:val="454"/>
    <w:next w:val="1"/>
    <w:autoRedefine/>
    <w:qFormat/>
    <w:uiPriority w:val="0"/>
    <w:pPr>
      <w:tabs>
        <w:tab w:val="left" w:pos="360"/>
        <w:tab w:val="left" w:pos="420"/>
        <w:tab w:val="left" w:pos="525"/>
        <w:tab w:val="left" w:pos="720"/>
      </w:tabs>
      <w:ind w:left="2389"/>
      <w:outlineLvl w:val="3"/>
    </w:pPr>
  </w:style>
  <w:style w:type="paragraph" w:customStyle="1" w:styleId="454">
    <w:name w:val="一级条标题"/>
    <w:basedOn w:val="455"/>
    <w:next w:val="1"/>
    <w:autoRedefine/>
    <w:qFormat/>
    <w:uiPriority w:val="0"/>
    <w:pPr>
      <w:tabs>
        <w:tab w:val="left" w:pos="360"/>
        <w:tab w:val="left" w:pos="420"/>
        <w:tab w:val="left" w:pos="525"/>
        <w:tab w:val="left" w:pos="720"/>
      </w:tabs>
      <w:spacing w:before="0" w:beforeLines="0" w:after="0" w:afterLines="0"/>
      <w:ind w:left="1969"/>
      <w:outlineLvl w:val="2"/>
    </w:pPr>
  </w:style>
  <w:style w:type="paragraph" w:customStyle="1" w:styleId="455">
    <w:name w:val="章标题"/>
    <w:next w:val="1"/>
    <w:autoRedefine/>
    <w:qFormat/>
    <w:uiPriority w:val="0"/>
    <w:pPr>
      <w:tabs>
        <w:tab w:val="left" w:pos="360"/>
        <w:tab w:val="left" w:pos="420"/>
      </w:tabs>
      <w:spacing w:before="50" w:beforeLines="50" w:after="50" w:afterLines="50"/>
      <w:ind w:left="1549" w:hanging="420"/>
      <w:jc w:val="both"/>
      <w:outlineLvl w:val="1"/>
    </w:pPr>
    <w:rPr>
      <w:rFonts w:ascii="黑体" w:hAnsi="Times New Roman" w:eastAsia="黑体" w:cs="宋体"/>
      <w:b/>
      <w:sz w:val="21"/>
      <w:szCs w:val="24"/>
      <w:lang w:val="en-US" w:eastAsia="zh-CN" w:bidi="ar-SA"/>
    </w:rPr>
  </w:style>
  <w:style w:type="paragraph" w:customStyle="1" w:styleId="456">
    <w:name w:val="图名"/>
    <w:basedOn w:val="1"/>
    <w:autoRedefine/>
    <w:qFormat/>
    <w:uiPriority w:val="0"/>
    <w:pPr>
      <w:widowControl/>
      <w:snapToGrid w:val="0"/>
      <w:jc w:val="center"/>
    </w:pPr>
    <w:rPr>
      <w:rFonts w:cs="宋体"/>
      <w:b/>
      <w:kern w:val="0"/>
      <w:sz w:val="20"/>
    </w:rPr>
  </w:style>
  <w:style w:type="paragraph" w:customStyle="1" w:styleId="457">
    <w:name w:val="msonormal"/>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458">
    <w:name w:val="font5"/>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459">
    <w:name w:val="font6"/>
    <w:basedOn w:val="1"/>
    <w:autoRedefine/>
    <w:qFormat/>
    <w:uiPriority w:val="0"/>
    <w:pPr>
      <w:widowControl/>
      <w:spacing w:before="100" w:beforeAutospacing="1" w:after="100" w:afterAutospacing="1"/>
      <w:jc w:val="left"/>
    </w:pPr>
    <w:rPr>
      <w:rFonts w:cs="宋体"/>
      <w:color w:val="000000"/>
      <w:kern w:val="0"/>
      <w:sz w:val="18"/>
      <w:szCs w:val="18"/>
    </w:rPr>
  </w:style>
  <w:style w:type="paragraph" w:customStyle="1" w:styleId="460">
    <w:name w:val="font7"/>
    <w:basedOn w:val="1"/>
    <w:autoRedefine/>
    <w:qFormat/>
    <w:uiPriority w:val="0"/>
    <w:pPr>
      <w:widowControl/>
      <w:spacing w:before="100" w:beforeAutospacing="1" w:after="100" w:afterAutospacing="1"/>
      <w:jc w:val="left"/>
    </w:pPr>
    <w:rPr>
      <w:rFonts w:cs="宋体"/>
      <w:color w:val="000000"/>
      <w:kern w:val="0"/>
      <w:sz w:val="18"/>
      <w:szCs w:val="18"/>
    </w:rPr>
  </w:style>
  <w:style w:type="paragraph" w:customStyle="1" w:styleId="461">
    <w:name w:val="font8"/>
    <w:basedOn w:val="1"/>
    <w:autoRedefine/>
    <w:qFormat/>
    <w:uiPriority w:val="0"/>
    <w:pPr>
      <w:widowControl/>
      <w:spacing w:before="100" w:beforeAutospacing="1" w:after="100" w:afterAutospacing="1"/>
      <w:jc w:val="left"/>
    </w:pPr>
    <w:rPr>
      <w:rFonts w:cs="宋体"/>
      <w:color w:val="000000"/>
      <w:kern w:val="0"/>
      <w:sz w:val="18"/>
      <w:szCs w:val="18"/>
    </w:rPr>
  </w:style>
  <w:style w:type="paragraph" w:customStyle="1" w:styleId="462">
    <w:name w:val="xl63"/>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463">
    <w:name w:val="xl64"/>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cs="宋体"/>
      <w:kern w:val="0"/>
      <w:sz w:val="18"/>
      <w:szCs w:val="18"/>
    </w:rPr>
  </w:style>
  <w:style w:type="paragraph" w:customStyle="1" w:styleId="464">
    <w:name w:val="xl65"/>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cs="宋体"/>
      <w:kern w:val="0"/>
      <w:sz w:val="18"/>
      <w:szCs w:val="18"/>
    </w:rPr>
  </w:style>
  <w:style w:type="paragraph" w:customStyle="1" w:styleId="465">
    <w:name w:val="xl66"/>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466">
    <w:name w:val="xl67"/>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467">
    <w:name w:val="xl6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468">
    <w:name w:val="xl69"/>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cs="宋体"/>
      <w:kern w:val="0"/>
      <w:sz w:val="18"/>
      <w:szCs w:val="18"/>
    </w:rPr>
  </w:style>
  <w:style w:type="paragraph" w:customStyle="1" w:styleId="469">
    <w:name w:val="xl7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cs="宋体"/>
      <w:kern w:val="0"/>
      <w:sz w:val="18"/>
      <w:szCs w:val="18"/>
    </w:rPr>
  </w:style>
  <w:style w:type="paragraph" w:customStyle="1" w:styleId="470">
    <w:name w:val="xl71"/>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cs="宋体"/>
      <w:kern w:val="0"/>
      <w:sz w:val="18"/>
      <w:szCs w:val="18"/>
    </w:rPr>
  </w:style>
  <w:style w:type="paragraph" w:customStyle="1" w:styleId="471">
    <w:name w:val="普通(网站)1"/>
    <w:basedOn w:val="1"/>
    <w:autoRedefine/>
    <w:qFormat/>
    <w:uiPriority w:val="0"/>
    <w:pPr>
      <w:widowControl/>
      <w:spacing w:before="100" w:beforeAutospacing="1" w:after="100" w:afterAutospacing="1"/>
      <w:jc w:val="left"/>
    </w:pPr>
    <w:rPr>
      <w:rFonts w:hint="eastAsia" w:ascii="宋体" w:hAnsi="宋体" w:cs="宋体"/>
      <w:kern w:val="0"/>
      <w:sz w:val="20"/>
      <w:szCs w:val="20"/>
    </w:rPr>
  </w:style>
  <w:style w:type="paragraph" w:customStyle="1" w:styleId="472">
    <w:name w:val="zhang正文"/>
    <w:basedOn w:val="30"/>
    <w:autoRedefine/>
    <w:qFormat/>
    <w:uiPriority w:val="0"/>
    <w:pPr>
      <w:autoSpaceDE w:val="0"/>
      <w:autoSpaceDN w:val="0"/>
      <w:adjustRightInd w:val="0"/>
      <w:snapToGrid w:val="0"/>
      <w:spacing w:after="0" w:line="500" w:lineRule="exact"/>
      <w:ind w:left="0" w:leftChars="0" w:firstLine="539"/>
      <w:textAlignment w:val="baseline"/>
    </w:pPr>
    <w:rPr>
      <w:rFonts w:eastAsia="楷体_GB2312"/>
      <w:sz w:val="28"/>
      <w:lang w:val="en-US"/>
    </w:rPr>
  </w:style>
  <w:style w:type="paragraph" w:customStyle="1" w:styleId="473">
    <w:name w:val="_Style 82"/>
    <w:basedOn w:val="1"/>
    <w:next w:val="441"/>
    <w:autoRedefine/>
    <w:qFormat/>
    <w:uiPriority w:val="34"/>
    <w:pPr>
      <w:widowControl/>
      <w:spacing w:line="500" w:lineRule="exact"/>
      <w:ind w:firstLine="420" w:firstLineChars="200"/>
      <w:jc w:val="left"/>
    </w:pPr>
    <w:rPr>
      <w:rFonts w:ascii="Calibri" w:hAnsi="Calibri" w:cs="宋体"/>
      <w:kern w:val="0"/>
      <w:sz w:val="20"/>
      <w:szCs w:val="22"/>
    </w:rPr>
  </w:style>
  <w:style w:type="paragraph" w:customStyle="1" w:styleId="474">
    <w:name w:val="列出段落2"/>
    <w:basedOn w:val="1"/>
    <w:autoRedefine/>
    <w:qFormat/>
    <w:uiPriority w:val="0"/>
    <w:pPr>
      <w:widowControl/>
      <w:ind w:firstLine="420" w:firstLineChars="200"/>
      <w:jc w:val="left"/>
    </w:pPr>
    <w:rPr>
      <w:rFonts w:ascii="Calibri" w:hAnsi="Calibri" w:cs="宋体"/>
      <w:kern w:val="0"/>
      <w:sz w:val="20"/>
      <w:szCs w:val="22"/>
    </w:rPr>
  </w:style>
  <w:style w:type="paragraph" w:customStyle="1" w:styleId="475">
    <w:name w:val="正文文本缩进2"/>
    <w:basedOn w:val="1"/>
    <w:next w:val="104"/>
    <w:autoRedefine/>
    <w:qFormat/>
    <w:uiPriority w:val="0"/>
    <w:pPr>
      <w:widowControl/>
      <w:jc w:val="center"/>
    </w:pPr>
    <w:rPr>
      <w:rFonts w:cs="宋体"/>
      <w:color w:val="000000"/>
      <w:kern w:val="0"/>
      <w:sz w:val="20"/>
      <w:szCs w:val="20"/>
    </w:rPr>
  </w:style>
  <w:style w:type="paragraph" w:customStyle="1" w:styleId="476">
    <w:name w:val="CM39"/>
    <w:basedOn w:val="85"/>
    <w:next w:val="85"/>
    <w:autoRedefine/>
    <w:qFormat/>
    <w:uiPriority w:val="0"/>
    <w:pPr>
      <w:spacing w:after="420"/>
    </w:pPr>
    <w:rPr>
      <w:rFonts w:ascii="黑体" w:eastAsia="黑体" w:cs="Times New Roman"/>
      <w:color w:val="auto"/>
    </w:rPr>
  </w:style>
  <w:style w:type="paragraph" w:customStyle="1" w:styleId="477">
    <w:name w:val="CM3"/>
    <w:basedOn w:val="85"/>
    <w:next w:val="85"/>
    <w:autoRedefine/>
    <w:qFormat/>
    <w:uiPriority w:val="0"/>
    <w:pPr>
      <w:spacing w:line="406" w:lineRule="atLeast"/>
    </w:pPr>
    <w:rPr>
      <w:rFonts w:ascii="黑体" w:eastAsia="黑体" w:cs="Times New Roman"/>
      <w:color w:val="auto"/>
    </w:rPr>
  </w:style>
  <w:style w:type="paragraph" w:customStyle="1" w:styleId="478">
    <w:name w:val="W 正文文本"/>
    <w:basedOn w:val="1"/>
    <w:autoRedefine/>
    <w:qFormat/>
    <w:uiPriority w:val="0"/>
    <w:pPr>
      <w:widowControl/>
      <w:adjustRightInd w:val="0"/>
      <w:snapToGrid w:val="0"/>
      <w:ind w:firstLine="200" w:firstLineChars="200"/>
      <w:jc w:val="left"/>
    </w:pPr>
    <w:rPr>
      <w:rFonts w:cs="宋体"/>
      <w:kern w:val="0"/>
      <w:sz w:val="20"/>
      <w:szCs w:val="20"/>
    </w:rPr>
  </w:style>
  <w:style w:type="paragraph" w:customStyle="1" w:styleId="479">
    <w:name w:val="Char Char1 Char Char Char Char Char Char Char1"/>
    <w:basedOn w:val="1"/>
    <w:autoRedefine/>
    <w:qFormat/>
    <w:uiPriority w:val="0"/>
    <w:pPr>
      <w:widowControl/>
      <w:jc w:val="left"/>
    </w:pPr>
    <w:rPr>
      <w:rFonts w:cs="宋体"/>
      <w:kern w:val="0"/>
      <w:sz w:val="20"/>
      <w:szCs w:val="20"/>
    </w:rPr>
  </w:style>
  <w:style w:type="paragraph" w:customStyle="1" w:styleId="480">
    <w:name w:val="CM38"/>
    <w:basedOn w:val="85"/>
    <w:next w:val="85"/>
    <w:autoRedefine/>
    <w:qFormat/>
    <w:uiPriority w:val="0"/>
    <w:pPr>
      <w:spacing w:after="108"/>
    </w:pPr>
    <w:rPr>
      <w:rFonts w:ascii="黑体" w:hAnsi="Calibri" w:eastAsia="黑体" w:cs="Times New Roman"/>
      <w:color w:val="auto"/>
    </w:rPr>
  </w:style>
  <w:style w:type="paragraph" w:customStyle="1" w:styleId="481">
    <w:name w:val="ST20_1"/>
    <w:basedOn w:val="1"/>
    <w:autoRedefine/>
    <w:qFormat/>
    <w:uiPriority w:val="0"/>
    <w:pPr>
      <w:widowControl/>
      <w:adjustRightInd w:val="0"/>
      <w:jc w:val="center"/>
      <w:textAlignment w:val="baseline"/>
    </w:pPr>
    <w:rPr>
      <w:rFonts w:ascii="宋体" w:cs="宋体"/>
      <w:kern w:val="0"/>
      <w:sz w:val="20"/>
      <w:szCs w:val="20"/>
    </w:rPr>
  </w:style>
  <w:style w:type="paragraph" w:customStyle="1" w:styleId="482">
    <w:name w:val="标准文本 首行缩进:2 字符 行距1倍 Char"/>
    <w:basedOn w:val="1"/>
    <w:autoRedefine/>
    <w:qFormat/>
    <w:uiPriority w:val="0"/>
    <w:pPr>
      <w:widowControl/>
      <w:adjustRightInd w:val="0"/>
      <w:snapToGrid w:val="0"/>
      <w:spacing w:line="440" w:lineRule="exact"/>
      <w:ind w:firstLine="480" w:firstLineChars="200"/>
      <w:jc w:val="center"/>
      <w:textAlignment w:val="center"/>
    </w:pPr>
    <w:rPr>
      <w:rFonts w:ascii="黑体" w:eastAsia="黑体" w:cs="宋体"/>
      <w:kern w:val="0"/>
      <w:sz w:val="20"/>
      <w:szCs w:val="20"/>
    </w:rPr>
  </w:style>
  <w:style w:type="paragraph" w:customStyle="1" w:styleId="483">
    <w:name w:val="图文框"/>
    <w:basedOn w:val="1"/>
    <w:autoRedefine/>
    <w:qFormat/>
    <w:uiPriority w:val="0"/>
    <w:pPr>
      <w:widowControl/>
      <w:autoSpaceDE w:val="0"/>
      <w:autoSpaceDN w:val="0"/>
      <w:adjustRightInd w:val="0"/>
      <w:snapToGrid w:val="0"/>
      <w:jc w:val="center"/>
      <w:textAlignment w:val="baseline"/>
    </w:pPr>
    <w:rPr>
      <w:rFonts w:cs="宋体"/>
      <w:color w:val="FF0000"/>
      <w:kern w:val="0"/>
      <w:sz w:val="20"/>
      <w:szCs w:val="20"/>
    </w:rPr>
  </w:style>
  <w:style w:type="paragraph" w:customStyle="1" w:styleId="484">
    <w:name w:val="正文样式 Char"/>
    <w:basedOn w:val="1"/>
    <w:autoRedefine/>
    <w:qFormat/>
    <w:uiPriority w:val="0"/>
    <w:pPr>
      <w:widowControl/>
      <w:ind w:firstLine="480" w:firstLineChars="200"/>
      <w:jc w:val="left"/>
    </w:pPr>
    <w:rPr>
      <w:rFonts w:ascii="宋体" w:hAnsi="宋体" w:cs="宋体"/>
      <w:color w:val="000000"/>
      <w:kern w:val="0"/>
      <w:sz w:val="20"/>
      <w:szCs w:val="20"/>
    </w:rPr>
  </w:style>
  <w:style w:type="paragraph" w:customStyle="1" w:styleId="485">
    <w:name w:val="环正文"/>
    <w:basedOn w:val="1"/>
    <w:autoRedefine/>
    <w:qFormat/>
    <w:uiPriority w:val="0"/>
    <w:pPr>
      <w:widowControl/>
      <w:suppressAutoHyphens/>
      <w:adjustRightInd w:val="0"/>
      <w:snapToGrid w:val="0"/>
      <w:spacing w:line="480" w:lineRule="atLeast"/>
      <w:ind w:firstLine="480" w:firstLineChars="200"/>
      <w:jc w:val="left"/>
      <w:textAlignment w:val="baseline"/>
    </w:pPr>
    <w:rPr>
      <w:rFonts w:ascii="宋体" w:hAnsi="宋体" w:cs="宋体"/>
      <w:bCs/>
      <w:kern w:val="0"/>
      <w:sz w:val="20"/>
      <w:szCs w:val="20"/>
    </w:rPr>
  </w:style>
  <w:style w:type="paragraph" w:customStyle="1" w:styleId="486">
    <w:name w:val="Char1 Char Char Char Char Char Char Char Char Char Char Char Char Char Char Char Char Char Char Char Char Char"/>
    <w:basedOn w:val="3"/>
    <w:autoRedefine/>
    <w:qFormat/>
    <w:uiPriority w:val="0"/>
    <w:pPr>
      <w:keepLines/>
      <w:pageBreakBefore/>
      <w:snapToGrid w:val="0"/>
      <w:spacing w:before="340" w:after="330"/>
      <w:ind w:firstLine="200" w:firstLineChars="200"/>
    </w:pPr>
    <w:rPr>
      <w:rFonts w:eastAsia="仿宋_GB2312"/>
      <w:b w:val="0"/>
      <w:bCs/>
      <w:spacing w:val="10"/>
      <w:kern w:val="44"/>
      <w:sz w:val="24"/>
      <w:szCs w:val="32"/>
    </w:rPr>
  </w:style>
  <w:style w:type="paragraph" w:customStyle="1" w:styleId="487">
    <w:name w:val="默认段落字体 Para Char Char Char Char Char Char Char"/>
    <w:basedOn w:val="1"/>
    <w:autoRedefine/>
    <w:qFormat/>
    <w:uiPriority w:val="0"/>
    <w:pPr>
      <w:widowControl/>
      <w:jc w:val="left"/>
    </w:pPr>
    <w:rPr>
      <w:rFonts w:cs="宋体"/>
      <w:kern w:val="0"/>
      <w:sz w:val="20"/>
      <w:szCs w:val="20"/>
    </w:rPr>
  </w:style>
  <w:style w:type="paragraph" w:customStyle="1" w:styleId="488">
    <w:name w:val="1 Char Char Char Char Char Char Char Char Char Char Char Char Char Char Char Char Char Char Char Char Char"/>
    <w:basedOn w:val="1"/>
    <w:autoRedefine/>
    <w:qFormat/>
    <w:uiPriority w:val="0"/>
    <w:pPr>
      <w:widowControl/>
      <w:jc w:val="left"/>
    </w:pPr>
    <w:rPr>
      <w:rFonts w:cs="宋体"/>
      <w:kern w:val="0"/>
      <w:sz w:val="20"/>
      <w:szCs w:val="20"/>
    </w:rPr>
  </w:style>
  <w:style w:type="paragraph" w:customStyle="1" w:styleId="489">
    <w:name w:val="样式 小三 行距: 1.5 倍行距"/>
    <w:basedOn w:val="1"/>
    <w:autoRedefine/>
    <w:qFormat/>
    <w:uiPriority w:val="0"/>
    <w:pPr>
      <w:widowControl/>
      <w:adjustRightInd w:val="0"/>
      <w:jc w:val="left"/>
      <w:textAlignment w:val="baseline"/>
    </w:pPr>
    <w:rPr>
      <w:rFonts w:cs="宋体"/>
      <w:kern w:val="0"/>
      <w:sz w:val="30"/>
      <w:szCs w:val="20"/>
    </w:rPr>
  </w:style>
  <w:style w:type="paragraph" w:customStyle="1" w:styleId="490">
    <w:name w:val="Char Char Char Char Char Char Char Char Char Char Char Char2"/>
    <w:basedOn w:val="1"/>
    <w:autoRedefine/>
    <w:qFormat/>
    <w:uiPriority w:val="0"/>
    <w:pPr>
      <w:widowControl/>
      <w:adjustRightInd w:val="0"/>
      <w:jc w:val="left"/>
    </w:pPr>
    <w:rPr>
      <w:rFonts w:cs="宋体"/>
      <w:kern w:val="0"/>
      <w:sz w:val="20"/>
      <w:szCs w:val="20"/>
    </w:rPr>
  </w:style>
  <w:style w:type="paragraph" w:customStyle="1" w:styleId="491">
    <w:name w:val="Char2 Char Char Char Char Char Char Char Char Char Char Char Char Char Char Char Char Char Char"/>
    <w:basedOn w:val="1"/>
    <w:autoRedefine/>
    <w:qFormat/>
    <w:uiPriority w:val="0"/>
    <w:pPr>
      <w:widowControl/>
      <w:ind w:left="-48"/>
      <w:jc w:val="left"/>
    </w:pPr>
    <w:rPr>
      <w:rFonts w:cs="宋体"/>
      <w:kern w:val="0"/>
      <w:sz w:val="20"/>
      <w:szCs w:val="20"/>
    </w:rPr>
  </w:style>
  <w:style w:type="paragraph" w:customStyle="1" w:styleId="492">
    <w:name w:val="样式 样式 标题 5 + 段后: 0.5 行3 + 段后: 0.5 行"/>
    <w:basedOn w:val="1"/>
    <w:autoRedefine/>
    <w:qFormat/>
    <w:uiPriority w:val="0"/>
    <w:pPr>
      <w:keepNext/>
      <w:keepLines/>
      <w:widowControl/>
      <w:adjustRightInd w:val="0"/>
      <w:snapToGrid w:val="0"/>
      <w:spacing w:after="50" w:afterLines="50"/>
      <w:jc w:val="left"/>
      <w:outlineLvl w:val="4"/>
    </w:pPr>
    <w:rPr>
      <w:rFonts w:ascii="Arial" w:hAnsi="Arial" w:eastAsia="华文楷体" w:cs="宋体"/>
      <w:kern w:val="0"/>
      <w:sz w:val="28"/>
      <w:szCs w:val="20"/>
    </w:rPr>
  </w:style>
  <w:style w:type="paragraph" w:customStyle="1" w:styleId="493">
    <w:name w:val="样式5"/>
    <w:basedOn w:val="29"/>
    <w:autoRedefine/>
    <w:qFormat/>
    <w:uiPriority w:val="0"/>
    <w:pPr>
      <w:spacing w:before="312" w:beforeLines="100" w:line="240" w:lineRule="auto"/>
      <w:ind w:firstLine="1200" w:firstLineChars="500"/>
      <w:jc w:val="both"/>
    </w:pPr>
    <w:rPr>
      <w:rFonts w:ascii="黑体" w:eastAsia="黑体"/>
      <w:szCs w:val="24"/>
    </w:rPr>
  </w:style>
  <w:style w:type="paragraph" w:customStyle="1" w:styleId="494">
    <w:name w:val="xl80"/>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495">
    <w:name w:val="CM9"/>
    <w:basedOn w:val="85"/>
    <w:next w:val="85"/>
    <w:autoRedefine/>
    <w:qFormat/>
    <w:uiPriority w:val="0"/>
    <w:pPr>
      <w:spacing w:line="403" w:lineRule="atLeast"/>
    </w:pPr>
    <w:rPr>
      <w:rFonts w:ascii="黑体" w:hAnsi="Calibri" w:eastAsia="黑体" w:cs="Times New Roman"/>
      <w:color w:val="auto"/>
    </w:rPr>
  </w:style>
  <w:style w:type="paragraph" w:customStyle="1" w:styleId="496">
    <w:name w:val="正文 首行缩进:  2 字符"/>
    <w:basedOn w:val="1"/>
    <w:autoRedefine/>
    <w:qFormat/>
    <w:uiPriority w:val="0"/>
    <w:pPr>
      <w:widowControl/>
      <w:spacing w:line="520" w:lineRule="exact"/>
      <w:ind w:firstLine="480" w:firstLineChars="200"/>
      <w:jc w:val="left"/>
    </w:pPr>
    <w:rPr>
      <w:rFonts w:cs="宋体"/>
      <w:kern w:val="0"/>
      <w:sz w:val="20"/>
      <w:szCs w:val="20"/>
    </w:rPr>
  </w:style>
  <w:style w:type="paragraph" w:customStyle="1" w:styleId="497">
    <w:name w:val="Plain Text1"/>
    <w:basedOn w:val="1"/>
    <w:autoRedefine/>
    <w:qFormat/>
    <w:uiPriority w:val="0"/>
    <w:pPr>
      <w:widowControl/>
      <w:adjustRightInd w:val="0"/>
      <w:jc w:val="left"/>
      <w:textAlignment w:val="baseline"/>
    </w:pPr>
    <w:rPr>
      <w:rFonts w:ascii="宋体" w:hAnsi="Courier New" w:cs="宋体"/>
      <w:kern w:val="0"/>
      <w:sz w:val="28"/>
      <w:szCs w:val="20"/>
    </w:rPr>
  </w:style>
  <w:style w:type="paragraph" w:customStyle="1" w:styleId="498">
    <w:name w:val="表格文本 五号 居中 单倍行距 Char Char"/>
    <w:basedOn w:val="1"/>
    <w:autoRedefine/>
    <w:qFormat/>
    <w:uiPriority w:val="0"/>
    <w:pPr>
      <w:keepNext/>
      <w:widowControl/>
      <w:adjustRightInd w:val="0"/>
      <w:snapToGrid w:val="0"/>
      <w:jc w:val="center"/>
      <w:textAlignment w:val="baseline"/>
    </w:pPr>
    <w:rPr>
      <w:rFonts w:cs="宋体"/>
      <w:kern w:val="0"/>
      <w:sz w:val="20"/>
    </w:rPr>
  </w:style>
  <w:style w:type="paragraph" w:customStyle="1" w:styleId="49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500">
    <w:name w:val="正文样式 Char Char Char Char Char"/>
    <w:basedOn w:val="1"/>
    <w:autoRedefine/>
    <w:qFormat/>
    <w:uiPriority w:val="0"/>
    <w:pPr>
      <w:widowControl/>
      <w:ind w:firstLine="480" w:firstLineChars="200"/>
      <w:jc w:val="left"/>
    </w:pPr>
    <w:rPr>
      <w:rFonts w:ascii="宋体" w:hAnsi="宋体" w:cs="宋体"/>
      <w:color w:val="000000"/>
      <w:kern w:val="0"/>
      <w:sz w:val="20"/>
      <w:szCs w:val="20"/>
    </w:rPr>
  </w:style>
  <w:style w:type="paragraph" w:customStyle="1" w:styleId="501">
    <w:name w:val="Char Char2 Char"/>
    <w:basedOn w:val="1"/>
    <w:autoRedefine/>
    <w:qFormat/>
    <w:uiPriority w:val="0"/>
    <w:pPr>
      <w:widowControl/>
      <w:jc w:val="left"/>
    </w:pPr>
    <w:rPr>
      <w:rFonts w:cs="宋体"/>
      <w:kern w:val="0"/>
      <w:sz w:val="20"/>
      <w:szCs w:val="20"/>
    </w:rPr>
  </w:style>
  <w:style w:type="paragraph" w:customStyle="1" w:styleId="502">
    <w:name w:val="页眉计数"/>
    <w:basedOn w:val="47"/>
    <w:autoRedefine/>
    <w:qFormat/>
    <w:uiPriority w:val="0"/>
    <w:pPr>
      <w:ind w:left="840" w:hanging="360"/>
    </w:pPr>
    <w:rPr>
      <w:color w:val="000000"/>
      <w:sz w:val="21"/>
      <w:lang w:val="el-GR"/>
    </w:rPr>
  </w:style>
  <w:style w:type="paragraph" w:customStyle="1" w:styleId="503">
    <w:name w:val="Body Single"/>
    <w:autoRedefine/>
    <w:qFormat/>
    <w:uiPriority w:val="0"/>
    <w:rPr>
      <w:rFonts w:ascii="Times New Roman" w:hAnsi="Times New Roman" w:eastAsia="PMingLiU" w:cs="宋体"/>
      <w:color w:val="000000"/>
      <w:sz w:val="24"/>
      <w:szCs w:val="24"/>
      <w:lang w:val="en-US" w:eastAsia="zh-TW" w:bidi="ar-SA"/>
    </w:rPr>
  </w:style>
  <w:style w:type="paragraph" w:customStyle="1" w:styleId="504">
    <w:name w:val="xl2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16"/>
      <w:szCs w:val="16"/>
    </w:rPr>
  </w:style>
  <w:style w:type="paragraph" w:customStyle="1" w:styleId="505">
    <w:name w:val="xl29"/>
    <w:basedOn w:val="1"/>
    <w:autoRedefine/>
    <w:qFormat/>
    <w:uiPriority w:val="0"/>
    <w:pPr>
      <w:widowControl/>
      <w:spacing w:before="100" w:beforeAutospacing="1" w:after="100" w:afterAutospacing="1"/>
      <w:jc w:val="center"/>
    </w:pPr>
    <w:rPr>
      <w:rFonts w:ascii="宋体" w:hAnsi="宋体" w:cs="宋体"/>
      <w:b/>
      <w:bCs/>
      <w:kern w:val="0"/>
      <w:sz w:val="16"/>
      <w:szCs w:val="16"/>
    </w:rPr>
  </w:style>
  <w:style w:type="paragraph" w:customStyle="1" w:styleId="506">
    <w:name w:val="GB-条文"/>
    <w:autoRedefine/>
    <w:qFormat/>
    <w:uiPriority w:val="0"/>
    <w:pPr>
      <w:widowControl w:val="0"/>
      <w:adjustRightInd w:val="0"/>
      <w:snapToGrid w:val="0"/>
      <w:spacing w:line="360" w:lineRule="auto"/>
      <w:ind w:firstLine="420" w:firstLineChars="200"/>
      <w:jc w:val="both"/>
    </w:pPr>
    <w:rPr>
      <w:rFonts w:ascii="宋体" w:hAnsi="宋体" w:eastAsia="宋体" w:cs="宋体"/>
      <w:sz w:val="21"/>
      <w:szCs w:val="24"/>
      <w:lang w:val="en-US" w:eastAsia="zh-CN" w:bidi="ar-SA"/>
    </w:rPr>
  </w:style>
  <w:style w:type="paragraph" w:customStyle="1" w:styleId="507">
    <w:name w:val="标题样式2"/>
    <w:basedOn w:val="4"/>
    <w:autoRedefine/>
    <w:qFormat/>
    <w:uiPriority w:val="0"/>
    <w:pPr>
      <w:keepLines/>
      <w:spacing w:beforeLines="50" w:afterLines="50" w:line="480" w:lineRule="atLeast"/>
      <w:jc w:val="both"/>
    </w:pPr>
    <w:rPr>
      <w:rFonts w:ascii="黑体" w:hAnsi="Arial" w:eastAsia="黑体"/>
      <w:szCs w:val="28"/>
      <w:lang w:val="en-US"/>
    </w:rPr>
  </w:style>
  <w:style w:type="paragraph" w:customStyle="1" w:styleId="508">
    <w:name w:val="表格文字2"/>
    <w:basedOn w:val="1"/>
    <w:autoRedefine/>
    <w:qFormat/>
    <w:uiPriority w:val="0"/>
    <w:pPr>
      <w:widowControl/>
      <w:tabs>
        <w:tab w:val="left" w:pos="277"/>
        <w:tab w:val="left" w:pos="600"/>
        <w:tab w:val="left" w:pos="780"/>
        <w:tab w:val="left" w:pos="2517"/>
      </w:tabs>
      <w:adjustRightInd w:val="0"/>
      <w:spacing w:before="60"/>
      <w:jc w:val="center"/>
      <w:textAlignment w:val="baseline"/>
    </w:pPr>
    <w:rPr>
      <w:rFonts w:cs="宋体"/>
      <w:kern w:val="0"/>
      <w:sz w:val="20"/>
    </w:rPr>
  </w:style>
  <w:style w:type="paragraph" w:customStyle="1" w:styleId="509">
    <w:name w:val="Char Char1 Char Char Char Char Char Char Char"/>
    <w:basedOn w:val="1"/>
    <w:autoRedefine/>
    <w:qFormat/>
    <w:uiPriority w:val="0"/>
    <w:pPr>
      <w:widowControl/>
      <w:jc w:val="left"/>
    </w:pPr>
    <w:rPr>
      <w:rFonts w:cs="宋体"/>
      <w:kern w:val="0"/>
      <w:sz w:val="20"/>
      <w:szCs w:val="20"/>
    </w:rPr>
  </w:style>
  <w:style w:type="paragraph" w:customStyle="1" w:styleId="510">
    <w:name w:val="reader-word-layer reader-word-s30-4"/>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511">
    <w:name w:val="1 Char Char Char Char Char Char Char Char Char Char Char Char Char Char Char1 Char Char Char Char Char Char Char"/>
    <w:basedOn w:val="1"/>
    <w:autoRedefine/>
    <w:qFormat/>
    <w:uiPriority w:val="0"/>
    <w:pPr>
      <w:widowControl/>
      <w:jc w:val="left"/>
    </w:pPr>
    <w:rPr>
      <w:rFonts w:cs="宋体"/>
      <w:kern w:val="0"/>
      <w:sz w:val="20"/>
      <w:szCs w:val="20"/>
    </w:rPr>
  </w:style>
  <w:style w:type="paragraph" w:customStyle="1" w:styleId="512">
    <w:name w:val="非居中表格"/>
    <w:basedOn w:val="1"/>
    <w:autoRedefine/>
    <w:qFormat/>
    <w:uiPriority w:val="0"/>
    <w:pPr>
      <w:widowControl/>
      <w:adjustRightInd w:val="0"/>
      <w:spacing w:before="60" w:after="60"/>
      <w:jc w:val="center"/>
      <w:textAlignment w:val="baseline"/>
    </w:pPr>
    <w:rPr>
      <w:rFonts w:ascii="宋体" w:cs="宋体"/>
      <w:kern w:val="0"/>
      <w:sz w:val="20"/>
      <w:szCs w:val="20"/>
    </w:rPr>
  </w:style>
  <w:style w:type="paragraph" w:customStyle="1" w:styleId="513">
    <w:name w:val="平正文"/>
    <w:basedOn w:val="1"/>
    <w:autoRedefine/>
    <w:qFormat/>
    <w:uiPriority w:val="0"/>
    <w:pPr>
      <w:widowControl/>
      <w:spacing w:line="520" w:lineRule="exact"/>
      <w:ind w:firstLine="560" w:firstLineChars="200"/>
      <w:jc w:val="left"/>
    </w:pPr>
    <w:rPr>
      <w:rFonts w:cs="宋体"/>
      <w:kern w:val="0"/>
      <w:sz w:val="28"/>
      <w:szCs w:val="28"/>
    </w:rPr>
  </w:style>
  <w:style w:type="paragraph" w:customStyle="1" w:styleId="514">
    <w:name w:val="Char Char1 Char Char Char Char Char Char Char Char Char1 Char3"/>
    <w:basedOn w:val="1"/>
    <w:autoRedefine/>
    <w:qFormat/>
    <w:uiPriority w:val="0"/>
    <w:pPr>
      <w:widowControl/>
      <w:jc w:val="left"/>
    </w:pPr>
    <w:rPr>
      <w:rFonts w:cs="宋体"/>
      <w:kern w:val="0"/>
      <w:sz w:val="20"/>
      <w:szCs w:val="20"/>
    </w:rPr>
  </w:style>
  <w:style w:type="paragraph" w:customStyle="1" w:styleId="515">
    <w:name w:val="xl7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6">
    <w:name w:val="标题样式3"/>
    <w:basedOn w:val="5"/>
    <w:autoRedefine/>
    <w:qFormat/>
    <w:uiPriority w:val="0"/>
    <w:pPr>
      <w:keepNext w:val="0"/>
      <w:keepLines/>
      <w:tabs>
        <w:tab w:val="left" w:pos="720"/>
      </w:tabs>
      <w:spacing w:line="480" w:lineRule="exact"/>
    </w:pPr>
    <w:rPr>
      <w:rFonts w:ascii="黑体" w:hAnsi="Arial" w:eastAsia="黑体" w:cs="黑体"/>
      <w:b/>
      <w:bCs/>
      <w:color w:val="000000"/>
      <w:sz w:val="28"/>
      <w:szCs w:val="28"/>
    </w:rPr>
  </w:style>
  <w:style w:type="paragraph" w:customStyle="1" w:styleId="517">
    <w:name w:val="样式 标题 1 + 段前: 0.5 行 段后: 0.5 行"/>
    <w:basedOn w:val="3"/>
    <w:autoRedefine/>
    <w:qFormat/>
    <w:uiPriority w:val="0"/>
    <w:pPr>
      <w:keepLines/>
      <w:tabs>
        <w:tab w:val="left" w:pos="0"/>
      </w:tabs>
      <w:adjustRightInd w:val="0"/>
      <w:snapToGrid w:val="0"/>
      <w:spacing w:beforeLines="100" w:after="50" w:afterLines="50"/>
      <w:ind w:firstLine="980"/>
    </w:pPr>
    <w:rPr>
      <w:rFonts w:eastAsia="华文楷体"/>
      <w:bCs/>
      <w:kern w:val="44"/>
    </w:rPr>
  </w:style>
  <w:style w:type="paragraph" w:customStyle="1" w:styleId="518">
    <w:name w:val="xl22"/>
    <w:basedOn w:val="1"/>
    <w:autoRedefine/>
    <w:qFormat/>
    <w:uiPriority w:val="0"/>
    <w:pPr>
      <w:widowControl/>
      <w:pBdr>
        <w:bottom w:val="single" w:color="auto" w:sz="4" w:space="0"/>
        <w:right w:val="single" w:color="auto" w:sz="4" w:space="0"/>
      </w:pBdr>
      <w:spacing w:before="100" w:after="100"/>
      <w:jc w:val="center"/>
    </w:pPr>
    <w:rPr>
      <w:rFonts w:ascii="宋体" w:hAnsi="宋体" w:cs="宋体"/>
      <w:kern w:val="0"/>
      <w:sz w:val="20"/>
      <w:szCs w:val="20"/>
    </w:rPr>
  </w:style>
  <w:style w:type="paragraph" w:customStyle="1" w:styleId="519">
    <w:name w:val="xl3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cs="宋体"/>
      <w:kern w:val="0"/>
      <w:sz w:val="16"/>
      <w:szCs w:val="16"/>
    </w:rPr>
  </w:style>
  <w:style w:type="paragraph" w:customStyle="1" w:styleId="520">
    <w:name w:val="Char Char Char1 Char Char Char Char Char Char Char"/>
    <w:basedOn w:val="1"/>
    <w:autoRedefine/>
    <w:qFormat/>
    <w:uiPriority w:val="0"/>
    <w:pPr>
      <w:widowControl/>
      <w:jc w:val="left"/>
    </w:pPr>
    <w:rPr>
      <w:rFonts w:cs="宋体"/>
      <w:kern w:val="0"/>
      <w:sz w:val="20"/>
      <w:szCs w:val="20"/>
    </w:rPr>
  </w:style>
  <w:style w:type="paragraph" w:customStyle="1" w:styleId="521">
    <w:name w:val="Char Char Char2 Char"/>
    <w:basedOn w:val="1"/>
    <w:autoRedefine/>
    <w:qFormat/>
    <w:uiPriority w:val="0"/>
    <w:pPr>
      <w:widowControl/>
      <w:jc w:val="left"/>
    </w:pPr>
    <w:rPr>
      <w:rFonts w:cs="宋体"/>
      <w:kern w:val="0"/>
      <w:sz w:val="20"/>
      <w:szCs w:val="20"/>
    </w:rPr>
  </w:style>
  <w:style w:type="paragraph" w:customStyle="1" w:styleId="522">
    <w:name w:val="Char Char Char Char Char Char1 Char1"/>
    <w:basedOn w:val="1"/>
    <w:autoRedefine/>
    <w:qFormat/>
    <w:uiPriority w:val="0"/>
    <w:pPr>
      <w:widowControl/>
      <w:jc w:val="left"/>
    </w:pPr>
    <w:rPr>
      <w:rFonts w:cs="宋体"/>
      <w:kern w:val="0"/>
      <w:sz w:val="20"/>
      <w:szCs w:val="20"/>
    </w:rPr>
  </w:style>
  <w:style w:type="paragraph" w:customStyle="1" w:styleId="523">
    <w:name w:val="1 Char Char Char Char Char Char Char Char Char Char"/>
    <w:basedOn w:val="1"/>
    <w:autoRedefine/>
    <w:qFormat/>
    <w:uiPriority w:val="0"/>
    <w:pPr>
      <w:widowControl/>
      <w:jc w:val="left"/>
    </w:pPr>
    <w:rPr>
      <w:rFonts w:cs="宋体"/>
      <w:kern w:val="0"/>
      <w:sz w:val="20"/>
      <w:szCs w:val="20"/>
    </w:rPr>
  </w:style>
  <w:style w:type="paragraph" w:customStyle="1" w:styleId="524">
    <w:name w:val="正文新"/>
    <w:basedOn w:val="38"/>
    <w:autoRedefine/>
    <w:qFormat/>
    <w:uiPriority w:val="0"/>
    <w:pPr>
      <w:spacing w:before="120" w:after="120" w:line="300" w:lineRule="auto"/>
      <w:ind w:firstLine="510"/>
    </w:pPr>
    <w:rPr>
      <w:rFonts w:hAnsi="Arial"/>
      <w:sz w:val="24"/>
      <w:lang w:val="en-US"/>
    </w:rPr>
  </w:style>
  <w:style w:type="paragraph" w:customStyle="1" w:styleId="525">
    <w:name w:val="居中正文"/>
    <w:basedOn w:val="67"/>
    <w:autoRedefine/>
    <w:qFormat/>
    <w:uiPriority w:val="0"/>
    <w:pPr>
      <w:adjustRightInd w:val="0"/>
      <w:spacing w:after="0" w:line="360" w:lineRule="auto"/>
      <w:ind w:firstLine="0" w:firstLineChars="0"/>
      <w:jc w:val="center"/>
      <w:textAlignment w:val="baseline"/>
    </w:pPr>
    <w:rPr>
      <w:rFonts w:ascii="宋体" w:hAnsi="Calibri"/>
      <w:kern w:val="28"/>
      <w:sz w:val="24"/>
      <w:szCs w:val="20"/>
    </w:rPr>
  </w:style>
  <w:style w:type="paragraph" w:customStyle="1" w:styleId="526">
    <w:name w:val="reader-word-layer reader-word-s30-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527">
    <w:name w:val="标准文本 居中 单倍行距 Char Char"/>
    <w:basedOn w:val="1"/>
    <w:autoRedefine/>
    <w:qFormat/>
    <w:uiPriority w:val="0"/>
    <w:pPr>
      <w:widowControl/>
      <w:adjustRightInd w:val="0"/>
      <w:snapToGrid w:val="0"/>
      <w:jc w:val="center"/>
      <w:textAlignment w:val="center"/>
    </w:pPr>
    <w:rPr>
      <w:rFonts w:cs="宋体"/>
      <w:kern w:val="0"/>
      <w:sz w:val="20"/>
      <w:szCs w:val="20"/>
    </w:rPr>
  </w:style>
  <w:style w:type="paragraph" w:customStyle="1" w:styleId="528">
    <w:name w:val="表字"/>
    <w:basedOn w:val="1"/>
    <w:autoRedefine/>
    <w:qFormat/>
    <w:uiPriority w:val="0"/>
    <w:pPr>
      <w:widowControl/>
      <w:jc w:val="center"/>
    </w:pPr>
    <w:rPr>
      <w:rFonts w:eastAsia="仿宋_GB2312" w:cs="宋体"/>
      <w:kern w:val="0"/>
      <w:sz w:val="20"/>
      <w:szCs w:val="20"/>
    </w:rPr>
  </w:style>
  <w:style w:type="paragraph" w:customStyle="1" w:styleId="529">
    <w:name w:val="正文两端对齐"/>
    <w:basedOn w:val="1"/>
    <w:autoRedefine/>
    <w:qFormat/>
    <w:uiPriority w:val="0"/>
    <w:pPr>
      <w:widowControl/>
      <w:spacing w:line="400" w:lineRule="exact"/>
      <w:jc w:val="left"/>
    </w:pPr>
    <w:rPr>
      <w:rFonts w:cs="宋体"/>
      <w:kern w:val="0"/>
      <w:sz w:val="20"/>
      <w:szCs w:val="20"/>
    </w:rPr>
  </w:style>
  <w:style w:type="paragraph" w:customStyle="1" w:styleId="530">
    <w:name w:val="TOC 标题1"/>
    <w:basedOn w:val="3"/>
    <w:next w:val="1"/>
    <w:autoRedefine/>
    <w:qFormat/>
    <w:uiPriority w:val="39"/>
    <w:pPr>
      <w:keepLines/>
      <w:spacing w:before="240" w:line="259" w:lineRule="auto"/>
      <w:jc w:val="left"/>
      <w:outlineLvl w:val="9"/>
    </w:pPr>
    <w:rPr>
      <w:rFonts w:ascii="Calibri Light" w:hAnsi="Calibri Light"/>
      <w:color w:val="2E74B5"/>
      <w:szCs w:val="32"/>
    </w:rPr>
  </w:style>
  <w:style w:type="paragraph" w:customStyle="1" w:styleId="531">
    <w:name w:val="Char4 Char Char Char Char Char Char1"/>
    <w:basedOn w:val="1"/>
    <w:autoRedefine/>
    <w:qFormat/>
    <w:uiPriority w:val="0"/>
    <w:pPr>
      <w:widowControl/>
      <w:ind w:firstLine="200" w:firstLineChars="200"/>
      <w:jc w:val="left"/>
    </w:pPr>
    <w:rPr>
      <w:rFonts w:ascii="宋体" w:hAnsi="宋体" w:cs="宋体"/>
      <w:kern w:val="0"/>
      <w:sz w:val="20"/>
      <w:szCs w:val="20"/>
    </w:rPr>
  </w:style>
  <w:style w:type="paragraph" w:customStyle="1" w:styleId="532">
    <w:name w:val="CM8"/>
    <w:basedOn w:val="85"/>
    <w:next w:val="85"/>
    <w:autoRedefine/>
    <w:qFormat/>
    <w:uiPriority w:val="0"/>
    <w:pPr>
      <w:spacing w:line="403" w:lineRule="atLeast"/>
    </w:pPr>
    <w:rPr>
      <w:rFonts w:ascii="黑体" w:eastAsia="黑体" w:cs="Times New Roman"/>
      <w:color w:val="auto"/>
    </w:rPr>
  </w:style>
  <w:style w:type="paragraph" w:customStyle="1" w:styleId="533">
    <w:name w:val="样式 页眉 + 宋体 黑色 段前: 0 磅 段后: 0 磅 行距: 固定值 12 磅"/>
    <w:basedOn w:val="47"/>
    <w:autoRedefine/>
    <w:qFormat/>
    <w:uiPriority w:val="0"/>
    <w:pPr>
      <w:pBdr>
        <w:bottom w:val="none" w:color="auto" w:sz="0" w:space="0"/>
      </w:pBdr>
      <w:tabs>
        <w:tab w:val="clear" w:pos="4153"/>
        <w:tab w:val="clear" w:pos="8306"/>
      </w:tabs>
      <w:snapToGrid/>
      <w:spacing w:line="240" w:lineRule="exact"/>
    </w:pPr>
    <w:rPr>
      <w:rFonts w:ascii="宋体" w:hAnsi="宋体"/>
      <w:color w:val="000000"/>
      <w:sz w:val="21"/>
      <w:szCs w:val="20"/>
    </w:rPr>
  </w:style>
  <w:style w:type="paragraph" w:customStyle="1" w:styleId="534">
    <w:name w:val="22222222"/>
    <w:basedOn w:val="4"/>
    <w:autoRedefine/>
    <w:qFormat/>
    <w:uiPriority w:val="0"/>
    <w:pPr>
      <w:keepLines/>
      <w:spacing w:line="480" w:lineRule="exact"/>
      <w:jc w:val="left"/>
    </w:pPr>
    <w:rPr>
      <w:rFonts w:ascii="Arial" w:hAnsi="Arial" w:eastAsia="黑体"/>
      <w:bCs/>
      <w:szCs w:val="32"/>
      <w:lang w:val="en-US"/>
    </w:rPr>
  </w:style>
  <w:style w:type="paragraph" w:customStyle="1" w:styleId="535">
    <w:name w:val="样式 标题 3 + Times New Roman 段后: 7.8 磅"/>
    <w:basedOn w:val="5"/>
    <w:autoRedefine/>
    <w:qFormat/>
    <w:uiPriority w:val="0"/>
    <w:pPr>
      <w:keepLines/>
      <w:tabs>
        <w:tab w:val="left" w:pos="1260"/>
      </w:tabs>
      <w:adjustRightInd w:val="0"/>
      <w:snapToGrid w:val="0"/>
      <w:spacing w:after="50" w:afterLines="50" w:line="240" w:lineRule="auto"/>
      <w:ind w:left="1260" w:hanging="420"/>
    </w:pPr>
    <w:rPr>
      <w:rFonts w:ascii="黑体" w:hAnsi="Arial" w:eastAsia="华文楷体" w:cs="Arial"/>
      <w:bCs/>
      <w:sz w:val="28"/>
      <w:lang w:val="en-US"/>
    </w:rPr>
  </w:style>
  <w:style w:type="paragraph" w:customStyle="1" w:styleId="536">
    <w:name w:val="Char Char Char Char Char Char1 Char Char Char Char"/>
    <w:basedOn w:val="1"/>
    <w:autoRedefine/>
    <w:qFormat/>
    <w:uiPriority w:val="0"/>
    <w:pPr>
      <w:widowControl/>
      <w:jc w:val="left"/>
    </w:pPr>
    <w:rPr>
      <w:rFonts w:cs="宋体"/>
      <w:kern w:val="0"/>
      <w:sz w:val="20"/>
      <w:szCs w:val="20"/>
    </w:rPr>
  </w:style>
  <w:style w:type="paragraph" w:customStyle="1" w:styleId="537">
    <w:name w:val="表"/>
    <w:basedOn w:val="1"/>
    <w:autoRedefine/>
    <w:qFormat/>
    <w:uiPriority w:val="0"/>
    <w:pPr>
      <w:widowControl/>
      <w:tabs>
        <w:tab w:val="left" w:leader="dot" w:pos="252"/>
        <w:tab w:val="left" w:pos="907"/>
      </w:tabs>
      <w:autoSpaceDE w:val="0"/>
      <w:autoSpaceDN w:val="0"/>
      <w:adjustRightInd w:val="0"/>
      <w:spacing w:line="360" w:lineRule="exact"/>
      <w:ind w:left="-107" w:leftChars="-45"/>
      <w:jc w:val="center"/>
      <w:outlineLvl w:val="8"/>
    </w:pPr>
    <w:rPr>
      <w:rFonts w:ascii="Arial" w:hAnsi="Arial" w:eastAsia="仿宋_GB2312" w:cs="Arial"/>
      <w:color w:val="000000"/>
      <w:kern w:val="0"/>
      <w:sz w:val="20"/>
      <w:lang w:val="zh-CN"/>
    </w:rPr>
  </w:style>
  <w:style w:type="paragraph" w:customStyle="1" w:styleId="538">
    <w:name w:val="reader-word-layer reader-word-s30-23"/>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539">
    <w:name w:val="样式 正文首行缩进 2 + Times New Roman + 首行缩进:  2 字符1"/>
    <w:basedOn w:val="1"/>
    <w:autoRedefine/>
    <w:semiHidden/>
    <w:qFormat/>
    <w:uiPriority w:val="0"/>
    <w:pPr>
      <w:widowControl/>
      <w:adjustRightInd w:val="0"/>
      <w:snapToGrid w:val="0"/>
      <w:spacing w:line="360" w:lineRule="atLeast"/>
      <w:jc w:val="center"/>
    </w:pPr>
    <w:rPr>
      <w:rFonts w:eastAsia="PMingLiU" w:cs="宋体"/>
      <w:kern w:val="0"/>
      <w:sz w:val="18"/>
      <w:szCs w:val="20"/>
    </w:rPr>
  </w:style>
  <w:style w:type="paragraph" w:customStyle="1" w:styleId="540">
    <w:name w:val="样式 标题 2 + Times New Roman"/>
    <w:basedOn w:val="4"/>
    <w:autoRedefine/>
    <w:qFormat/>
    <w:uiPriority w:val="0"/>
    <w:pPr>
      <w:keepLines/>
      <w:tabs>
        <w:tab w:val="left" w:pos="840"/>
      </w:tabs>
      <w:adjustRightInd w:val="0"/>
      <w:snapToGrid w:val="0"/>
      <w:spacing w:beforeLines="50" w:after="50" w:afterLines="50" w:line="240" w:lineRule="auto"/>
      <w:ind w:hanging="420"/>
      <w:jc w:val="both"/>
    </w:pPr>
    <w:rPr>
      <w:rFonts w:ascii="黑体" w:hAnsi="Arial" w:eastAsia="华文楷体"/>
      <w:bCs/>
      <w:szCs w:val="32"/>
      <w:lang w:val="en-US"/>
    </w:rPr>
  </w:style>
  <w:style w:type="paragraph" w:customStyle="1" w:styleId="541">
    <w:name w:val="样式2"/>
    <w:basedOn w:val="1"/>
    <w:autoRedefine/>
    <w:qFormat/>
    <w:uiPriority w:val="0"/>
    <w:pPr>
      <w:framePr w:hSpace="181" w:vSpace="181" w:wrap="notBeside" w:vAnchor="text" w:hAnchor="page" w:x="4452" w:y="1010"/>
      <w:widowControl/>
      <w:jc w:val="center"/>
    </w:pPr>
    <w:rPr>
      <w:rFonts w:ascii="宋体" w:cs="宋体"/>
      <w:kern w:val="0"/>
      <w:sz w:val="20"/>
      <w:szCs w:val="20"/>
    </w:rPr>
  </w:style>
  <w:style w:type="paragraph" w:customStyle="1" w:styleId="542">
    <w:name w:val="默认段落字体 Para Char"/>
    <w:basedOn w:val="1"/>
    <w:autoRedefine/>
    <w:qFormat/>
    <w:uiPriority w:val="0"/>
    <w:pPr>
      <w:widowControl/>
      <w:jc w:val="left"/>
    </w:pPr>
    <w:rPr>
      <w:rFonts w:cs="宋体"/>
      <w:kern w:val="0"/>
      <w:sz w:val="20"/>
      <w:szCs w:val="20"/>
    </w:rPr>
  </w:style>
  <w:style w:type="paragraph" w:customStyle="1" w:styleId="543">
    <w:name w:val="xl3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仿宋_GB2312" w:hAnsi="宋体" w:eastAsia="仿宋_GB2312" w:cs="宋体"/>
      <w:kern w:val="0"/>
      <w:sz w:val="20"/>
      <w:szCs w:val="20"/>
    </w:rPr>
  </w:style>
  <w:style w:type="paragraph" w:customStyle="1" w:styleId="544">
    <w:name w:val="xl43"/>
    <w:basedOn w:val="1"/>
    <w:autoRedefine/>
    <w:qFormat/>
    <w:uiPriority w:val="0"/>
    <w:pPr>
      <w:widowControl/>
      <w:spacing w:before="100" w:beforeAutospacing="1" w:after="100" w:afterAutospacing="1"/>
      <w:jc w:val="center"/>
    </w:pPr>
    <w:rPr>
      <w:rFonts w:ascii="宋体" w:hAnsi="宋体" w:cs="宋体"/>
      <w:kern w:val="0"/>
      <w:sz w:val="20"/>
      <w:szCs w:val="20"/>
    </w:rPr>
  </w:style>
  <w:style w:type="paragraph" w:customStyle="1" w:styleId="545">
    <w:name w:val="中文报告书"/>
    <w:basedOn w:val="1"/>
    <w:autoRedefine/>
    <w:qFormat/>
    <w:uiPriority w:val="0"/>
    <w:pPr>
      <w:widowControl/>
      <w:adjustRightInd w:val="0"/>
      <w:spacing w:after="80" w:line="420" w:lineRule="atLeast"/>
      <w:jc w:val="left"/>
      <w:textAlignment w:val="baseline"/>
    </w:pPr>
    <w:rPr>
      <w:rFonts w:cs="宋体"/>
      <w:kern w:val="0"/>
      <w:sz w:val="20"/>
      <w:szCs w:val="20"/>
    </w:rPr>
  </w:style>
  <w:style w:type="paragraph" w:customStyle="1" w:styleId="546">
    <w:name w:val="Char Char Char Char3"/>
    <w:basedOn w:val="1"/>
    <w:autoRedefine/>
    <w:qFormat/>
    <w:uiPriority w:val="0"/>
    <w:pPr>
      <w:widowControl/>
      <w:jc w:val="left"/>
    </w:pPr>
    <w:rPr>
      <w:rFonts w:cs="宋体"/>
      <w:kern w:val="0"/>
      <w:sz w:val="20"/>
      <w:szCs w:val="20"/>
    </w:rPr>
  </w:style>
  <w:style w:type="paragraph" w:customStyle="1" w:styleId="547">
    <w:name w:val="正文2"/>
    <w:autoRedefine/>
    <w:qFormat/>
    <w:uiPriority w:val="0"/>
    <w:pPr>
      <w:tabs>
        <w:tab w:val="right" w:pos="1474"/>
      </w:tabs>
      <w:spacing w:line="360" w:lineRule="auto"/>
    </w:pPr>
    <w:rPr>
      <w:rFonts w:ascii="Times New Roman" w:hAnsi="Times New Roman" w:eastAsia="宋体" w:cs="宋体"/>
      <w:sz w:val="24"/>
      <w:szCs w:val="24"/>
      <w:lang w:val="en-US" w:eastAsia="zh-CN" w:bidi="ar-SA"/>
    </w:rPr>
  </w:style>
  <w:style w:type="paragraph" w:customStyle="1" w:styleId="548">
    <w:name w:val="正文五"/>
    <w:basedOn w:val="1"/>
    <w:autoRedefine/>
    <w:qFormat/>
    <w:uiPriority w:val="0"/>
    <w:pPr>
      <w:widowControl/>
      <w:snapToGrid w:val="0"/>
      <w:jc w:val="center"/>
    </w:pPr>
    <w:rPr>
      <w:rFonts w:cs="宋体"/>
      <w:kern w:val="0"/>
      <w:sz w:val="20"/>
      <w:szCs w:val="28"/>
    </w:rPr>
  </w:style>
  <w:style w:type="paragraph" w:customStyle="1" w:styleId="549">
    <w:name w:val="正文居中五号"/>
    <w:basedOn w:val="1"/>
    <w:autoRedefine/>
    <w:qFormat/>
    <w:uiPriority w:val="0"/>
    <w:pPr>
      <w:widowControl/>
      <w:spacing w:line="400" w:lineRule="exact"/>
      <w:jc w:val="center"/>
    </w:pPr>
    <w:rPr>
      <w:rFonts w:cs="宋体"/>
      <w:kern w:val="0"/>
      <w:sz w:val="20"/>
      <w:szCs w:val="20"/>
    </w:rPr>
  </w:style>
  <w:style w:type="paragraph" w:customStyle="1" w:styleId="550">
    <w:name w:val="粗字表"/>
    <w:basedOn w:val="537"/>
    <w:autoRedefine/>
    <w:qFormat/>
    <w:uiPriority w:val="0"/>
    <w:pPr>
      <w:ind w:left="0" w:leftChars="0"/>
      <w:outlineLvl w:val="7"/>
    </w:pPr>
    <w:rPr>
      <w:b/>
      <w:szCs w:val="18"/>
      <w:lang w:val="en-US"/>
    </w:rPr>
  </w:style>
  <w:style w:type="paragraph" w:customStyle="1" w:styleId="551">
    <w:name w:val="Char"/>
    <w:basedOn w:val="1"/>
    <w:autoRedefine/>
    <w:qFormat/>
    <w:uiPriority w:val="0"/>
    <w:pPr>
      <w:widowControl/>
      <w:jc w:val="left"/>
    </w:pPr>
    <w:rPr>
      <w:rFonts w:cs="宋体"/>
      <w:kern w:val="0"/>
      <w:sz w:val="20"/>
      <w:szCs w:val="20"/>
    </w:rPr>
  </w:style>
  <w:style w:type="paragraph" w:customStyle="1" w:styleId="552">
    <w:name w:val="正文缩近"/>
    <w:basedOn w:val="1"/>
    <w:autoRedefine/>
    <w:qFormat/>
    <w:uiPriority w:val="0"/>
    <w:pPr>
      <w:widowControl/>
      <w:ind w:firstLine="560" w:firstLineChars="200"/>
      <w:jc w:val="left"/>
    </w:pPr>
    <w:rPr>
      <w:rFonts w:cs="宋体"/>
      <w:kern w:val="0"/>
      <w:sz w:val="28"/>
      <w:szCs w:val="28"/>
    </w:rPr>
  </w:style>
  <w:style w:type="paragraph" w:customStyle="1" w:styleId="553">
    <w:name w:val="Char Char Char Char Char Char Char Char Char Char"/>
    <w:basedOn w:val="1"/>
    <w:autoRedefine/>
    <w:qFormat/>
    <w:uiPriority w:val="0"/>
    <w:pPr>
      <w:widowControl/>
      <w:ind w:firstLine="200" w:firstLineChars="200"/>
      <w:jc w:val="left"/>
    </w:pPr>
    <w:rPr>
      <w:rFonts w:cs="宋体"/>
      <w:kern w:val="0"/>
      <w:sz w:val="20"/>
      <w:szCs w:val="20"/>
    </w:rPr>
  </w:style>
  <w:style w:type="paragraph" w:customStyle="1" w:styleId="554">
    <w:name w:val="样式 标题 2标题 2 Char + 四号"/>
    <w:basedOn w:val="4"/>
    <w:autoRedefine/>
    <w:qFormat/>
    <w:uiPriority w:val="0"/>
    <w:pPr>
      <w:keepNext w:val="0"/>
      <w:adjustRightInd w:val="0"/>
      <w:spacing w:beforeLines="50" w:afterLines="50" w:line="480" w:lineRule="exact"/>
      <w:jc w:val="both"/>
      <w:textAlignment w:val="baseline"/>
      <w:outlineLvl w:val="0"/>
    </w:pPr>
    <w:rPr>
      <w:rFonts w:ascii="宋体" w:hAnsi="Arial"/>
      <w:sz w:val="24"/>
      <w:szCs w:val="24"/>
      <w:lang w:val="en-US"/>
    </w:rPr>
  </w:style>
  <w:style w:type="paragraph" w:customStyle="1" w:styleId="555">
    <w:name w:val="Char Char Char Char Char Char3"/>
    <w:basedOn w:val="1"/>
    <w:autoRedefine/>
    <w:qFormat/>
    <w:uiPriority w:val="0"/>
    <w:pPr>
      <w:widowControl/>
      <w:jc w:val="left"/>
    </w:pPr>
    <w:rPr>
      <w:rFonts w:cs="宋体"/>
      <w:kern w:val="0"/>
      <w:sz w:val="20"/>
      <w:szCs w:val="20"/>
    </w:rPr>
  </w:style>
  <w:style w:type="paragraph" w:customStyle="1" w:styleId="556">
    <w:name w:val="样式 正文文字缩进 + 小四 首行缩进:  2 字符1"/>
    <w:basedOn w:val="30"/>
    <w:autoRedefine/>
    <w:qFormat/>
    <w:uiPriority w:val="0"/>
    <w:pPr>
      <w:spacing w:after="50" w:afterLines="50" w:line="400" w:lineRule="exact"/>
      <w:ind w:left="0" w:leftChars="0" w:firstLine="200" w:firstLineChars="200"/>
    </w:pPr>
    <w:rPr>
      <w:rFonts w:eastAsia="华文楷体"/>
      <w:sz w:val="28"/>
      <w:lang w:val="en-US"/>
    </w:rPr>
  </w:style>
  <w:style w:type="paragraph" w:customStyle="1" w:styleId="557">
    <w:name w:val="表名"/>
    <w:basedOn w:val="1"/>
    <w:autoRedefine/>
    <w:qFormat/>
    <w:uiPriority w:val="0"/>
    <w:pPr>
      <w:widowControl/>
      <w:jc w:val="center"/>
    </w:pPr>
    <w:rPr>
      <w:rFonts w:ascii="Arial" w:hAnsi="Arial" w:cs="宋体"/>
      <w:b/>
      <w:kern w:val="0"/>
      <w:sz w:val="20"/>
      <w:szCs w:val="18"/>
    </w:rPr>
  </w:style>
  <w:style w:type="paragraph" w:customStyle="1" w:styleId="558">
    <w:name w:val="1 Char Char Char Char Char Char Char Char Char Char Char Char Char"/>
    <w:basedOn w:val="1"/>
    <w:autoRedefine/>
    <w:qFormat/>
    <w:uiPriority w:val="0"/>
    <w:pPr>
      <w:widowControl/>
      <w:jc w:val="left"/>
    </w:pPr>
    <w:rPr>
      <w:rFonts w:cs="宋体"/>
      <w:kern w:val="0"/>
      <w:sz w:val="20"/>
      <w:szCs w:val="20"/>
    </w:rPr>
  </w:style>
  <w:style w:type="paragraph" w:customStyle="1" w:styleId="559">
    <w:name w:val="附录三级条标题"/>
    <w:basedOn w:val="1"/>
    <w:next w:val="272"/>
    <w:autoRedefine/>
    <w:qFormat/>
    <w:uiPriority w:val="0"/>
    <w:pPr>
      <w:widowControl/>
      <w:tabs>
        <w:tab w:val="left" w:pos="720"/>
        <w:tab w:val="left" w:pos="900"/>
      </w:tabs>
      <w:overflowPunct w:val="0"/>
      <w:autoSpaceDE w:val="0"/>
      <w:autoSpaceDN w:val="0"/>
      <w:spacing w:line="320" w:lineRule="exact"/>
      <w:jc w:val="left"/>
      <w:textAlignment w:val="baseline"/>
      <w:outlineLvl w:val="4"/>
    </w:pPr>
    <w:rPr>
      <w:rFonts w:ascii="黑体" w:hAnsi="Arial" w:cs="Arial"/>
      <w:kern w:val="21"/>
      <w:sz w:val="20"/>
      <w:szCs w:val="20"/>
    </w:rPr>
  </w:style>
  <w:style w:type="paragraph" w:customStyle="1" w:styleId="560">
    <w:name w:val="a"/>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561">
    <w:name w:val="样式 标题 1 +"/>
    <w:basedOn w:val="3"/>
    <w:autoRedefine/>
    <w:qFormat/>
    <w:uiPriority w:val="0"/>
    <w:pPr>
      <w:keepLines/>
      <w:spacing w:beforeLines="100" w:after="720" w:afterLines="300"/>
    </w:pPr>
    <w:rPr>
      <w:rFonts w:eastAsia="黑体"/>
      <w:b w:val="0"/>
      <w:bCs/>
      <w:sz w:val="36"/>
      <w:szCs w:val="44"/>
    </w:rPr>
  </w:style>
  <w:style w:type="paragraph" w:customStyle="1" w:styleId="562">
    <w:name w:val="列出段落11"/>
    <w:basedOn w:val="1"/>
    <w:autoRedefine/>
    <w:qFormat/>
    <w:uiPriority w:val="0"/>
    <w:pPr>
      <w:widowControl/>
      <w:ind w:firstLine="420" w:firstLineChars="200"/>
      <w:jc w:val="left"/>
    </w:pPr>
    <w:rPr>
      <w:rFonts w:ascii="Calibri" w:hAnsi="Calibri" w:cs="宋体"/>
      <w:kern w:val="0"/>
      <w:sz w:val="20"/>
      <w:szCs w:val="22"/>
    </w:rPr>
  </w:style>
  <w:style w:type="paragraph" w:customStyle="1" w:styleId="563">
    <w:name w:val="Char1"/>
    <w:basedOn w:val="1"/>
    <w:autoRedefine/>
    <w:qFormat/>
    <w:uiPriority w:val="0"/>
    <w:pPr>
      <w:widowControl/>
      <w:jc w:val="left"/>
    </w:pPr>
    <w:rPr>
      <w:rFonts w:cs="宋体"/>
      <w:kern w:val="0"/>
      <w:sz w:val="20"/>
      <w:szCs w:val="20"/>
    </w:rPr>
  </w:style>
  <w:style w:type="paragraph" w:customStyle="1" w:styleId="564">
    <w:name w:val="正文文本缩进1"/>
    <w:basedOn w:val="1"/>
    <w:next w:val="104"/>
    <w:autoRedefine/>
    <w:qFormat/>
    <w:uiPriority w:val="0"/>
    <w:pPr>
      <w:widowControl/>
      <w:jc w:val="center"/>
    </w:pPr>
    <w:rPr>
      <w:rFonts w:eastAsia="仿宋_GB2312" w:cs="宋体"/>
      <w:kern w:val="0"/>
      <w:sz w:val="28"/>
      <w:szCs w:val="20"/>
    </w:rPr>
  </w:style>
  <w:style w:type="paragraph" w:customStyle="1" w:styleId="565">
    <w:name w:val="bbsarticle"/>
    <w:basedOn w:val="1"/>
    <w:autoRedefine/>
    <w:qFormat/>
    <w:uiPriority w:val="0"/>
    <w:pPr>
      <w:widowControl/>
      <w:spacing w:before="100" w:beforeAutospacing="1" w:after="100" w:afterAutospacing="1" w:line="432" w:lineRule="auto"/>
      <w:jc w:val="left"/>
    </w:pPr>
    <w:rPr>
      <w:rFonts w:ascii="宋体" w:hAnsi="宋体" w:cs="宋体"/>
      <w:kern w:val="0"/>
      <w:sz w:val="27"/>
      <w:szCs w:val="27"/>
    </w:rPr>
  </w:style>
  <w:style w:type="paragraph" w:customStyle="1" w:styleId="566">
    <w:name w:val="公式 首行缩进:  2 字符"/>
    <w:basedOn w:val="1"/>
    <w:autoRedefine/>
    <w:qFormat/>
    <w:uiPriority w:val="0"/>
    <w:pPr>
      <w:widowControl/>
      <w:ind w:firstLine="200" w:firstLineChars="200"/>
      <w:jc w:val="left"/>
      <w:textAlignment w:val="center"/>
    </w:pPr>
    <w:rPr>
      <w:rFonts w:cs="宋体"/>
      <w:kern w:val="0"/>
      <w:sz w:val="20"/>
      <w:szCs w:val="20"/>
    </w:rPr>
  </w:style>
  <w:style w:type="paragraph" w:customStyle="1" w:styleId="567">
    <w:name w:val="Char2"/>
    <w:basedOn w:val="1"/>
    <w:autoRedefine/>
    <w:qFormat/>
    <w:uiPriority w:val="0"/>
    <w:pPr>
      <w:widowControl/>
      <w:ind w:firstLine="200" w:firstLineChars="200"/>
      <w:jc w:val="left"/>
    </w:pPr>
    <w:rPr>
      <w:rFonts w:ascii="宋体" w:hAnsi="宋体" w:cs="宋体"/>
      <w:kern w:val="0"/>
      <w:sz w:val="20"/>
      <w:szCs w:val="20"/>
    </w:rPr>
  </w:style>
  <w:style w:type="paragraph" w:customStyle="1" w:styleId="568">
    <w:name w:val="Char Char Char Char Char Char1 Char"/>
    <w:basedOn w:val="1"/>
    <w:autoRedefine/>
    <w:qFormat/>
    <w:uiPriority w:val="0"/>
    <w:pPr>
      <w:widowControl/>
      <w:jc w:val="left"/>
    </w:pPr>
    <w:rPr>
      <w:rFonts w:cs="宋体"/>
      <w:kern w:val="0"/>
      <w:sz w:val="20"/>
      <w:szCs w:val="20"/>
    </w:rPr>
  </w:style>
  <w:style w:type="paragraph" w:customStyle="1" w:styleId="569">
    <w:name w:val="样式 行距: 多倍行距 1.25 字行"/>
    <w:basedOn w:val="1"/>
    <w:autoRedefine/>
    <w:qFormat/>
    <w:uiPriority w:val="0"/>
    <w:pPr>
      <w:widowControl/>
      <w:spacing w:line="300" w:lineRule="auto"/>
      <w:ind w:firstLine="480" w:firstLineChars="200"/>
      <w:jc w:val="left"/>
    </w:pPr>
    <w:rPr>
      <w:rFonts w:cs="宋体"/>
      <w:kern w:val="0"/>
      <w:sz w:val="20"/>
      <w:szCs w:val="20"/>
    </w:rPr>
  </w:style>
  <w:style w:type="paragraph" w:customStyle="1" w:styleId="570">
    <w:name w:val="列出段落3"/>
    <w:basedOn w:val="1"/>
    <w:autoRedefine/>
    <w:qFormat/>
    <w:uiPriority w:val="0"/>
    <w:pPr>
      <w:widowControl/>
      <w:ind w:firstLine="420" w:firstLineChars="200"/>
      <w:jc w:val="left"/>
    </w:pPr>
    <w:rPr>
      <w:rFonts w:ascii="Calibri" w:hAnsi="Calibri" w:cs="宋体"/>
      <w:kern w:val="0"/>
      <w:sz w:val="20"/>
      <w:szCs w:val="22"/>
    </w:rPr>
  </w:style>
  <w:style w:type="paragraph" w:customStyle="1" w:styleId="571">
    <w:name w:val="ZhGP_正文 2"/>
    <w:basedOn w:val="1"/>
    <w:autoRedefine/>
    <w:qFormat/>
    <w:uiPriority w:val="0"/>
    <w:pPr>
      <w:widowControl/>
      <w:ind w:left="799" w:firstLine="480" w:firstLineChars="200"/>
      <w:jc w:val="left"/>
    </w:pPr>
    <w:rPr>
      <w:rFonts w:cs="宋体"/>
      <w:color w:val="0000FF"/>
      <w:kern w:val="0"/>
      <w:sz w:val="20"/>
      <w:szCs w:val="20"/>
    </w:rPr>
  </w:style>
  <w:style w:type="paragraph" w:customStyle="1" w:styleId="572">
    <w:name w:val="reader-word-layer"/>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573">
    <w:name w:val="Char Char Char Char Char Char Char Char Char3"/>
    <w:basedOn w:val="1"/>
    <w:autoRedefine/>
    <w:qFormat/>
    <w:uiPriority w:val="0"/>
    <w:pPr>
      <w:widowControl/>
      <w:jc w:val="left"/>
    </w:pPr>
    <w:rPr>
      <w:rFonts w:cs="宋体"/>
      <w:kern w:val="0"/>
      <w:sz w:val="20"/>
      <w:szCs w:val="20"/>
    </w:rPr>
  </w:style>
  <w:style w:type="paragraph" w:customStyle="1" w:styleId="574">
    <w:name w:val="xl37"/>
    <w:basedOn w:val="1"/>
    <w:autoRedefine/>
    <w:qFormat/>
    <w:uiPriority w:val="0"/>
    <w:pPr>
      <w:widowControl/>
      <w:pBdr>
        <w:top w:val="single" w:color="auto" w:sz="4" w:space="0"/>
        <w:bottom w:val="single" w:color="auto" w:sz="4" w:space="0"/>
      </w:pBdr>
      <w:spacing w:before="100" w:beforeAutospacing="1" w:after="100" w:afterAutospacing="1"/>
      <w:jc w:val="right"/>
    </w:pPr>
    <w:rPr>
      <w:rFonts w:ascii="宋体" w:hAnsi="宋体" w:cs="宋体"/>
      <w:kern w:val="0"/>
      <w:sz w:val="20"/>
      <w:szCs w:val="20"/>
    </w:rPr>
  </w:style>
  <w:style w:type="paragraph" w:customStyle="1" w:styleId="575">
    <w:name w:val="xl7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6">
    <w:name w:val="1 Char Char Char Char Char Char Char Char Char Char Char Char Char Char Char Char"/>
    <w:basedOn w:val="1"/>
    <w:autoRedefine/>
    <w:qFormat/>
    <w:uiPriority w:val="0"/>
    <w:pPr>
      <w:widowControl/>
      <w:jc w:val="left"/>
    </w:pPr>
    <w:rPr>
      <w:rFonts w:cs="宋体"/>
      <w:kern w:val="0"/>
      <w:sz w:val="20"/>
      <w:szCs w:val="20"/>
    </w:rPr>
  </w:style>
  <w:style w:type="paragraph" w:customStyle="1" w:styleId="577">
    <w:name w:val="字母编号列项（一级）"/>
    <w:autoRedefine/>
    <w:qFormat/>
    <w:uiPriority w:val="0"/>
    <w:pPr>
      <w:numPr>
        <w:ilvl w:val="1"/>
        <w:numId w:val="5"/>
      </w:numPr>
      <w:tabs>
        <w:tab w:val="left" w:pos="1200"/>
      </w:tabs>
      <w:jc w:val="both"/>
    </w:pPr>
    <w:rPr>
      <w:rFonts w:ascii="宋体" w:hAnsi="Times New Roman" w:eastAsia="宋体" w:cs="宋体"/>
      <w:sz w:val="21"/>
      <w:szCs w:val="24"/>
      <w:lang w:val="en-US" w:eastAsia="zh-CN" w:bidi="ar-SA"/>
    </w:rPr>
  </w:style>
  <w:style w:type="paragraph" w:customStyle="1" w:styleId="578">
    <w:name w:val="xl75"/>
    <w:basedOn w:val="1"/>
    <w:autoRedefine/>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9">
    <w:name w:val="xl3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580">
    <w:name w:val="Char Char Char Char Char Char Char Char Char Char Char Char1"/>
    <w:basedOn w:val="1"/>
    <w:autoRedefine/>
    <w:qFormat/>
    <w:uiPriority w:val="0"/>
    <w:pPr>
      <w:widowControl/>
      <w:adjustRightInd w:val="0"/>
      <w:jc w:val="left"/>
    </w:pPr>
    <w:rPr>
      <w:rFonts w:cs="宋体"/>
      <w:kern w:val="0"/>
      <w:sz w:val="20"/>
      <w:szCs w:val="20"/>
    </w:rPr>
  </w:style>
  <w:style w:type="paragraph" w:customStyle="1" w:styleId="581">
    <w:name w:val="图表文字"/>
    <w:basedOn w:val="1"/>
    <w:autoRedefine/>
    <w:qFormat/>
    <w:uiPriority w:val="0"/>
    <w:pPr>
      <w:widowControl/>
      <w:spacing w:line="300" w:lineRule="exact"/>
      <w:jc w:val="center"/>
    </w:pPr>
    <w:rPr>
      <w:rFonts w:cs="宋体"/>
      <w:bCs/>
      <w:kern w:val="0"/>
      <w:sz w:val="20"/>
      <w:szCs w:val="20"/>
    </w:rPr>
  </w:style>
  <w:style w:type="paragraph" w:customStyle="1" w:styleId="582">
    <w:name w:val="T表格"/>
    <w:autoRedefine/>
    <w:qFormat/>
    <w:uiPriority w:val="0"/>
    <w:pPr>
      <w:jc w:val="center"/>
    </w:pPr>
    <w:rPr>
      <w:rFonts w:ascii="Times New Roman" w:hAnsi="Times New Roman" w:eastAsia="宋体" w:cs="宋体"/>
      <w:sz w:val="21"/>
      <w:szCs w:val="24"/>
      <w:lang w:val="en-US" w:eastAsia="zh-CN" w:bidi="ar-SA"/>
    </w:rPr>
  </w:style>
  <w:style w:type="paragraph" w:customStyle="1" w:styleId="583">
    <w:name w:val="CM27"/>
    <w:basedOn w:val="85"/>
    <w:next w:val="85"/>
    <w:autoRedefine/>
    <w:qFormat/>
    <w:uiPriority w:val="0"/>
    <w:pPr>
      <w:spacing w:line="313" w:lineRule="atLeast"/>
    </w:pPr>
    <w:rPr>
      <w:rFonts w:ascii="黑体" w:hAnsi="Calibri" w:eastAsia="黑体" w:cs="Times New Roman"/>
      <w:color w:val="auto"/>
    </w:rPr>
  </w:style>
  <w:style w:type="paragraph" w:customStyle="1" w:styleId="584">
    <w:name w:val="封面标准名称"/>
    <w:autoRedefine/>
    <w:qFormat/>
    <w:uiPriority w:val="0"/>
    <w:pPr>
      <w:widowControl w:val="0"/>
      <w:spacing w:line="680" w:lineRule="exact"/>
      <w:jc w:val="center"/>
      <w:textAlignment w:val="center"/>
    </w:pPr>
    <w:rPr>
      <w:rFonts w:ascii="黑体" w:hAnsi="Times New Roman" w:eastAsia="黑体" w:cs="宋体"/>
      <w:sz w:val="52"/>
      <w:szCs w:val="24"/>
      <w:lang w:val="en-US" w:eastAsia="zh-CN" w:bidi="ar-SA"/>
    </w:rPr>
  </w:style>
  <w:style w:type="paragraph" w:customStyle="1" w:styleId="585">
    <w:name w:val="样式 标题 1 + 宋体 四号 居中 段前: 5 磅 段后: 5 磅 行距: 最小值 20 磅"/>
    <w:basedOn w:val="3"/>
    <w:autoRedefine/>
    <w:qFormat/>
    <w:uiPriority w:val="0"/>
    <w:pPr>
      <w:keepLines/>
      <w:spacing w:beforeLines="100" w:afterLines="100" w:line="480" w:lineRule="exact"/>
    </w:pPr>
    <w:rPr>
      <w:rFonts w:ascii="黑体" w:hAnsi="宋体" w:eastAsia="黑体"/>
      <w:bCs/>
      <w:kern w:val="44"/>
      <w:sz w:val="36"/>
      <w:szCs w:val="36"/>
    </w:rPr>
  </w:style>
  <w:style w:type="paragraph" w:customStyle="1" w:styleId="586">
    <w:name w:val="6"/>
    <w:basedOn w:val="1"/>
    <w:next w:val="38"/>
    <w:autoRedefine/>
    <w:qFormat/>
    <w:uiPriority w:val="0"/>
    <w:pPr>
      <w:widowControl/>
      <w:spacing w:line="460" w:lineRule="exact"/>
      <w:ind w:firstLine="441" w:firstLineChars="210"/>
      <w:jc w:val="left"/>
    </w:pPr>
    <w:rPr>
      <w:rFonts w:ascii="宋体" w:hAnsi="Courier New" w:cs="宋体"/>
      <w:kern w:val="0"/>
      <w:sz w:val="20"/>
      <w:szCs w:val="20"/>
    </w:rPr>
  </w:style>
  <w:style w:type="paragraph" w:customStyle="1" w:styleId="587">
    <w:name w:val="a)"/>
    <w:basedOn w:val="1"/>
    <w:autoRedefine/>
    <w:qFormat/>
    <w:uiPriority w:val="0"/>
    <w:pPr>
      <w:widowControl/>
      <w:adjustRightInd w:val="0"/>
      <w:ind w:firstLine="567"/>
      <w:jc w:val="left"/>
      <w:textAlignment w:val="baseline"/>
    </w:pPr>
    <w:rPr>
      <w:rFonts w:cs="宋体"/>
      <w:kern w:val="0"/>
      <w:sz w:val="28"/>
      <w:szCs w:val="20"/>
    </w:rPr>
  </w:style>
  <w:style w:type="paragraph" w:customStyle="1" w:styleId="588">
    <w:name w:val="xl60"/>
    <w:basedOn w:val="1"/>
    <w:autoRedefine/>
    <w:qFormat/>
    <w:uiPriority w:val="0"/>
    <w:pPr>
      <w:widowControl/>
      <w:pBdr>
        <w:left w:val="single" w:color="auto" w:sz="8" w:space="0"/>
        <w:right w:val="single" w:color="auto" w:sz="4" w:space="0"/>
      </w:pBdr>
      <w:spacing w:before="100" w:beforeAutospacing="1" w:after="100" w:afterAutospacing="1"/>
      <w:jc w:val="center"/>
      <w:textAlignment w:val="top"/>
    </w:pPr>
    <w:rPr>
      <w:rFonts w:cs="宋体"/>
      <w:kern w:val="0"/>
      <w:sz w:val="20"/>
      <w:szCs w:val="20"/>
    </w:rPr>
  </w:style>
  <w:style w:type="paragraph" w:customStyle="1" w:styleId="589">
    <w:name w:val="正文（1）"/>
    <w:basedOn w:val="1"/>
    <w:autoRedefine/>
    <w:qFormat/>
    <w:uiPriority w:val="0"/>
    <w:pPr>
      <w:widowControl/>
      <w:autoSpaceDE w:val="0"/>
      <w:autoSpaceDN w:val="0"/>
      <w:adjustRightInd w:val="0"/>
      <w:snapToGrid w:val="0"/>
      <w:spacing w:line="480" w:lineRule="exact"/>
      <w:jc w:val="left"/>
    </w:pPr>
    <w:rPr>
      <w:rFonts w:ascii="宋体" w:hAnsi="宋体" w:cs="宋体"/>
      <w:color w:val="000000"/>
      <w:kern w:val="0"/>
      <w:sz w:val="20"/>
      <w:szCs w:val="20"/>
      <w:lang w:val="zh-CN"/>
    </w:rPr>
  </w:style>
  <w:style w:type="paragraph" w:customStyle="1" w:styleId="590">
    <w:name w:val="Char Char Char Char Char Char Char Char Char Char Char Char Char Char Char Char Char Char Char"/>
    <w:basedOn w:val="1"/>
    <w:autoRedefine/>
    <w:qFormat/>
    <w:uiPriority w:val="0"/>
    <w:pPr>
      <w:widowControl/>
      <w:jc w:val="left"/>
    </w:pPr>
    <w:rPr>
      <w:rFonts w:cs="宋体"/>
      <w:kern w:val="0"/>
      <w:sz w:val="20"/>
      <w:szCs w:val="20"/>
    </w:rPr>
  </w:style>
  <w:style w:type="paragraph" w:customStyle="1" w:styleId="591">
    <w:name w:val="样式 标题 4标题 4 Char CharL4标题 4 Char1.1.1.1 Char1.1.1.1标题 4.1...."/>
    <w:basedOn w:val="6"/>
    <w:autoRedefine/>
    <w:qFormat/>
    <w:uiPriority w:val="0"/>
    <w:pPr>
      <w:spacing w:before="0" w:after="0" w:line="360" w:lineRule="auto"/>
    </w:pPr>
    <w:rPr>
      <w:rFonts w:ascii="黑体" w:hAnsi="黑体" w:eastAsia="黑体"/>
      <w:sz w:val="24"/>
      <w:szCs w:val="20"/>
    </w:rPr>
  </w:style>
  <w:style w:type="paragraph" w:customStyle="1" w:styleId="592">
    <w:name w:val="Char Char Char Char Char Char"/>
    <w:basedOn w:val="1"/>
    <w:autoRedefine/>
    <w:qFormat/>
    <w:uiPriority w:val="0"/>
    <w:pPr>
      <w:widowControl/>
      <w:jc w:val="left"/>
    </w:pPr>
    <w:rPr>
      <w:rFonts w:cs="宋体"/>
      <w:kern w:val="0"/>
      <w:sz w:val="20"/>
      <w:szCs w:val="20"/>
    </w:rPr>
  </w:style>
  <w:style w:type="paragraph" w:customStyle="1" w:styleId="593">
    <w:name w:val="xl34"/>
    <w:basedOn w:val="1"/>
    <w:autoRedefine/>
    <w:qFormat/>
    <w:uiPriority w:val="0"/>
    <w:pPr>
      <w:widowControl/>
      <w:spacing w:before="100" w:beforeAutospacing="1" w:after="100" w:afterAutospacing="1"/>
      <w:jc w:val="center"/>
    </w:pPr>
    <w:rPr>
      <w:rFonts w:ascii="Arial Unicode MS" w:hAnsi="Arial Unicode MS" w:eastAsia="Arial Unicode MS" w:cs="宋体"/>
      <w:kern w:val="0"/>
      <w:sz w:val="20"/>
      <w:szCs w:val="20"/>
    </w:rPr>
  </w:style>
  <w:style w:type="paragraph" w:customStyle="1" w:styleId="594">
    <w:name w:val="Char1 Char Char Char Char Char Char"/>
    <w:basedOn w:val="1"/>
    <w:autoRedefine/>
    <w:qFormat/>
    <w:uiPriority w:val="0"/>
    <w:pPr>
      <w:widowControl/>
      <w:jc w:val="left"/>
    </w:pPr>
    <w:rPr>
      <w:rFonts w:cs="宋体"/>
      <w:kern w:val="0"/>
      <w:sz w:val="30"/>
      <w:szCs w:val="20"/>
    </w:rPr>
  </w:style>
  <w:style w:type="paragraph" w:customStyle="1" w:styleId="595">
    <w:name w:val="第一级"/>
    <w:basedOn w:val="1"/>
    <w:autoRedefine/>
    <w:qFormat/>
    <w:uiPriority w:val="0"/>
    <w:pPr>
      <w:widowControl/>
      <w:tabs>
        <w:tab w:val="left" w:pos="425"/>
      </w:tabs>
      <w:spacing w:line="420" w:lineRule="exact"/>
      <w:ind w:firstLine="454"/>
      <w:jc w:val="left"/>
      <w:outlineLvl w:val="0"/>
    </w:pPr>
    <w:rPr>
      <w:rFonts w:ascii="宋体" w:hAnsi="宋体" w:cs="宋体"/>
      <w:b/>
      <w:kern w:val="0"/>
      <w:sz w:val="22"/>
      <w:szCs w:val="20"/>
    </w:rPr>
  </w:style>
  <w:style w:type="paragraph" w:customStyle="1" w:styleId="596">
    <w:name w:val="GB-1"/>
    <w:autoRedefine/>
    <w:qFormat/>
    <w:uiPriority w:val="0"/>
    <w:pPr>
      <w:keepNext/>
      <w:tabs>
        <w:tab w:val="left" w:pos="360"/>
      </w:tabs>
      <w:autoSpaceDE w:val="0"/>
      <w:autoSpaceDN w:val="0"/>
      <w:spacing w:line="480" w:lineRule="auto"/>
      <w:outlineLvl w:val="0"/>
    </w:pPr>
    <w:rPr>
      <w:rFonts w:ascii="黑体" w:hAnsi="Times New Roman" w:eastAsia="黑体" w:cs="宋体"/>
      <w:sz w:val="24"/>
      <w:szCs w:val="21"/>
      <w:lang w:val="en-US" w:eastAsia="zh-CN" w:bidi="ar-SA"/>
    </w:rPr>
  </w:style>
  <w:style w:type="paragraph" w:customStyle="1" w:styleId="597">
    <w:name w:val="33333333"/>
    <w:basedOn w:val="1"/>
    <w:autoRedefine/>
    <w:qFormat/>
    <w:uiPriority w:val="0"/>
    <w:pPr>
      <w:widowControl/>
      <w:jc w:val="left"/>
    </w:pPr>
    <w:rPr>
      <w:rFonts w:cs="宋体"/>
      <w:b/>
      <w:kern w:val="0"/>
      <w:sz w:val="20"/>
      <w:szCs w:val="20"/>
    </w:rPr>
  </w:style>
  <w:style w:type="paragraph" w:customStyle="1" w:styleId="598">
    <w:name w:val="表1"/>
    <w:basedOn w:val="1"/>
    <w:autoRedefine/>
    <w:qFormat/>
    <w:uiPriority w:val="0"/>
    <w:pPr>
      <w:widowControl/>
      <w:autoSpaceDE w:val="0"/>
      <w:autoSpaceDN w:val="0"/>
      <w:adjustRightInd w:val="0"/>
      <w:spacing w:line="360" w:lineRule="exact"/>
      <w:jc w:val="center"/>
      <w:textAlignment w:val="baseline"/>
      <w:outlineLvl w:val="5"/>
    </w:pPr>
    <w:rPr>
      <w:rFonts w:ascii="Arial" w:hAnsi="Arial" w:eastAsia="仿宋_GB2312" w:cs="宋体"/>
      <w:kern w:val="0"/>
      <w:sz w:val="20"/>
    </w:rPr>
  </w:style>
  <w:style w:type="paragraph" w:customStyle="1" w:styleId="599">
    <w:name w:val="Number List"/>
    <w:autoRedefine/>
    <w:qFormat/>
    <w:uiPriority w:val="0"/>
    <w:pPr>
      <w:ind w:left="720"/>
    </w:pPr>
    <w:rPr>
      <w:rFonts w:ascii="Times New Roman" w:hAnsi="Times New Roman" w:eastAsia="PMingLiU" w:cs="宋体"/>
      <w:color w:val="000000"/>
      <w:sz w:val="24"/>
      <w:szCs w:val="24"/>
      <w:lang w:val="en-US" w:eastAsia="zh-TW" w:bidi="ar-SA"/>
    </w:rPr>
  </w:style>
  <w:style w:type="paragraph" w:customStyle="1" w:styleId="600">
    <w:name w:val="Char Char17"/>
    <w:basedOn w:val="1"/>
    <w:autoRedefine/>
    <w:qFormat/>
    <w:uiPriority w:val="0"/>
    <w:pPr>
      <w:widowControl/>
      <w:jc w:val="left"/>
    </w:pPr>
    <w:rPr>
      <w:rFonts w:cs="宋体"/>
      <w:kern w:val="0"/>
      <w:sz w:val="20"/>
      <w:szCs w:val="20"/>
    </w:rPr>
  </w:style>
  <w:style w:type="paragraph" w:customStyle="1" w:styleId="601">
    <w:name w:val="1标题2级"/>
    <w:basedOn w:val="1"/>
    <w:autoRedefine/>
    <w:qFormat/>
    <w:uiPriority w:val="0"/>
    <w:pPr>
      <w:widowControl/>
      <w:snapToGrid w:val="0"/>
      <w:jc w:val="left"/>
      <w:outlineLvl w:val="1"/>
    </w:pPr>
    <w:rPr>
      <w:rFonts w:eastAsia="仿宋_GB2312" w:cs="宋体"/>
      <w:b/>
      <w:kern w:val="0"/>
      <w:sz w:val="32"/>
      <w:szCs w:val="20"/>
    </w:rPr>
  </w:style>
  <w:style w:type="paragraph" w:customStyle="1" w:styleId="602">
    <w:name w:val="书章标题"/>
    <w:basedOn w:val="9"/>
    <w:next w:val="603"/>
    <w:autoRedefine/>
    <w:qFormat/>
    <w:uiPriority w:val="0"/>
    <w:pPr>
      <w:spacing w:after="200" w:afterLines="200"/>
      <w:ind w:firstLine="0"/>
      <w:jc w:val="center"/>
      <w:textAlignment w:val="center"/>
      <w:outlineLvl w:val="1"/>
    </w:pPr>
    <w:rPr>
      <w:rFonts w:ascii="黑体" w:hAnsi="宋体" w:eastAsia="黑体"/>
      <w:bCs/>
      <w:sz w:val="44"/>
      <w:szCs w:val="24"/>
    </w:rPr>
  </w:style>
  <w:style w:type="paragraph" w:customStyle="1" w:styleId="603">
    <w:name w:val="表正文小标题"/>
    <w:basedOn w:val="1"/>
    <w:next w:val="1"/>
    <w:autoRedefine/>
    <w:qFormat/>
    <w:uiPriority w:val="0"/>
    <w:pPr>
      <w:widowControl/>
      <w:spacing w:after="120"/>
      <w:ind w:firstLine="200" w:firstLineChars="200"/>
      <w:jc w:val="left"/>
      <w:outlineLvl w:val="2"/>
    </w:pPr>
    <w:rPr>
      <w:rFonts w:ascii="宋体" w:hAnsi="宋体" w:cs="宋体"/>
      <w:b/>
      <w:bCs/>
      <w:kern w:val="0"/>
      <w:sz w:val="20"/>
      <w:szCs w:val="20"/>
    </w:rPr>
  </w:style>
  <w:style w:type="paragraph" w:customStyle="1" w:styleId="604">
    <w:name w:val="无间隔1"/>
    <w:autoRedefine/>
    <w:qFormat/>
    <w:uiPriority w:val="0"/>
    <w:pPr>
      <w:widowControl w:val="0"/>
      <w:spacing w:before="120" w:after="120" w:line="360" w:lineRule="auto"/>
      <w:ind w:left="100" w:leftChars="100" w:right="100" w:rightChars="100"/>
      <w:outlineLvl w:val="2"/>
    </w:pPr>
    <w:rPr>
      <w:rFonts w:ascii="Times New Roman" w:hAnsi="Times New Roman" w:eastAsia="新宋体" w:cs="宋体"/>
      <w:b/>
      <w:kern w:val="2"/>
      <w:sz w:val="24"/>
      <w:szCs w:val="24"/>
      <w:lang w:val="en-US" w:eastAsia="zh-CN" w:bidi="ar-SA"/>
    </w:rPr>
  </w:style>
  <w:style w:type="paragraph" w:customStyle="1" w:styleId="605">
    <w:name w:val="GB-1.1.1.1.1"/>
    <w:basedOn w:val="606"/>
    <w:autoRedefine/>
    <w:qFormat/>
    <w:uiPriority w:val="0"/>
    <w:pPr>
      <w:tabs>
        <w:tab w:val="left" w:pos="1680"/>
        <w:tab w:val="left" w:pos="4172"/>
      </w:tabs>
      <w:ind w:left="4172"/>
      <w:outlineLvl w:val="4"/>
    </w:pPr>
    <w:rPr>
      <w:szCs w:val="21"/>
    </w:rPr>
  </w:style>
  <w:style w:type="paragraph" w:customStyle="1" w:styleId="606">
    <w:name w:val="GB-1.1.1.1"/>
    <w:basedOn w:val="1"/>
    <w:autoRedefine/>
    <w:qFormat/>
    <w:uiPriority w:val="0"/>
    <w:pPr>
      <w:keepNext/>
      <w:widowControl/>
      <w:tabs>
        <w:tab w:val="left" w:pos="1680"/>
      </w:tabs>
      <w:snapToGrid w:val="0"/>
      <w:ind w:left="1680" w:hanging="420"/>
      <w:jc w:val="left"/>
      <w:outlineLvl w:val="3"/>
    </w:pPr>
    <w:rPr>
      <w:rFonts w:ascii="宋体" w:hAnsi="宋体" w:cs="宋体"/>
      <w:kern w:val="0"/>
      <w:sz w:val="20"/>
      <w:szCs w:val="20"/>
    </w:rPr>
  </w:style>
  <w:style w:type="paragraph" w:customStyle="1" w:styleId="607">
    <w:name w:val="标题样式1"/>
    <w:basedOn w:val="3"/>
    <w:autoRedefine/>
    <w:qFormat/>
    <w:uiPriority w:val="0"/>
    <w:pPr>
      <w:keepLines/>
      <w:spacing w:beforeLines="100" w:afterLines="100"/>
    </w:pPr>
    <w:rPr>
      <w:rFonts w:ascii="黑体" w:eastAsia="黑体"/>
      <w:bCs/>
      <w:kern w:val="44"/>
      <w:szCs w:val="28"/>
    </w:rPr>
  </w:style>
  <w:style w:type="paragraph" w:customStyle="1" w:styleId="608">
    <w:name w:val="Char Char Char Char Char Char Char Char Char Char Char Char Char Char Char Char Char Char1 Char Char Char Char Char Char Char"/>
    <w:basedOn w:val="1"/>
    <w:next w:val="1"/>
    <w:autoRedefine/>
    <w:qFormat/>
    <w:uiPriority w:val="0"/>
    <w:pPr>
      <w:keepNext/>
      <w:keepLines/>
      <w:widowControl/>
      <w:adjustRightInd w:val="0"/>
      <w:spacing w:before="40" w:after="40"/>
      <w:ind w:firstLine="482" w:firstLineChars="200"/>
      <w:jc w:val="left"/>
      <w:textAlignment w:val="baseline"/>
    </w:pPr>
    <w:rPr>
      <w:rFonts w:cs="宋体"/>
      <w:b/>
      <w:kern w:val="0"/>
      <w:sz w:val="20"/>
      <w:szCs w:val="28"/>
    </w:rPr>
  </w:style>
  <w:style w:type="paragraph" w:customStyle="1" w:styleId="609">
    <w:name w:val="reader-word-layer reader-word-s30-20"/>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610">
    <w:name w:val="Char Char Char Char Char Char Char Char Char"/>
    <w:basedOn w:val="1"/>
    <w:autoRedefine/>
    <w:qFormat/>
    <w:uiPriority w:val="0"/>
    <w:pPr>
      <w:widowControl/>
      <w:jc w:val="left"/>
    </w:pPr>
    <w:rPr>
      <w:rFonts w:cs="宋体"/>
      <w:kern w:val="0"/>
      <w:sz w:val="20"/>
      <w:szCs w:val="20"/>
    </w:rPr>
  </w:style>
  <w:style w:type="paragraph" w:customStyle="1" w:styleId="611">
    <w:name w:val="Char Char Char1 Char"/>
    <w:basedOn w:val="1"/>
    <w:autoRedefine/>
    <w:qFormat/>
    <w:uiPriority w:val="0"/>
    <w:pPr>
      <w:widowControl/>
      <w:jc w:val="left"/>
    </w:pPr>
    <w:rPr>
      <w:rFonts w:cs="宋体"/>
      <w:kern w:val="0"/>
      <w:sz w:val="20"/>
      <w:szCs w:val="20"/>
    </w:rPr>
  </w:style>
  <w:style w:type="paragraph" w:customStyle="1" w:styleId="612">
    <w:name w:val="表格式"/>
    <w:basedOn w:val="54"/>
    <w:autoRedefine/>
    <w:qFormat/>
    <w:uiPriority w:val="0"/>
    <w:pPr>
      <w:spacing w:line="400" w:lineRule="exact"/>
      <w:ind w:left="0" w:firstLine="0" w:firstLineChars="0"/>
      <w:jc w:val="center"/>
    </w:pPr>
    <w:rPr>
      <w:rFonts w:ascii="宋体"/>
    </w:rPr>
  </w:style>
  <w:style w:type="paragraph" w:customStyle="1" w:styleId="613">
    <w:name w:val="正文文本1"/>
    <w:basedOn w:val="1"/>
    <w:autoRedefine/>
    <w:qFormat/>
    <w:uiPriority w:val="0"/>
    <w:pPr>
      <w:widowControl/>
      <w:autoSpaceDE w:val="0"/>
      <w:autoSpaceDN w:val="0"/>
      <w:adjustRightInd w:val="0"/>
      <w:spacing w:beforeLines="50" w:afterLines="50" w:line="360" w:lineRule="exact"/>
      <w:ind w:firstLine="200" w:firstLineChars="200"/>
      <w:jc w:val="left"/>
    </w:pPr>
    <w:rPr>
      <w:rFonts w:ascii="Arial" w:hAnsi="Arial" w:eastAsia="仿宋_GB2312" w:cs="宋体"/>
      <w:color w:val="000000"/>
      <w:kern w:val="0"/>
      <w:sz w:val="20"/>
      <w:szCs w:val="18"/>
    </w:rPr>
  </w:style>
  <w:style w:type="paragraph" w:customStyle="1" w:styleId="614">
    <w:name w:val="CONT-0"/>
    <w:basedOn w:val="1"/>
    <w:autoRedefine/>
    <w:qFormat/>
    <w:uiPriority w:val="0"/>
    <w:pPr>
      <w:widowControl/>
      <w:adjustRightInd w:val="0"/>
      <w:spacing w:line="480" w:lineRule="atLeast"/>
      <w:ind w:firstLine="567"/>
      <w:jc w:val="left"/>
      <w:textAlignment w:val="baseline"/>
    </w:pPr>
    <w:rPr>
      <w:rFonts w:eastAsia="DFKai-SB" w:cs="宋体"/>
      <w:kern w:val="0"/>
      <w:sz w:val="28"/>
      <w:szCs w:val="20"/>
      <w:lang w:eastAsia="zh-TW"/>
    </w:rPr>
  </w:style>
  <w:style w:type="paragraph" w:customStyle="1" w:styleId="615">
    <w:name w:val="书标题"/>
    <w:basedOn w:val="9"/>
    <w:next w:val="1"/>
    <w:autoRedefine/>
    <w:qFormat/>
    <w:uiPriority w:val="0"/>
    <w:pPr>
      <w:spacing w:after="120"/>
      <w:ind w:firstLine="0"/>
      <w:jc w:val="center"/>
      <w:outlineLvl w:val="0"/>
    </w:pPr>
    <w:rPr>
      <w:rFonts w:ascii="宋体" w:hAnsi="宋体"/>
      <w:b/>
      <w:bCs/>
      <w:color w:val="339966"/>
      <w:sz w:val="48"/>
      <w:szCs w:val="24"/>
    </w:rPr>
  </w:style>
  <w:style w:type="paragraph" w:customStyle="1" w:styleId="616">
    <w:name w:val="五级条标题"/>
    <w:basedOn w:val="451"/>
    <w:next w:val="1"/>
    <w:autoRedefine/>
    <w:qFormat/>
    <w:uiPriority w:val="0"/>
    <w:pPr>
      <w:tabs>
        <w:tab w:val="left" w:pos="1407"/>
        <w:tab w:val="left" w:pos="1440"/>
        <w:tab w:val="clear" w:pos="1155"/>
      </w:tabs>
      <w:ind w:left="3649" w:hanging="420"/>
      <w:outlineLvl w:val="6"/>
    </w:pPr>
  </w:style>
  <w:style w:type="paragraph" w:customStyle="1" w:styleId="617">
    <w:name w:val="标准文本 居中 行距1.5倍"/>
    <w:basedOn w:val="1"/>
    <w:autoRedefine/>
    <w:qFormat/>
    <w:uiPriority w:val="0"/>
    <w:pPr>
      <w:widowControl/>
      <w:jc w:val="center"/>
      <w:textAlignment w:val="center"/>
    </w:pPr>
    <w:rPr>
      <w:rFonts w:cs="宋体"/>
      <w:kern w:val="0"/>
      <w:sz w:val="20"/>
      <w:szCs w:val="20"/>
    </w:rPr>
  </w:style>
  <w:style w:type="paragraph" w:customStyle="1" w:styleId="618">
    <w:name w:val="默认段落字体 Para Char Char Char Char Char Char Char Char Char Char Char Char Char Char Char Char Char Char Char Char Char2"/>
    <w:basedOn w:val="1"/>
    <w:autoRedefine/>
    <w:qFormat/>
    <w:uiPriority w:val="0"/>
    <w:pPr>
      <w:widowControl/>
      <w:snapToGrid w:val="0"/>
      <w:ind w:firstLine="200" w:firstLineChars="200"/>
      <w:jc w:val="left"/>
    </w:pPr>
    <w:rPr>
      <w:rFonts w:eastAsia="黑体" w:cs="宋体"/>
      <w:kern w:val="0"/>
      <w:sz w:val="32"/>
      <w:szCs w:val="32"/>
    </w:rPr>
  </w:style>
  <w:style w:type="paragraph" w:customStyle="1" w:styleId="619">
    <w:name w:val="xl2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620">
    <w:name w:val="Char Char Char Char Char Char2"/>
    <w:basedOn w:val="1"/>
    <w:autoRedefine/>
    <w:qFormat/>
    <w:uiPriority w:val="0"/>
    <w:pPr>
      <w:widowControl/>
      <w:jc w:val="left"/>
    </w:pPr>
    <w:rPr>
      <w:rFonts w:cs="宋体"/>
      <w:kern w:val="0"/>
      <w:sz w:val="20"/>
      <w:szCs w:val="20"/>
    </w:rPr>
  </w:style>
  <w:style w:type="paragraph" w:customStyle="1" w:styleId="621">
    <w:name w:val="表正文标题"/>
    <w:basedOn w:val="603"/>
    <w:next w:val="603"/>
    <w:autoRedefine/>
    <w:qFormat/>
    <w:uiPriority w:val="0"/>
    <w:pPr>
      <w:spacing w:before="312" w:beforeLines="100"/>
      <w:ind w:firstLine="482"/>
    </w:pPr>
  </w:style>
  <w:style w:type="paragraph" w:customStyle="1" w:styleId="622">
    <w:name w:val="标准"/>
    <w:basedOn w:val="1"/>
    <w:autoRedefine/>
    <w:qFormat/>
    <w:uiPriority w:val="0"/>
    <w:pPr>
      <w:widowControl/>
      <w:adjustRightInd w:val="0"/>
      <w:spacing w:line="480" w:lineRule="exact"/>
      <w:jc w:val="left"/>
      <w:textAlignment w:val="baseline"/>
    </w:pPr>
    <w:rPr>
      <w:rFonts w:cs="宋体"/>
      <w:kern w:val="0"/>
      <w:sz w:val="28"/>
      <w:szCs w:val="20"/>
    </w:rPr>
  </w:style>
  <w:style w:type="paragraph" w:customStyle="1" w:styleId="623">
    <w:name w:val="样式1"/>
    <w:basedOn w:val="1"/>
    <w:autoRedefine/>
    <w:qFormat/>
    <w:uiPriority w:val="0"/>
    <w:pPr>
      <w:widowControl/>
      <w:tabs>
        <w:tab w:val="left" w:pos="1440"/>
      </w:tabs>
      <w:jc w:val="center"/>
    </w:pPr>
    <w:rPr>
      <w:rFonts w:cs="宋体"/>
      <w:kern w:val="0"/>
      <w:sz w:val="20"/>
      <w:szCs w:val="20"/>
    </w:rPr>
  </w:style>
  <w:style w:type="paragraph" w:customStyle="1" w:styleId="624">
    <w:name w:val="k正文"/>
    <w:basedOn w:val="1"/>
    <w:autoRedefine/>
    <w:qFormat/>
    <w:uiPriority w:val="0"/>
    <w:pPr>
      <w:widowControl/>
      <w:adjustRightInd w:val="0"/>
      <w:snapToGrid w:val="0"/>
      <w:ind w:firstLine="539"/>
      <w:jc w:val="left"/>
    </w:pPr>
    <w:rPr>
      <w:rFonts w:eastAsia="仿宋_GB2312" w:cs="宋体"/>
      <w:kern w:val="0"/>
      <w:sz w:val="28"/>
      <w:szCs w:val="20"/>
    </w:rPr>
  </w:style>
  <w:style w:type="paragraph" w:customStyle="1" w:styleId="625">
    <w:name w:val="正文2 Char Char Char Char Char Char Char Char Char Char Char Char1 Char Char Char Char Char Char Char Char1 Char Char Char Char Char Char"/>
    <w:basedOn w:val="1"/>
    <w:autoRedefine/>
    <w:qFormat/>
    <w:uiPriority w:val="0"/>
    <w:pPr>
      <w:widowControl/>
      <w:spacing w:line="400" w:lineRule="exact"/>
      <w:jc w:val="center"/>
    </w:pPr>
    <w:rPr>
      <w:rFonts w:ascii="Verdana" w:hAnsi="Verdana" w:cs="宋体"/>
      <w:kern w:val="0"/>
      <w:sz w:val="20"/>
      <w:szCs w:val="20"/>
      <w:lang w:eastAsia="en-US"/>
    </w:rPr>
  </w:style>
  <w:style w:type="paragraph" w:customStyle="1" w:styleId="626">
    <w:name w:val="Char Char Char Char1"/>
    <w:basedOn w:val="1"/>
    <w:autoRedefine/>
    <w:qFormat/>
    <w:uiPriority w:val="0"/>
    <w:pPr>
      <w:widowControl/>
      <w:jc w:val="left"/>
    </w:pPr>
    <w:rPr>
      <w:rFonts w:cs="宋体"/>
      <w:kern w:val="0"/>
      <w:sz w:val="20"/>
      <w:szCs w:val="20"/>
    </w:rPr>
  </w:style>
  <w:style w:type="paragraph" w:customStyle="1" w:styleId="627">
    <w:name w:val="xl85"/>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cs="宋体"/>
      <w:kern w:val="0"/>
      <w:sz w:val="20"/>
      <w:szCs w:val="20"/>
    </w:rPr>
  </w:style>
  <w:style w:type="paragraph" w:customStyle="1" w:styleId="628">
    <w:name w:val="Char Char1 Char Char Char Char Char Char Char2"/>
    <w:basedOn w:val="1"/>
    <w:autoRedefine/>
    <w:qFormat/>
    <w:uiPriority w:val="0"/>
    <w:pPr>
      <w:widowControl/>
      <w:jc w:val="left"/>
    </w:pPr>
    <w:rPr>
      <w:rFonts w:cs="宋体"/>
      <w:kern w:val="0"/>
      <w:sz w:val="20"/>
      <w:szCs w:val="20"/>
    </w:rPr>
  </w:style>
  <w:style w:type="paragraph" w:customStyle="1" w:styleId="629">
    <w:name w:val="本文正文"/>
    <w:basedOn w:val="1"/>
    <w:autoRedefine/>
    <w:qFormat/>
    <w:uiPriority w:val="0"/>
    <w:pPr>
      <w:widowControl/>
      <w:autoSpaceDE w:val="0"/>
      <w:autoSpaceDN w:val="0"/>
      <w:adjustRightInd w:val="0"/>
      <w:spacing w:line="300" w:lineRule="auto"/>
      <w:ind w:firstLine="560" w:firstLineChars="200"/>
      <w:jc w:val="left"/>
      <w:textAlignment w:val="baseline"/>
    </w:pPr>
    <w:rPr>
      <w:rFonts w:cs="宋体"/>
      <w:kern w:val="0"/>
      <w:sz w:val="28"/>
      <w:szCs w:val="20"/>
    </w:rPr>
  </w:style>
  <w:style w:type="paragraph" w:customStyle="1" w:styleId="630">
    <w:name w:val="Char Char2 Char1"/>
    <w:basedOn w:val="1"/>
    <w:autoRedefine/>
    <w:qFormat/>
    <w:uiPriority w:val="0"/>
    <w:pPr>
      <w:widowControl/>
      <w:jc w:val="left"/>
    </w:pPr>
    <w:rPr>
      <w:rFonts w:cs="宋体"/>
      <w:kern w:val="0"/>
      <w:sz w:val="20"/>
      <w:szCs w:val="20"/>
    </w:rPr>
  </w:style>
  <w:style w:type="paragraph" w:customStyle="1" w:styleId="631">
    <w:name w:val="注释"/>
    <w:basedOn w:val="1"/>
    <w:autoRedefine/>
    <w:qFormat/>
    <w:uiPriority w:val="0"/>
    <w:pPr>
      <w:widowControl/>
      <w:adjustRightInd w:val="0"/>
      <w:snapToGrid w:val="0"/>
      <w:spacing w:beforeLines="10" w:afterLines="10"/>
      <w:jc w:val="left"/>
    </w:pPr>
    <w:rPr>
      <w:rFonts w:ascii="宋体" w:cs="宋体"/>
      <w:kern w:val="0"/>
      <w:sz w:val="18"/>
      <w:szCs w:val="20"/>
    </w:rPr>
  </w:style>
  <w:style w:type="paragraph" w:customStyle="1" w:styleId="632">
    <w:name w:val="Char Char8"/>
    <w:basedOn w:val="1"/>
    <w:autoRedefine/>
    <w:qFormat/>
    <w:uiPriority w:val="0"/>
    <w:pPr>
      <w:widowControl/>
      <w:jc w:val="left"/>
    </w:pPr>
    <w:rPr>
      <w:rFonts w:cs="宋体"/>
      <w:kern w:val="0"/>
      <w:sz w:val="20"/>
      <w:szCs w:val="20"/>
    </w:rPr>
  </w:style>
  <w:style w:type="paragraph" w:customStyle="1" w:styleId="633">
    <w:name w:val="样式4 宋体 Char"/>
    <w:basedOn w:val="1"/>
    <w:autoRedefine/>
    <w:qFormat/>
    <w:uiPriority w:val="0"/>
    <w:pPr>
      <w:widowControl/>
      <w:jc w:val="left"/>
    </w:pPr>
    <w:rPr>
      <w:rFonts w:cs="宋体"/>
      <w:kern w:val="0"/>
      <w:sz w:val="20"/>
      <w:szCs w:val="20"/>
    </w:rPr>
  </w:style>
  <w:style w:type="paragraph" w:customStyle="1" w:styleId="634">
    <w:name w:val="Char Char12"/>
    <w:basedOn w:val="1"/>
    <w:autoRedefine/>
    <w:qFormat/>
    <w:uiPriority w:val="0"/>
    <w:pPr>
      <w:widowControl/>
      <w:jc w:val="left"/>
    </w:pPr>
    <w:rPr>
      <w:rFonts w:cs="宋体"/>
      <w:kern w:val="0"/>
      <w:sz w:val="20"/>
      <w:szCs w:val="20"/>
    </w:rPr>
  </w:style>
  <w:style w:type="paragraph" w:styleId="635">
    <w:name w:val="No Spacing"/>
    <w:autoRedefine/>
    <w:qFormat/>
    <w:uiPriority w:val="0"/>
    <w:pPr>
      <w:widowControl w:val="0"/>
      <w:spacing w:before="120" w:after="120" w:line="360" w:lineRule="auto"/>
      <w:ind w:left="100" w:leftChars="100" w:right="100" w:rightChars="100"/>
      <w:outlineLvl w:val="2"/>
    </w:pPr>
    <w:rPr>
      <w:rFonts w:ascii="Times New Roman" w:hAnsi="Times New Roman" w:eastAsia="新宋体" w:cs="宋体"/>
      <w:b/>
      <w:kern w:val="2"/>
      <w:sz w:val="24"/>
      <w:szCs w:val="24"/>
      <w:lang w:val="en-US" w:eastAsia="zh-CN" w:bidi="ar-SA"/>
    </w:rPr>
  </w:style>
  <w:style w:type="paragraph" w:customStyle="1" w:styleId="636">
    <w:name w:val="表格 32"/>
    <w:basedOn w:val="1"/>
    <w:autoRedefine/>
    <w:qFormat/>
    <w:uiPriority w:val="0"/>
    <w:pPr>
      <w:widowControl/>
      <w:autoSpaceDE w:val="0"/>
      <w:autoSpaceDN w:val="0"/>
      <w:adjustRightInd w:val="0"/>
      <w:snapToGrid w:val="0"/>
      <w:jc w:val="center"/>
      <w:textAlignment w:val="baseline"/>
    </w:pPr>
    <w:rPr>
      <w:rFonts w:ascii="宋体" w:hAnsi="宋体" w:cs="宋体"/>
      <w:bCs/>
      <w:kern w:val="0"/>
      <w:sz w:val="20"/>
      <w:szCs w:val="20"/>
    </w:rPr>
  </w:style>
  <w:style w:type="paragraph" w:customStyle="1" w:styleId="637">
    <w:name w:val="Char Char Char Char Char Char1"/>
    <w:basedOn w:val="1"/>
    <w:autoRedefine/>
    <w:qFormat/>
    <w:uiPriority w:val="0"/>
    <w:pPr>
      <w:widowControl/>
      <w:jc w:val="left"/>
    </w:pPr>
    <w:rPr>
      <w:rFonts w:cs="宋体"/>
      <w:kern w:val="0"/>
      <w:sz w:val="20"/>
      <w:szCs w:val="20"/>
    </w:rPr>
  </w:style>
  <w:style w:type="paragraph" w:customStyle="1" w:styleId="638">
    <w:name w:val="GB-1.1"/>
    <w:autoRedefine/>
    <w:qFormat/>
    <w:uiPriority w:val="0"/>
    <w:pPr>
      <w:keepNext/>
      <w:tabs>
        <w:tab w:val="left" w:pos="360"/>
      </w:tabs>
      <w:spacing w:before="158" w:beforeLines="50" w:after="158" w:afterLines="50"/>
      <w:outlineLvl w:val="1"/>
    </w:pPr>
    <w:rPr>
      <w:rFonts w:ascii="黑体" w:hAnsi="宋体" w:eastAsia="黑体" w:cs="宋体"/>
      <w:sz w:val="21"/>
      <w:szCs w:val="24"/>
      <w:lang w:val="en-US" w:eastAsia="zh-CN" w:bidi="ar-SA"/>
    </w:rPr>
  </w:style>
  <w:style w:type="paragraph" w:customStyle="1" w:styleId="639">
    <w:name w:val="样式 样式 标题 1 + + 段后: 3 行"/>
    <w:basedOn w:val="1"/>
    <w:autoRedefine/>
    <w:qFormat/>
    <w:uiPriority w:val="0"/>
    <w:pPr>
      <w:keepNext/>
      <w:keepLines/>
      <w:widowControl/>
      <w:spacing w:after="720" w:afterLines="300"/>
      <w:jc w:val="center"/>
      <w:outlineLvl w:val="0"/>
    </w:pPr>
    <w:rPr>
      <w:rFonts w:eastAsia="黑体" w:cs="宋体"/>
      <w:kern w:val="0"/>
      <w:sz w:val="36"/>
      <w:szCs w:val="20"/>
    </w:rPr>
  </w:style>
  <w:style w:type="paragraph" w:customStyle="1" w:styleId="640">
    <w:name w:val="1.2.3"/>
    <w:basedOn w:val="1"/>
    <w:autoRedefine/>
    <w:qFormat/>
    <w:uiPriority w:val="0"/>
    <w:pPr>
      <w:widowControl/>
      <w:spacing w:line="520" w:lineRule="exact"/>
      <w:ind w:firstLine="540"/>
      <w:jc w:val="left"/>
    </w:pPr>
    <w:rPr>
      <w:rFonts w:cs="宋体"/>
      <w:kern w:val="0"/>
      <w:sz w:val="28"/>
      <w:szCs w:val="20"/>
    </w:rPr>
  </w:style>
  <w:style w:type="paragraph" w:customStyle="1" w:styleId="641">
    <w:name w:val="CM23"/>
    <w:basedOn w:val="85"/>
    <w:next w:val="85"/>
    <w:autoRedefine/>
    <w:qFormat/>
    <w:uiPriority w:val="0"/>
    <w:rPr>
      <w:rFonts w:ascii="黑体" w:hAnsi="Calibri" w:eastAsia="黑体" w:cs="Times New Roman"/>
      <w:color w:val="auto"/>
    </w:rPr>
  </w:style>
  <w:style w:type="paragraph" w:customStyle="1" w:styleId="642">
    <w:name w:val="Char Char Char Char Char Char Char Char Char Char Char Char"/>
    <w:basedOn w:val="1"/>
    <w:autoRedefine/>
    <w:qFormat/>
    <w:uiPriority w:val="0"/>
    <w:pPr>
      <w:widowControl/>
      <w:adjustRightInd w:val="0"/>
      <w:jc w:val="left"/>
    </w:pPr>
    <w:rPr>
      <w:rFonts w:cs="宋体"/>
      <w:kern w:val="0"/>
      <w:sz w:val="20"/>
      <w:szCs w:val="20"/>
    </w:rPr>
  </w:style>
  <w:style w:type="paragraph" w:customStyle="1" w:styleId="643">
    <w:name w:val="目录2"/>
    <w:basedOn w:val="1"/>
    <w:autoRedefine/>
    <w:qFormat/>
    <w:uiPriority w:val="0"/>
    <w:pPr>
      <w:widowControl/>
      <w:spacing w:line="520" w:lineRule="exact"/>
      <w:jc w:val="left"/>
    </w:pPr>
    <w:rPr>
      <w:rFonts w:cs="宋体"/>
      <w:b/>
      <w:kern w:val="0"/>
      <w:sz w:val="28"/>
      <w:szCs w:val="28"/>
    </w:rPr>
  </w:style>
  <w:style w:type="paragraph" w:customStyle="1" w:styleId="644">
    <w:name w:val=".."/>
    <w:basedOn w:val="85"/>
    <w:next w:val="85"/>
    <w:autoRedefine/>
    <w:qFormat/>
    <w:uiPriority w:val="0"/>
    <w:rPr>
      <w:rFonts w:ascii="Times New Roman" w:hAnsi="Calibri" w:cs="Times New Roman"/>
      <w:color w:val="auto"/>
    </w:rPr>
  </w:style>
  <w:style w:type="paragraph" w:customStyle="1" w:styleId="645">
    <w:name w:val="1文章"/>
    <w:basedOn w:val="1"/>
    <w:autoRedefine/>
    <w:qFormat/>
    <w:uiPriority w:val="0"/>
    <w:pPr>
      <w:widowControl/>
      <w:snapToGrid w:val="0"/>
      <w:ind w:firstLine="573"/>
      <w:jc w:val="left"/>
    </w:pPr>
    <w:rPr>
      <w:rFonts w:eastAsia="仿宋_GB2312" w:cs="宋体"/>
      <w:kern w:val="0"/>
      <w:sz w:val="28"/>
      <w:szCs w:val="20"/>
    </w:rPr>
  </w:style>
  <w:style w:type="paragraph" w:customStyle="1" w:styleId="646">
    <w:name w:val="Char Char3 Char Char"/>
    <w:basedOn w:val="1"/>
    <w:autoRedefine/>
    <w:qFormat/>
    <w:uiPriority w:val="0"/>
    <w:pPr>
      <w:widowControl/>
      <w:ind w:firstLine="200" w:firstLineChars="200"/>
      <w:jc w:val="left"/>
    </w:pPr>
    <w:rPr>
      <w:rFonts w:ascii="宋体" w:hAnsi="宋体" w:cs="宋体"/>
      <w:kern w:val="0"/>
      <w:sz w:val="20"/>
      <w:szCs w:val="20"/>
    </w:rPr>
  </w:style>
  <w:style w:type="paragraph" w:customStyle="1" w:styleId="647">
    <w:name w:val="Char Char Char Char Char Char Char"/>
    <w:basedOn w:val="1"/>
    <w:autoRedefine/>
    <w:qFormat/>
    <w:uiPriority w:val="0"/>
    <w:pPr>
      <w:widowControl/>
      <w:jc w:val="left"/>
    </w:pPr>
    <w:rPr>
      <w:rFonts w:cs="宋体"/>
      <w:kern w:val="0"/>
      <w:sz w:val="20"/>
      <w:szCs w:val="20"/>
    </w:rPr>
  </w:style>
  <w:style w:type="paragraph" w:customStyle="1" w:styleId="648">
    <w:name w:val="基准标题"/>
    <w:basedOn w:val="1"/>
    <w:next w:val="46"/>
    <w:autoRedefine/>
    <w:qFormat/>
    <w:uiPriority w:val="0"/>
    <w:pPr>
      <w:widowControl/>
      <w:spacing w:before="80" w:after="80"/>
      <w:jc w:val="left"/>
    </w:pPr>
    <w:rPr>
      <w:rFonts w:cs="宋体"/>
      <w:kern w:val="0"/>
      <w:sz w:val="20"/>
      <w:szCs w:val="20"/>
    </w:rPr>
  </w:style>
  <w:style w:type="paragraph" w:customStyle="1" w:styleId="649">
    <w:name w:val="1"/>
    <w:basedOn w:val="1"/>
    <w:next w:val="9"/>
    <w:autoRedefine/>
    <w:qFormat/>
    <w:uiPriority w:val="0"/>
    <w:pPr>
      <w:widowControl/>
      <w:ind w:firstLine="420"/>
      <w:jc w:val="left"/>
    </w:pPr>
    <w:rPr>
      <w:rFonts w:cs="宋体"/>
      <w:kern w:val="0"/>
      <w:sz w:val="20"/>
      <w:szCs w:val="20"/>
    </w:rPr>
  </w:style>
  <w:style w:type="paragraph" w:customStyle="1" w:styleId="650">
    <w:name w:val="Char Char1 Char Char Char Char Char Char Char Char Char Char Char Char Char Char Char Char Char Char Char Char1 Char"/>
    <w:basedOn w:val="1"/>
    <w:autoRedefine/>
    <w:qFormat/>
    <w:uiPriority w:val="0"/>
    <w:pPr>
      <w:widowControl/>
      <w:ind w:firstLine="200" w:firstLineChars="200"/>
      <w:jc w:val="left"/>
    </w:pPr>
    <w:rPr>
      <w:rFonts w:ascii="宋体" w:hAnsi="宋体" w:cs="宋体"/>
      <w:kern w:val="0"/>
      <w:sz w:val="20"/>
      <w:szCs w:val="20"/>
    </w:rPr>
  </w:style>
  <w:style w:type="paragraph" w:customStyle="1" w:styleId="651">
    <w:name w:val="Char Char131"/>
    <w:basedOn w:val="1"/>
    <w:autoRedefine/>
    <w:qFormat/>
    <w:uiPriority w:val="0"/>
    <w:pPr>
      <w:widowControl/>
      <w:jc w:val="left"/>
    </w:pPr>
    <w:rPr>
      <w:rFonts w:cs="宋体"/>
      <w:kern w:val="0"/>
      <w:sz w:val="20"/>
      <w:szCs w:val="20"/>
    </w:rPr>
  </w:style>
  <w:style w:type="paragraph" w:customStyle="1" w:styleId="652">
    <w:name w:val="样式 正文 首行缩进:  2 字符 + 首行缩进:  2 字符"/>
    <w:basedOn w:val="1"/>
    <w:autoRedefine/>
    <w:qFormat/>
    <w:uiPriority w:val="0"/>
    <w:pPr>
      <w:widowControl/>
      <w:spacing w:line="500" w:lineRule="exact"/>
      <w:ind w:firstLine="432" w:firstLineChars="200"/>
      <w:jc w:val="left"/>
    </w:pPr>
    <w:rPr>
      <w:rFonts w:cs="宋体"/>
      <w:w w:val="90"/>
      <w:kern w:val="0"/>
      <w:sz w:val="20"/>
      <w:szCs w:val="20"/>
    </w:rPr>
  </w:style>
  <w:style w:type="paragraph" w:customStyle="1" w:styleId="653">
    <w:name w:val="xl3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654">
    <w:name w:val="环标3"/>
    <w:basedOn w:val="5"/>
    <w:autoRedefine/>
    <w:qFormat/>
    <w:uiPriority w:val="0"/>
    <w:pPr>
      <w:keepNext w:val="0"/>
      <w:tabs>
        <w:tab w:val="left" w:pos="720"/>
      </w:tabs>
      <w:adjustRightInd w:val="0"/>
      <w:spacing w:line="312" w:lineRule="atLeast"/>
      <w:textAlignment w:val="baseline"/>
    </w:pPr>
    <w:rPr>
      <w:rFonts w:ascii="宋体" w:hAnsi="Courier New"/>
      <w:lang w:val="en-US"/>
    </w:rPr>
  </w:style>
  <w:style w:type="paragraph" w:customStyle="1" w:styleId="655">
    <w:name w:val="Char1 Char Char Char1"/>
    <w:basedOn w:val="1"/>
    <w:autoRedefine/>
    <w:qFormat/>
    <w:uiPriority w:val="0"/>
    <w:pPr>
      <w:widowControl/>
      <w:jc w:val="left"/>
    </w:pPr>
    <w:rPr>
      <w:rFonts w:cs="宋体"/>
      <w:kern w:val="0"/>
      <w:sz w:val="20"/>
      <w:szCs w:val="20"/>
    </w:rPr>
  </w:style>
  <w:style w:type="paragraph" w:customStyle="1" w:styleId="656">
    <w:name w:val="Bullet"/>
    <w:autoRedefine/>
    <w:qFormat/>
    <w:uiPriority w:val="0"/>
    <w:pPr>
      <w:ind w:left="288"/>
    </w:pPr>
    <w:rPr>
      <w:rFonts w:ascii="Times New Roman" w:hAnsi="Times New Roman" w:eastAsia="PMingLiU" w:cs="宋体"/>
      <w:color w:val="000000"/>
      <w:sz w:val="24"/>
      <w:szCs w:val="24"/>
      <w:lang w:val="en-US" w:eastAsia="zh-TW" w:bidi="ar-SA"/>
    </w:rPr>
  </w:style>
  <w:style w:type="paragraph" w:customStyle="1" w:styleId="657">
    <w:name w:val="1 Char Char Char Char Char Char Char Char Char Char Char Char Char Char Char Char Char Char Char"/>
    <w:basedOn w:val="1"/>
    <w:autoRedefine/>
    <w:qFormat/>
    <w:uiPriority w:val="0"/>
    <w:pPr>
      <w:widowControl/>
      <w:jc w:val="left"/>
    </w:pPr>
    <w:rPr>
      <w:rFonts w:cs="宋体"/>
      <w:kern w:val="0"/>
      <w:sz w:val="20"/>
      <w:szCs w:val="20"/>
    </w:rPr>
  </w:style>
  <w:style w:type="paragraph" w:customStyle="1" w:styleId="658">
    <w:name w:val="标准文本 首行缩进:2 字符 行距1.5倍"/>
    <w:basedOn w:val="1"/>
    <w:autoRedefine/>
    <w:qFormat/>
    <w:uiPriority w:val="0"/>
    <w:pPr>
      <w:widowControl/>
      <w:adjustRightInd w:val="0"/>
      <w:snapToGrid w:val="0"/>
      <w:ind w:firstLine="200" w:firstLineChars="200"/>
      <w:jc w:val="left"/>
      <w:textAlignment w:val="center"/>
    </w:pPr>
    <w:rPr>
      <w:rFonts w:cs="宋体"/>
      <w:kern w:val="0"/>
      <w:sz w:val="20"/>
      <w:szCs w:val="20"/>
    </w:rPr>
  </w:style>
  <w:style w:type="paragraph" w:customStyle="1" w:styleId="659">
    <w:name w:val="目录55"/>
    <w:basedOn w:val="1"/>
    <w:autoRedefine/>
    <w:qFormat/>
    <w:uiPriority w:val="0"/>
    <w:pPr>
      <w:widowControl/>
      <w:spacing w:before="120" w:beforeLines="50" w:after="120" w:afterLines="50" w:line="520" w:lineRule="exact"/>
      <w:jc w:val="left"/>
      <w:outlineLvl w:val="0"/>
    </w:pPr>
    <w:rPr>
      <w:rFonts w:ascii="黑体" w:eastAsia="黑体" w:cs="宋体"/>
      <w:kern w:val="0"/>
      <w:sz w:val="28"/>
      <w:szCs w:val="28"/>
    </w:rPr>
  </w:style>
  <w:style w:type="paragraph" w:customStyle="1" w:styleId="660">
    <w:name w:val="GB-1.1.1"/>
    <w:basedOn w:val="638"/>
    <w:autoRedefine/>
    <w:qFormat/>
    <w:uiPriority w:val="0"/>
    <w:pPr>
      <w:tabs>
        <w:tab w:val="left" w:pos="3332"/>
      </w:tabs>
      <w:adjustRightInd w:val="0"/>
      <w:snapToGrid w:val="0"/>
      <w:spacing w:before="0" w:beforeLines="0" w:after="0" w:afterLines="0" w:line="360" w:lineRule="auto"/>
      <w:ind w:hanging="420"/>
      <w:outlineLvl w:val="2"/>
    </w:pPr>
    <w:rPr>
      <w:rFonts w:ascii="宋体" w:eastAsia="宋体"/>
    </w:rPr>
  </w:style>
  <w:style w:type="paragraph" w:customStyle="1" w:styleId="661">
    <w:name w:val="样式 标题 2标题 2 Char + (西文) Times New Roman (中文) 宋体 小四"/>
    <w:basedOn w:val="4"/>
    <w:autoRedefine/>
    <w:qFormat/>
    <w:uiPriority w:val="0"/>
    <w:pPr>
      <w:keepLines/>
      <w:spacing w:beforeLines="50" w:afterLines="50" w:line="480" w:lineRule="exact"/>
      <w:jc w:val="both"/>
    </w:pPr>
    <w:rPr>
      <w:rFonts w:ascii="宋体" w:hAnsi="Arial" w:cs="Arial"/>
      <w:sz w:val="24"/>
      <w:szCs w:val="24"/>
      <w:lang w:val="en-US"/>
    </w:rPr>
  </w:style>
  <w:style w:type="paragraph" w:customStyle="1" w:styleId="662">
    <w:name w:val="xl77"/>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663">
    <w:name w:val="简单回函地址"/>
    <w:basedOn w:val="1"/>
    <w:autoRedefine/>
    <w:qFormat/>
    <w:uiPriority w:val="0"/>
    <w:pPr>
      <w:widowControl/>
      <w:jc w:val="left"/>
    </w:pPr>
    <w:rPr>
      <w:rFonts w:cs="宋体"/>
      <w:kern w:val="0"/>
      <w:sz w:val="20"/>
      <w:szCs w:val="20"/>
    </w:rPr>
  </w:style>
  <w:style w:type="paragraph" w:customStyle="1" w:styleId="664">
    <w:name w:val="其他发布部门"/>
    <w:basedOn w:val="1"/>
    <w:autoRedefine/>
    <w:qFormat/>
    <w:uiPriority w:val="0"/>
    <w:pPr>
      <w:framePr w:w="7433" w:h="585" w:hRule="exact" w:hSpace="180" w:vSpace="180" w:wrap="around" w:vAnchor="margin" w:hAnchor="margin" w:xAlign="center" w:y="14401" w:anchorLock="1"/>
      <w:widowControl/>
      <w:spacing w:line="0" w:lineRule="atLeast"/>
      <w:jc w:val="center"/>
    </w:pPr>
    <w:rPr>
      <w:rFonts w:ascii="黑体" w:eastAsia="黑体" w:cs="宋体"/>
      <w:spacing w:val="20"/>
      <w:w w:val="135"/>
      <w:kern w:val="0"/>
      <w:sz w:val="36"/>
      <w:szCs w:val="20"/>
    </w:rPr>
  </w:style>
  <w:style w:type="paragraph" w:customStyle="1" w:styleId="665">
    <w:name w:val="标准文本 首行缩进:2 字符 行距1倍 Char Char Char"/>
    <w:basedOn w:val="1"/>
    <w:autoRedefine/>
    <w:qFormat/>
    <w:uiPriority w:val="0"/>
    <w:pPr>
      <w:widowControl/>
      <w:adjustRightInd w:val="0"/>
      <w:snapToGrid w:val="0"/>
      <w:ind w:firstLine="200" w:firstLineChars="200"/>
      <w:jc w:val="left"/>
      <w:textAlignment w:val="center"/>
    </w:pPr>
    <w:rPr>
      <w:rFonts w:cs="宋体"/>
      <w:kern w:val="0"/>
      <w:sz w:val="20"/>
      <w:szCs w:val="20"/>
    </w:rPr>
  </w:style>
  <w:style w:type="paragraph" w:customStyle="1" w:styleId="666">
    <w:name w:val="目录44"/>
    <w:basedOn w:val="1"/>
    <w:autoRedefine/>
    <w:qFormat/>
    <w:uiPriority w:val="0"/>
    <w:pPr>
      <w:widowControl/>
      <w:jc w:val="center"/>
      <w:outlineLvl w:val="0"/>
    </w:pPr>
    <w:rPr>
      <w:rFonts w:ascii="黑体" w:eastAsia="黑体" w:cs="宋体"/>
      <w:kern w:val="0"/>
      <w:sz w:val="36"/>
      <w:szCs w:val="36"/>
    </w:rPr>
  </w:style>
  <w:style w:type="paragraph" w:customStyle="1" w:styleId="667">
    <w:name w:val="Char Char171"/>
    <w:basedOn w:val="1"/>
    <w:autoRedefine/>
    <w:qFormat/>
    <w:uiPriority w:val="0"/>
    <w:pPr>
      <w:widowControl/>
      <w:jc w:val="left"/>
    </w:pPr>
    <w:rPr>
      <w:rFonts w:cs="宋体"/>
      <w:kern w:val="0"/>
      <w:sz w:val="20"/>
      <w:szCs w:val="20"/>
    </w:rPr>
  </w:style>
  <w:style w:type="paragraph" w:customStyle="1" w:styleId="668">
    <w:name w:val="文1"/>
    <w:basedOn w:val="1"/>
    <w:autoRedefine/>
    <w:qFormat/>
    <w:uiPriority w:val="0"/>
    <w:pPr>
      <w:widowControl/>
      <w:snapToGrid w:val="0"/>
      <w:ind w:firstLine="567"/>
      <w:jc w:val="left"/>
    </w:pPr>
    <w:rPr>
      <w:rFonts w:ascii="Arial" w:hAnsi="Arial" w:eastAsia="幼圆" w:cs="宋体"/>
      <w:kern w:val="0"/>
      <w:sz w:val="20"/>
      <w:szCs w:val="20"/>
    </w:rPr>
  </w:style>
  <w:style w:type="paragraph" w:customStyle="1" w:styleId="669">
    <w:name w:val="xl81"/>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cs="宋体"/>
      <w:kern w:val="0"/>
      <w:sz w:val="20"/>
      <w:szCs w:val="20"/>
    </w:rPr>
  </w:style>
  <w:style w:type="paragraph" w:customStyle="1" w:styleId="670">
    <w:name w:val="表内字"/>
    <w:basedOn w:val="38"/>
    <w:autoRedefine/>
    <w:qFormat/>
    <w:uiPriority w:val="0"/>
    <w:pPr>
      <w:snapToGrid w:val="0"/>
      <w:spacing w:line="300" w:lineRule="auto"/>
      <w:jc w:val="center"/>
    </w:pPr>
    <w:rPr>
      <w:rFonts w:ascii="Arial" w:hAnsi="Arial"/>
      <w:sz w:val="21"/>
      <w:lang w:val="en-US"/>
    </w:rPr>
  </w:style>
  <w:style w:type="paragraph" w:customStyle="1" w:styleId="671">
    <w:name w:val="xl82"/>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cs="宋体"/>
      <w:kern w:val="0"/>
      <w:sz w:val="20"/>
      <w:szCs w:val="20"/>
    </w:rPr>
  </w:style>
  <w:style w:type="paragraph" w:customStyle="1" w:styleId="672">
    <w:name w:val="xl78"/>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673">
    <w:name w:val="dandan6-13正文 Char Char Char"/>
    <w:basedOn w:val="1"/>
    <w:next w:val="1"/>
    <w:autoRedefine/>
    <w:qFormat/>
    <w:uiPriority w:val="0"/>
    <w:pPr>
      <w:keepNext/>
      <w:keepLines/>
      <w:widowControl/>
      <w:adjustRightInd w:val="0"/>
      <w:spacing w:before="40" w:after="40"/>
      <w:ind w:firstLine="200" w:firstLineChars="200"/>
      <w:jc w:val="left"/>
      <w:textAlignment w:val="baseline"/>
    </w:pPr>
    <w:rPr>
      <w:rFonts w:cs="宋体"/>
      <w:kern w:val="0"/>
      <w:sz w:val="20"/>
      <w:szCs w:val="28"/>
    </w:rPr>
  </w:style>
  <w:style w:type="paragraph" w:customStyle="1" w:styleId="674">
    <w:name w:val="样式 样式 正文首行缩进正文首行缩进 Char + 首行缩进:  2 字符 + 首行缩进:  2 字符"/>
    <w:basedOn w:val="1"/>
    <w:autoRedefine/>
    <w:qFormat/>
    <w:uiPriority w:val="0"/>
    <w:pPr>
      <w:widowControl/>
      <w:adjustRightInd w:val="0"/>
      <w:snapToGrid w:val="0"/>
      <w:ind w:firstLine="480" w:firstLineChars="200"/>
      <w:jc w:val="left"/>
      <w:textAlignment w:val="baseline"/>
    </w:pPr>
    <w:rPr>
      <w:rFonts w:ascii="宋体" w:cs="宋体"/>
      <w:kern w:val="0"/>
      <w:sz w:val="20"/>
      <w:szCs w:val="20"/>
      <w:lang w:val="zh-CN"/>
    </w:rPr>
  </w:style>
  <w:style w:type="paragraph" w:customStyle="1" w:styleId="675">
    <w:name w:val="xl28"/>
    <w:basedOn w:val="1"/>
    <w:autoRedefine/>
    <w:qFormat/>
    <w:uiPriority w:val="0"/>
    <w:pPr>
      <w:widowControl/>
      <w:pBdr>
        <w:left w:val="single" w:color="auto" w:sz="4" w:space="0"/>
      </w:pBdr>
      <w:spacing w:before="100" w:beforeAutospacing="1" w:after="100" w:afterAutospacing="1"/>
      <w:jc w:val="center"/>
    </w:pPr>
    <w:rPr>
      <w:rFonts w:ascii="宋体" w:hAnsi="宋体" w:cs="宋体"/>
      <w:b/>
      <w:bCs/>
      <w:kern w:val="0"/>
      <w:sz w:val="16"/>
      <w:szCs w:val="16"/>
    </w:rPr>
  </w:style>
  <w:style w:type="paragraph" w:customStyle="1" w:styleId="676">
    <w:name w:val="Char Char Char1 Char Char Char Char Char Char Char1"/>
    <w:basedOn w:val="1"/>
    <w:autoRedefine/>
    <w:qFormat/>
    <w:uiPriority w:val="0"/>
    <w:pPr>
      <w:widowControl/>
      <w:jc w:val="left"/>
    </w:pPr>
    <w:rPr>
      <w:rFonts w:cs="宋体"/>
      <w:kern w:val="0"/>
      <w:sz w:val="20"/>
      <w:szCs w:val="20"/>
    </w:rPr>
  </w:style>
  <w:style w:type="paragraph" w:customStyle="1" w:styleId="677">
    <w:name w:val="报告表正文"/>
    <w:basedOn w:val="1"/>
    <w:autoRedefine/>
    <w:qFormat/>
    <w:uiPriority w:val="0"/>
    <w:pPr>
      <w:widowControl/>
      <w:adjustRightInd w:val="0"/>
      <w:spacing w:line="312" w:lineRule="auto"/>
      <w:ind w:left="113" w:right="113" w:firstLine="482"/>
      <w:jc w:val="left"/>
      <w:textAlignment w:val="baseline"/>
    </w:pPr>
    <w:rPr>
      <w:rFonts w:cs="宋体"/>
      <w:kern w:val="0"/>
      <w:sz w:val="20"/>
      <w:szCs w:val="20"/>
    </w:rPr>
  </w:style>
  <w:style w:type="paragraph" w:customStyle="1" w:styleId="678">
    <w:name w:val="样式 标准文本 首行缩进:2 字符 行距1.5倍 + 首行缩进:  2 字符1"/>
    <w:basedOn w:val="658"/>
    <w:autoRedefine/>
    <w:qFormat/>
    <w:uiPriority w:val="0"/>
    <w:pPr>
      <w:spacing w:line="240" w:lineRule="auto"/>
    </w:pPr>
  </w:style>
  <w:style w:type="paragraph" w:customStyle="1" w:styleId="679">
    <w:name w:val="CM48"/>
    <w:basedOn w:val="85"/>
    <w:next w:val="85"/>
    <w:autoRedefine/>
    <w:qFormat/>
    <w:uiPriority w:val="0"/>
    <w:pPr>
      <w:spacing w:after="47"/>
    </w:pPr>
    <w:rPr>
      <w:rFonts w:ascii="黑体" w:hAnsi="Calibri" w:eastAsia="黑体" w:cs="Times New Roman"/>
      <w:color w:val="auto"/>
    </w:rPr>
  </w:style>
  <w:style w:type="paragraph" w:customStyle="1" w:styleId="680">
    <w:name w:val="xl76"/>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81">
    <w:name w:val="xl3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682">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s="宋体"/>
      <w:kern w:val="0"/>
      <w:sz w:val="22"/>
      <w:szCs w:val="22"/>
    </w:rPr>
  </w:style>
  <w:style w:type="paragraph" w:customStyle="1" w:styleId="683">
    <w:name w:val="Char Char"/>
    <w:basedOn w:val="1"/>
    <w:autoRedefine/>
    <w:qFormat/>
    <w:uiPriority w:val="0"/>
    <w:pPr>
      <w:widowControl/>
      <w:adjustRightInd w:val="0"/>
      <w:jc w:val="left"/>
    </w:pPr>
    <w:rPr>
      <w:rFonts w:cs="宋体"/>
      <w:kern w:val="0"/>
      <w:sz w:val="20"/>
      <w:szCs w:val="20"/>
    </w:rPr>
  </w:style>
  <w:style w:type="paragraph" w:customStyle="1" w:styleId="684">
    <w:name w:val="Char Char41"/>
    <w:basedOn w:val="1"/>
    <w:autoRedefine/>
    <w:qFormat/>
    <w:uiPriority w:val="0"/>
    <w:pPr>
      <w:widowControl/>
      <w:spacing w:after="160" w:line="240" w:lineRule="exact"/>
      <w:jc w:val="left"/>
    </w:pPr>
    <w:rPr>
      <w:rFonts w:ascii="Verdana" w:hAnsi="Verdana" w:eastAsia="PMingLiU" w:cs="宋体"/>
      <w:kern w:val="0"/>
      <w:sz w:val="20"/>
      <w:szCs w:val="20"/>
      <w:lang w:eastAsia="en-US"/>
    </w:rPr>
  </w:style>
  <w:style w:type="paragraph" w:customStyle="1" w:styleId="685">
    <w:name w:val="日期1"/>
    <w:basedOn w:val="1"/>
    <w:next w:val="1"/>
    <w:autoRedefine/>
    <w:qFormat/>
    <w:uiPriority w:val="0"/>
    <w:pPr>
      <w:widowControl/>
      <w:adjustRightInd w:val="0"/>
      <w:spacing w:line="360" w:lineRule="atLeast"/>
      <w:jc w:val="left"/>
      <w:textAlignment w:val="baseline"/>
    </w:pPr>
    <w:rPr>
      <w:rFonts w:ascii="宋体" w:eastAsia="Wingdings" w:cs="宋体"/>
      <w:kern w:val="0"/>
      <w:sz w:val="20"/>
      <w:szCs w:val="20"/>
    </w:rPr>
  </w:style>
  <w:style w:type="paragraph" w:customStyle="1" w:styleId="686">
    <w:name w:val="修订11"/>
    <w:autoRedefine/>
    <w:qFormat/>
    <w:uiPriority w:val="0"/>
    <w:rPr>
      <w:rFonts w:ascii="Times New Roman" w:hAnsi="Times New Roman" w:eastAsia="宋体" w:cs="宋体"/>
      <w:sz w:val="24"/>
      <w:szCs w:val="24"/>
      <w:lang w:val="en-US" w:eastAsia="zh-CN" w:bidi="ar-SA"/>
    </w:rPr>
  </w:style>
  <w:style w:type="paragraph" w:customStyle="1" w:styleId="687">
    <w:name w:val="论文正文"/>
    <w:basedOn w:val="9"/>
    <w:autoRedefine/>
    <w:qFormat/>
    <w:uiPriority w:val="0"/>
    <w:pPr>
      <w:ind w:firstLine="480" w:firstLineChars="200"/>
    </w:pPr>
    <w:rPr>
      <w:rFonts w:ascii="宋体" w:hAnsi="宋体"/>
      <w:sz w:val="28"/>
      <w:szCs w:val="24"/>
    </w:rPr>
  </w:style>
  <w:style w:type="paragraph" w:customStyle="1" w:styleId="688">
    <w:name w:val="表中文字"/>
    <w:basedOn w:val="1"/>
    <w:autoRedefine/>
    <w:qFormat/>
    <w:uiPriority w:val="0"/>
    <w:pPr>
      <w:widowControl/>
      <w:snapToGrid w:val="0"/>
      <w:spacing w:line="340" w:lineRule="exact"/>
      <w:jc w:val="center"/>
    </w:pPr>
    <w:rPr>
      <w:rFonts w:ascii="Arial" w:hAnsi="Arial" w:cs="宋体"/>
      <w:kern w:val="0"/>
      <w:sz w:val="20"/>
      <w:szCs w:val="20"/>
      <w:lang w:eastAsia="zh-TW"/>
    </w:rPr>
  </w:style>
  <w:style w:type="paragraph" w:customStyle="1" w:styleId="689">
    <w:name w:val="font13"/>
    <w:basedOn w:val="1"/>
    <w:autoRedefine/>
    <w:qFormat/>
    <w:uiPriority w:val="0"/>
    <w:pPr>
      <w:widowControl/>
      <w:spacing w:before="100" w:beforeAutospacing="1" w:after="100" w:afterAutospacing="1"/>
      <w:jc w:val="left"/>
    </w:pPr>
    <w:rPr>
      <w:rFonts w:cs="宋体"/>
      <w:kern w:val="0"/>
      <w:sz w:val="20"/>
      <w:szCs w:val="20"/>
    </w:rPr>
  </w:style>
  <w:style w:type="paragraph" w:customStyle="1" w:styleId="690">
    <w:name w:val="Subhead"/>
    <w:autoRedefine/>
    <w:qFormat/>
    <w:uiPriority w:val="0"/>
    <w:pPr>
      <w:spacing w:before="72" w:after="72" w:line="360" w:lineRule="atLeast"/>
    </w:pPr>
    <w:rPr>
      <w:rFonts w:ascii="Helv" w:hAnsi="Helv" w:eastAsia="PMingLiU" w:cs="宋体"/>
      <w:b/>
      <w:color w:val="000000"/>
      <w:sz w:val="28"/>
      <w:szCs w:val="24"/>
      <w:lang w:val="en-US" w:eastAsia="zh-TW" w:bidi="ar-SA"/>
    </w:rPr>
  </w:style>
  <w:style w:type="paragraph" w:customStyle="1" w:styleId="691">
    <w:name w:val="Date1"/>
    <w:basedOn w:val="1"/>
    <w:next w:val="1"/>
    <w:autoRedefine/>
    <w:semiHidden/>
    <w:qFormat/>
    <w:uiPriority w:val="0"/>
    <w:pPr>
      <w:widowControl/>
      <w:adjustRightInd w:val="0"/>
      <w:ind w:firstLine="576" w:firstLineChars="200"/>
      <w:jc w:val="left"/>
      <w:textAlignment w:val="baseline"/>
    </w:pPr>
    <w:rPr>
      <w:rFonts w:ascii="仿宋_GB2312" w:eastAsia="仿宋_GB2312" w:cs="宋体"/>
      <w:spacing w:val="4"/>
      <w:kern w:val="18"/>
      <w:sz w:val="28"/>
      <w:szCs w:val="20"/>
    </w:rPr>
  </w:style>
  <w:style w:type="paragraph" w:customStyle="1" w:styleId="692">
    <w:name w:val="xl10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693">
    <w:name w:val="样式 页眉 + 宋体 黑色 段前: 0 磅 段后: 0 磅 行距: 固定值 12 磅2"/>
    <w:basedOn w:val="47"/>
    <w:autoRedefine/>
    <w:qFormat/>
    <w:uiPriority w:val="0"/>
    <w:pPr>
      <w:pBdr>
        <w:bottom w:val="none" w:color="auto" w:sz="0" w:space="0"/>
      </w:pBdr>
      <w:tabs>
        <w:tab w:val="clear" w:pos="4153"/>
        <w:tab w:val="clear" w:pos="8306"/>
      </w:tabs>
      <w:snapToGrid/>
      <w:spacing w:line="240" w:lineRule="exact"/>
    </w:pPr>
    <w:rPr>
      <w:rFonts w:ascii="宋体" w:hAnsi="宋体"/>
      <w:color w:val="000000"/>
      <w:sz w:val="21"/>
      <w:szCs w:val="20"/>
    </w:rPr>
  </w:style>
  <w:style w:type="paragraph" w:customStyle="1" w:styleId="694">
    <w:name w:val="样式 (中文) 仿宋_GB2312 黑色 居中  行距:单倍行距"/>
    <w:basedOn w:val="1"/>
    <w:autoRedefine/>
    <w:qFormat/>
    <w:uiPriority w:val="0"/>
    <w:pPr>
      <w:widowControl/>
      <w:jc w:val="left"/>
    </w:pPr>
    <w:rPr>
      <w:rFonts w:eastAsia="仿宋_GB2312" w:cs="宋体"/>
      <w:color w:val="000000"/>
      <w:kern w:val="0"/>
      <w:sz w:val="20"/>
      <w:szCs w:val="20"/>
    </w:rPr>
  </w:style>
  <w:style w:type="paragraph" w:customStyle="1" w:styleId="695">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b/>
      <w:kern w:val="0"/>
      <w:sz w:val="20"/>
      <w:szCs w:val="20"/>
    </w:rPr>
  </w:style>
  <w:style w:type="paragraph" w:customStyle="1" w:styleId="696">
    <w:name w:val="Char Char13"/>
    <w:basedOn w:val="1"/>
    <w:autoRedefine/>
    <w:qFormat/>
    <w:uiPriority w:val="0"/>
    <w:pPr>
      <w:widowControl/>
      <w:jc w:val="left"/>
    </w:pPr>
    <w:rPr>
      <w:rFonts w:cs="宋体"/>
      <w:kern w:val="0"/>
      <w:sz w:val="20"/>
      <w:szCs w:val="20"/>
    </w:rPr>
  </w:style>
  <w:style w:type="paragraph" w:customStyle="1" w:styleId="697">
    <w:name w:val="1表格"/>
    <w:basedOn w:val="1"/>
    <w:autoRedefine/>
    <w:qFormat/>
    <w:uiPriority w:val="0"/>
    <w:pPr>
      <w:widowControl/>
      <w:snapToGrid w:val="0"/>
      <w:spacing w:line="160" w:lineRule="atLeast"/>
      <w:jc w:val="center"/>
    </w:pPr>
    <w:rPr>
      <w:rFonts w:eastAsia="仿宋_GB2312" w:cs="宋体"/>
      <w:kern w:val="0"/>
      <w:sz w:val="20"/>
      <w:szCs w:val="20"/>
    </w:rPr>
  </w:style>
  <w:style w:type="paragraph" w:customStyle="1" w:styleId="698">
    <w:name w:val="表文"/>
    <w:basedOn w:val="1"/>
    <w:autoRedefine/>
    <w:qFormat/>
    <w:uiPriority w:val="0"/>
    <w:pPr>
      <w:widowControl/>
      <w:jc w:val="center"/>
    </w:pPr>
    <w:rPr>
      <w:rFonts w:cs="宋体"/>
      <w:bCs/>
      <w:color w:val="FF0000"/>
      <w:kern w:val="28"/>
      <w:sz w:val="20"/>
      <w:szCs w:val="20"/>
    </w:rPr>
  </w:style>
  <w:style w:type="paragraph" w:customStyle="1" w:styleId="69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Arial" w:hAnsi="Arial" w:cs="宋体"/>
      <w:kern w:val="0"/>
      <w:sz w:val="20"/>
      <w:szCs w:val="20"/>
    </w:rPr>
  </w:style>
  <w:style w:type="paragraph" w:customStyle="1" w:styleId="70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01">
    <w:name w:val="TOC 标题11"/>
    <w:basedOn w:val="3"/>
    <w:next w:val="1"/>
    <w:autoRedefine/>
    <w:qFormat/>
    <w:uiPriority w:val="39"/>
    <w:pPr>
      <w:keepLines/>
      <w:spacing w:before="480" w:line="276" w:lineRule="auto"/>
      <w:jc w:val="left"/>
      <w:outlineLvl w:val="9"/>
    </w:pPr>
    <w:rPr>
      <w:rFonts w:ascii="Cambria" w:hAnsi="Cambria"/>
      <w:b w:val="0"/>
      <w:bCs/>
      <w:color w:val="365F91"/>
      <w:szCs w:val="28"/>
    </w:rPr>
  </w:style>
  <w:style w:type="paragraph" w:customStyle="1" w:styleId="702">
    <w:name w:val="图文"/>
    <w:basedOn w:val="1"/>
    <w:autoRedefine/>
    <w:qFormat/>
    <w:uiPriority w:val="0"/>
    <w:pPr>
      <w:widowControl/>
      <w:spacing w:line="360" w:lineRule="exact"/>
      <w:jc w:val="center"/>
    </w:pPr>
    <w:rPr>
      <w:rFonts w:cs="宋体"/>
      <w:color w:val="000000"/>
      <w:kern w:val="0"/>
      <w:sz w:val="20"/>
      <w:szCs w:val="20"/>
    </w:rPr>
  </w:style>
  <w:style w:type="paragraph" w:customStyle="1" w:styleId="703">
    <w:name w:val="font12"/>
    <w:basedOn w:val="1"/>
    <w:autoRedefine/>
    <w:qFormat/>
    <w:uiPriority w:val="0"/>
    <w:pPr>
      <w:widowControl/>
      <w:spacing w:before="100" w:beforeAutospacing="1" w:after="100" w:afterAutospacing="1"/>
      <w:jc w:val="left"/>
    </w:pPr>
    <w:rPr>
      <w:rFonts w:cs="宋体"/>
      <w:kern w:val="0"/>
      <w:sz w:val="20"/>
      <w:szCs w:val="20"/>
    </w:rPr>
  </w:style>
  <w:style w:type="paragraph" w:customStyle="1" w:styleId="70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textAlignment w:val="bottom"/>
    </w:pPr>
    <w:rPr>
      <w:rFonts w:ascii="Arial" w:hAnsi="Arial" w:cs="宋体"/>
      <w:kern w:val="0"/>
      <w:sz w:val="20"/>
      <w:szCs w:val="20"/>
    </w:rPr>
  </w:style>
  <w:style w:type="paragraph" w:customStyle="1" w:styleId="705">
    <w:name w:val="Char Char2 Char2"/>
    <w:basedOn w:val="1"/>
    <w:autoRedefine/>
    <w:qFormat/>
    <w:uiPriority w:val="0"/>
    <w:pPr>
      <w:widowControl/>
      <w:jc w:val="left"/>
    </w:pPr>
    <w:rPr>
      <w:rFonts w:cs="宋体"/>
      <w:kern w:val="0"/>
      <w:sz w:val="20"/>
      <w:szCs w:val="20"/>
    </w:rPr>
  </w:style>
  <w:style w:type="paragraph" w:customStyle="1" w:styleId="706">
    <w:name w:val="样式 标题 3标题3H3h33rd level第二层条头一 + Arial"/>
    <w:basedOn w:val="5"/>
    <w:autoRedefine/>
    <w:qFormat/>
    <w:uiPriority w:val="0"/>
    <w:pPr>
      <w:keepLines/>
      <w:adjustRightInd w:val="0"/>
      <w:spacing w:before="120" w:after="120" w:line="360" w:lineRule="exact"/>
      <w:textAlignment w:val="baseline"/>
    </w:pPr>
    <w:rPr>
      <w:rFonts w:ascii="Arial" w:hAnsi="Arial" w:eastAsia="黑体"/>
      <w:b/>
      <w:bCs/>
      <w:szCs w:val="24"/>
      <w:lang w:val="en-US"/>
    </w:rPr>
  </w:style>
  <w:style w:type="paragraph" w:customStyle="1" w:styleId="707">
    <w:name w:val="Char22"/>
    <w:basedOn w:val="1"/>
    <w:autoRedefine/>
    <w:qFormat/>
    <w:uiPriority w:val="0"/>
    <w:pPr>
      <w:widowControl/>
      <w:ind w:firstLine="200" w:firstLineChars="200"/>
      <w:jc w:val="left"/>
    </w:pPr>
    <w:rPr>
      <w:rFonts w:ascii="宋体" w:hAnsi="宋体" w:cs="宋体"/>
      <w:kern w:val="0"/>
      <w:sz w:val="20"/>
      <w:szCs w:val="20"/>
    </w:rPr>
  </w:style>
  <w:style w:type="paragraph" w:customStyle="1" w:styleId="708">
    <w:name w:val="Char Char Char Char Char Char4"/>
    <w:basedOn w:val="1"/>
    <w:autoRedefine/>
    <w:qFormat/>
    <w:uiPriority w:val="0"/>
    <w:pPr>
      <w:widowControl/>
      <w:jc w:val="left"/>
    </w:pPr>
    <w:rPr>
      <w:rFonts w:cs="宋体"/>
      <w:kern w:val="0"/>
      <w:sz w:val="20"/>
      <w:szCs w:val="20"/>
    </w:rPr>
  </w:style>
  <w:style w:type="paragraph" w:customStyle="1" w:styleId="709">
    <w:name w:val="样式 标题 3 + 段前: 0.5 行"/>
    <w:basedOn w:val="5"/>
    <w:autoRedefine/>
    <w:qFormat/>
    <w:uiPriority w:val="0"/>
    <w:pPr>
      <w:keepLines/>
      <w:snapToGrid w:val="0"/>
      <w:spacing w:before="156" w:beforeLines="50" w:line="276" w:lineRule="auto"/>
    </w:pPr>
    <w:rPr>
      <w:rFonts w:eastAsia="仿宋_GB2312"/>
      <w:b/>
      <w:sz w:val="28"/>
    </w:rPr>
  </w:style>
  <w:style w:type="paragraph" w:customStyle="1" w:styleId="710">
    <w:name w:val="_Style 35"/>
    <w:basedOn w:val="1"/>
    <w:autoRedefine/>
    <w:qFormat/>
    <w:uiPriority w:val="0"/>
    <w:pPr>
      <w:widowControl/>
      <w:tabs>
        <w:tab w:val="left" w:pos="1320"/>
      </w:tabs>
      <w:ind w:left="1320" w:hanging="720"/>
      <w:jc w:val="left"/>
    </w:pPr>
    <w:rPr>
      <w:rFonts w:cs="宋体"/>
      <w:kern w:val="0"/>
      <w:sz w:val="20"/>
      <w:szCs w:val="20"/>
    </w:rPr>
  </w:style>
  <w:style w:type="paragraph" w:customStyle="1" w:styleId="711">
    <w:name w:val="xl84"/>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cs="宋体"/>
      <w:kern w:val="0"/>
      <w:sz w:val="20"/>
      <w:szCs w:val="20"/>
    </w:rPr>
  </w:style>
  <w:style w:type="paragraph" w:customStyle="1" w:styleId="712">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bottom"/>
    </w:pPr>
    <w:rPr>
      <w:rFonts w:ascii="Arial" w:hAnsi="Arial" w:cs="宋体"/>
      <w:b/>
      <w:kern w:val="0"/>
      <w:sz w:val="20"/>
      <w:szCs w:val="20"/>
    </w:rPr>
  </w:style>
  <w:style w:type="paragraph" w:customStyle="1" w:styleId="713">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714">
    <w:name w:val="Char Char Char Char2"/>
    <w:basedOn w:val="1"/>
    <w:autoRedefine/>
    <w:qFormat/>
    <w:uiPriority w:val="0"/>
    <w:pPr>
      <w:widowControl/>
      <w:ind w:firstLine="200" w:firstLineChars="200"/>
      <w:jc w:val="left"/>
    </w:pPr>
    <w:rPr>
      <w:rFonts w:ascii="宋体" w:hAnsi="宋体" w:cs="宋体"/>
      <w:kern w:val="0"/>
      <w:sz w:val="20"/>
      <w:szCs w:val="20"/>
    </w:rPr>
  </w:style>
  <w:style w:type="paragraph" w:customStyle="1" w:styleId="715">
    <w:name w:val="1标题3级"/>
    <w:basedOn w:val="601"/>
    <w:autoRedefine/>
    <w:qFormat/>
    <w:uiPriority w:val="0"/>
    <w:pPr>
      <w:outlineLvl w:val="2"/>
    </w:pPr>
    <w:rPr>
      <w:sz w:val="30"/>
    </w:rPr>
  </w:style>
  <w:style w:type="paragraph" w:customStyle="1" w:styleId="716">
    <w:name w:val="修订版本号"/>
    <w:autoRedefine/>
    <w:qFormat/>
    <w:uiPriority w:val="0"/>
    <w:rPr>
      <w:rFonts w:ascii="Times New Roman" w:hAnsi="Times New Roman" w:eastAsia="宋体" w:cs="宋体"/>
      <w:sz w:val="24"/>
      <w:szCs w:val="24"/>
      <w:lang w:val="en-US" w:eastAsia="zh-CN" w:bidi="ar-SA"/>
    </w:rPr>
  </w:style>
  <w:style w:type="paragraph" w:customStyle="1" w:styleId="717">
    <w:name w:val="xl83"/>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18">
    <w:name w:val="－列表2"/>
    <w:basedOn w:val="1"/>
    <w:autoRedefine/>
    <w:semiHidden/>
    <w:qFormat/>
    <w:uiPriority w:val="0"/>
    <w:pPr>
      <w:widowControl/>
      <w:jc w:val="center"/>
    </w:pPr>
    <w:rPr>
      <w:rFonts w:cs="宋体"/>
      <w:kern w:val="0"/>
      <w:sz w:val="20"/>
    </w:rPr>
  </w:style>
  <w:style w:type="paragraph" w:customStyle="1" w:styleId="719">
    <w:name w:val="font10"/>
    <w:basedOn w:val="1"/>
    <w:autoRedefine/>
    <w:qFormat/>
    <w:uiPriority w:val="0"/>
    <w:pPr>
      <w:widowControl/>
      <w:spacing w:before="100" w:beforeAutospacing="1" w:after="100" w:afterAutospacing="1"/>
      <w:jc w:val="left"/>
    </w:pPr>
    <w:rPr>
      <w:rFonts w:ascii="宋体" w:hAnsi="宋体" w:cs="宋体"/>
      <w:kern w:val="0"/>
      <w:sz w:val="18"/>
      <w:szCs w:val="20"/>
    </w:rPr>
  </w:style>
  <w:style w:type="paragraph" w:customStyle="1" w:styleId="720">
    <w:name w:val="默认段落字体 Para Char Char Char Char"/>
    <w:basedOn w:val="1"/>
    <w:autoRedefine/>
    <w:qFormat/>
    <w:uiPriority w:val="0"/>
    <w:pPr>
      <w:widowControl/>
      <w:jc w:val="left"/>
    </w:pPr>
    <w:rPr>
      <w:rFonts w:cs="宋体"/>
      <w:kern w:val="0"/>
      <w:sz w:val="20"/>
      <w:szCs w:val="20"/>
    </w:rPr>
  </w:style>
  <w:style w:type="paragraph" w:customStyle="1" w:styleId="721">
    <w:name w:val="表格头"/>
    <w:basedOn w:val="1"/>
    <w:autoRedefine/>
    <w:qFormat/>
    <w:uiPriority w:val="0"/>
    <w:pPr>
      <w:widowControl/>
      <w:jc w:val="center"/>
    </w:pPr>
    <w:rPr>
      <w:rFonts w:cs="宋体"/>
      <w:b/>
      <w:bCs/>
      <w:kern w:val="0"/>
      <w:sz w:val="20"/>
      <w:szCs w:val="20"/>
    </w:rPr>
  </w:style>
  <w:style w:type="paragraph" w:customStyle="1" w:styleId="722">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kern w:val="0"/>
      <w:sz w:val="20"/>
      <w:szCs w:val="20"/>
    </w:rPr>
  </w:style>
  <w:style w:type="paragraph" w:customStyle="1" w:styleId="723">
    <w:name w:val="xl30"/>
    <w:basedOn w:val="1"/>
    <w:autoRedefine/>
    <w:qFormat/>
    <w:uiPriority w:val="0"/>
    <w:pPr>
      <w:widowControl/>
      <w:spacing w:before="100" w:beforeAutospacing="1" w:after="100" w:afterAutospacing="1"/>
      <w:jc w:val="left"/>
    </w:pPr>
    <w:rPr>
      <w:rFonts w:ascii="宋体" w:hAnsi="宋体" w:cs="宋体"/>
      <w:kern w:val="0"/>
      <w:sz w:val="16"/>
      <w:szCs w:val="16"/>
    </w:rPr>
  </w:style>
  <w:style w:type="paragraph" w:customStyle="1" w:styleId="724">
    <w:name w:val="CM82"/>
    <w:basedOn w:val="85"/>
    <w:next w:val="85"/>
    <w:autoRedefine/>
    <w:qFormat/>
    <w:uiPriority w:val="0"/>
    <w:pPr>
      <w:spacing w:after="98"/>
    </w:pPr>
    <w:rPr>
      <w:rFonts w:hAnsi="Calibri"/>
      <w:color w:val="auto"/>
    </w:rPr>
  </w:style>
  <w:style w:type="paragraph" w:customStyle="1" w:styleId="725">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cs="宋体"/>
      <w:kern w:val="0"/>
      <w:sz w:val="20"/>
      <w:szCs w:val="20"/>
    </w:rPr>
  </w:style>
  <w:style w:type="paragraph" w:customStyle="1" w:styleId="726">
    <w:name w:val="Char Char Char Char Char Char Char Char Char2"/>
    <w:basedOn w:val="1"/>
    <w:autoRedefine/>
    <w:qFormat/>
    <w:uiPriority w:val="0"/>
    <w:pPr>
      <w:widowControl/>
      <w:jc w:val="left"/>
    </w:pPr>
    <w:rPr>
      <w:rFonts w:cs="宋体"/>
      <w:kern w:val="0"/>
      <w:sz w:val="20"/>
      <w:szCs w:val="20"/>
    </w:rPr>
  </w:style>
  <w:style w:type="paragraph" w:customStyle="1" w:styleId="727">
    <w:name w:val="正文样式"/>
    <w:basedOn w:val="1"/>
    <w:autoRedefine/>
    <w:qFormat/>
    <w:uiPriority w:val="0"/>
    <w:pPr>
      <w:widowControl/>
      <w:ind w:firstLine="480" w:firstLineChars="200"/>
      <w:jc w:val="left"/>
    </w:pPr>
    <w:rPr>
      <w:rFonts w:ascii="宋体" w:hAnsi="宋体" w:cs="宋体"/>
      <w:color w:val="000000"/>
      <w:kern w:val="0"/>
      <w:sz w:val="20"/>
      <w:szCs w:val="20"/>
    </w:rPr>
  </w:style>
  <w:style w:type="paragraph" w:customStyle="1" w:styleId="728">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kern w:val="0"/>
      <w:sz w:val="20"/>
      <w:szCs w:val="20"/>
    </w:rPr>
  </w:style>
  <w:style w:type="paragraph" w:customStyle="1" w:styleId="729">
    <w:name w:val="样式 样式 宋体 小三 首行缩进:  2 字符 + 首行缩进:  2 字符"/>
    <w:basedOn w:val="1"/>
    <w:autoRedefine/>
    <w:qFormat/>
    <w:uiPriority w:val="0"/>
    <w:pPr>
      <w:widowControl/>
      <w:ind w:firstLine="200" w:firstLineChars="200"/>
      <w:jc w:val="left"/>
    </w:pPr>
    <w:rPr>
      <w:rFonts w:ascii="宋体" w:hAnsi="宋体" w:cs="宋体"/>
      <w:kern w:val="0"/>
      <w:sz w:val="28"/>
      <w:szCs w:val="20"/>
      <w:lang w:eastAsia="zh-TW"/>
    </w:rPr>
  </w:style>
  <w:style w:type="paragraph" w:customStyle="1" w:styleId="730">
    <w:name w:val="正文样式 Char Char Char"/>
    <w:basedOn w:val="1"/>
    <w:autoRedefine/>
    <w:qFormat/>
    <w:uiPriority w:val="0"/>
    <w:pPr>
      <w:widowControl/>
      <w:ind w:firstLine="480" w:firstLineChars="200"/>
      <w:jc w:val="left"/>
    </w:pPr>
    <w:rPr>
      <w:rFonts w:ascii="宋体" w:hAnsi="宋体" w:cs="宋体"/>
      <w:color w:val="000000"/>
      <w:kern w:val="0"/>
      <w:sz w:val="20"/>
      <w:szCs w:val="20"/>
    </w:rPr>
  </w:style>
  <w:style w:type="paragraph" w:customStyle="1" w:styleId="731">
    <w:name w:val="wsx正文－不缩进"/>
    <w:basedOn w:val="1"/>
    <w:autoRedefine/>
    <w:qFormat/>
    <w:uiPriority w:val="0"/>
    <w:pPr>
      <w:widowControl/>
      <w:jc w:val="left"/>
    </w:pPr>
    <w:rPr>
      <w:rFonts w:cs="宋体"/>
      <w:kern w:val="0"/>
      <w:sz w:val="20"/>
      <w:szCs w:val="20"/>
    </w:rPr>
  </w:style>
  <w:style w:type="paragraph" w:customStyle="1" w:styleId="732">
    <w:name w:val="1.2"/>
    <w:basedOn w:val="1"/>
    <w:autoRedefine/>
    <w:qFormat/>
    <w:uiPriority w:val="0"/>
    <w:pPr>
      <w:widowControl/>
      <w:spacing w:before="381" w:beforeLines="100"/>
      <w:ind w:firstLine="561"/>
      <w:jc w:val="left"/>
    </w:pPr>
    <w:rPr>
      <w:rFonts w:eastAsia="黑体" w:cs="宋体"/>
      <w:kern w:val="0"/>
      <w:sz w:val="32"/>
      <w:szCs w:val="32"/>
    </w:rPr>
  </w:style>
  <w:style w:type="paragraph" w:customStyle="1" w:styleId="733">
    <w:name w:val="CM10"/>
    <w:basedOn w:val="85"/>
    <w:next w:val="85"/>
    <w:autoRedefine/>
    <w:qFormat/>
    <w:uiPriority w:val="0"/>
    <w:pPr>
      <w:spacing w:line="406" w:lineRule="atLeast"/>
    </w:pPr>
    <w:rPr>
      <w:rFonts w:ascii="黑体" w:hAnsi="Calibri" w:eastAsia="黑体" w:cs="Times New Roman"/>
      <w:color w:val="auto"/>
    </w:rPr>
  </w:style>
  <w:style w:type="paragraph" w:customStyle="1" w:styleId="734">
    <w:name w:val="Char Char5"/>
    <w:basedOn w:val="1"/>
    <w:autoRedefine/>
    <w:qFormat/>
    <w:uiPriority w:val="0"/>
    <w:pPr>
      <w:widowControl/>
      <w:adjustRightInd w:val="0"/>
      <w:jc w:val="left"/>
    </w:pPr>
    <w:rPr>
      <w:rFonts w:cs="宋体"/>
      <w:kern w:val="0"/>
      <w:sz w:val="20"/>
      <w:szCs w:val="20"/>
    </w:rPr>
  </w:style>
  <w:style w:type="paragraph" w:customStyle="1" w:styleId="735">
    <w:name w:val="T正文"/>
    <w:autoRedefine/>
    <w:qFormat/>
    <w:uiPriority w:val="0"/>
    <w:pPr>
      <w:widowControl w:val="0"/>
      <w:adjustRightInd w:val="0"/>
      <w:snapToGrid w:val="0"/>
      <w:spacing w:line="360" w:lineRule="auto"/>
      <w:ind w:firstLine="200" w:firstLineChars="200"/>
      <w:jc w:val="both"/>
    </w:pPr>
    <w:rPr>
      <w:rFonts w:ascii="Times New Roman" w:hAnsi="Times New Roman" w:eastAsia="仿宋_GB2312" w:cs="宋体"/>
      <w:sz w:val="28"/>
      <w:szCs w:val="24"/>
      <w:lang w:val="en-US" w:eastAsia="zh-CN" w:bidi="ar-SA"/>
    </w:rPr>
  </w:style>
  <w:style w:type="paragraph" w:customStyle="1" w:styleId="736">
    <w:name w:val="陈光的正文"/>
    <w:basedOn w:val="1"/>
    <w:autoRedefine/>
    <w:qFormat/>
    <w:uiPriority w:val="0"/>
    <w:pPr>
      <w:widowControl/>
      <w:adjustRightInd w:val="0"/>
      <w:snapToGrid w:val="0"/>
      <w:spacing w:before="31" w:beforeLines="10" w:after="31" w:afterLines="10"/>
      <w:ind w:firstLine="560" w:firstLineChars="200"/>
      <w:jc w:val="left"/>
    </w:pPr>
    <w:rPr>
      <w:rFonts w:cs="宋体"/>
      <w:kern w:val="0"/>
      <w:sz w:val="28"/>
      <w:szCs w:val="20"/>
    </w:rPr>
  </w:style>
  <w:style w:type="paragraph" w:customStyle="1" w:styleId="737">
    <w:name w:val="Char Char1 Char Char Char Char Char Char Char Char Char1 Char2"/>
    <w:basedOn w:val="1"/>
    <w:autoRedefine/>
    <w:qFormat/>
    <w:uiPriority w:val="0"/>
    <w:pPr>
      <w:widowControl/>
      <w:jc w:val="left"/>
    </w:pPr>
    <w:rPr>
      <w:rFonts w:cs="宋体"/>
      <w:kern w:val="0"/>
      <w:sz w:val="20"/>
      <w:szCs w:val="20"/>
    </w:rPr>
  </w:style>
  <w:style w:type="paragraph" w:customStyle="1" w:styleId="738">
    <w:name w:val="表文字"/>
    <w:basedOn w:val="1"/>
    <w:autoRedefine/>
    <w:qFormat/>
    <w:uiPriority w:val="0"/>
    <w:pPr>
      <w:widowControl/>
      <w:overflowPunct w:val="0"/>
      <w:autoSpaceDE w:val="0"/>
      <w:autoSpaceDN w:val="0"/>
      <w:adjustRightInd w:val="0"/>
      <w:spacing w:line="240" w:lineRule="atLeast"/>
      <w:jc w:val="center"/>
      <w:textAlignment w:val="baseline"/>
    </w:pPr>
    <w:rPr>
      <w:rFonts w:cs="宋体"/>
      <w:kern w:val="0"/>
      <w:sz w:val="20"/>
      <w:szCs w:val="20"/>
    </w:rPr>
  </w:style>
  <w:style w:type="paragraph" w:customStyle="1" w:styleId="739">
    <w:name w:val="表标题"/>
    <w:basedOn w:val="1"/>
    <w:autoRedefine/>
    <w:qFormat/>
    <w:uiPriority w:val="0"/>
    <w:pPr>
      <w:widowControl/>
      <w:spacing w:line="500" w:lineRule="exact"/>
      <w:ind w:firstLine="482" w:firstLineChars="200"/>
      <w:jc w:val="center"/>
    </w:pPr>
    <w:rPr>
      <w:rFonts w:ascii="仿宋_GB2312" w:eastAsia="仿宋_GB2312" w:cs="宋体"/>
      <w:b/>
      <w:bCs/>
      <w:kern w:val="0"/>
      <w:sz w:val="20"/>
      <w:szCs w:val="20"/>
    </w:rPr>
  </w:style>
  <w:style w:type="paragraph" w:customStyle="1" w:styleId="740">
    <w:name w:val="正文表标题"/>
    <w:next w:val="272"/>
    <w:autoRedefine/>
    <w:qFormat/>
    <w:uiPriority w:val="0"/>
    <w:pPr>
      <w:tabs>
        <w:tab w:val="left" w:pos="420"/>
      </w:tabs>
      <w:ind w:left="420" w:hanging="420"/>
      <w:jc w:val="center"/>
    </w:pPr>
    <w:rPr>
      <w:rFonts w:ascii="黑体" w:hAnsi="Times New Roman" w:eastAsia="黑体" w:cs="宋体"/>
      <w:sz w:val="21"/>
      <w:szCs w:val="24"/>
      <w:lang w:val="en-US" w:eastAsia="zh-CN" w:bidi="ar-SA"/>
    </w:rPr>
  </w:style>
  <w:style w:type="paragraph" w:customStyle="1" w:styleId="741">
    <w:name w:val="style5"/>
    <w:basedOn w:val="1"/>
    <w:autoRedefine/>
    <w:qFormat/>
    <w:uiPriority w:val="0"/>
    <w:pPr>
      <w:widowControl/>
      <w:spacing w:before="100" w:beforeAutospacing="1" w:after="100" w:afterAutospacing="1"/>
      <w:jc w:val="left"/>
    </w:pPr>
    <w:rPr>
      <w:rFonts w:ascii="宋体" w:hAnsi="宋体" w:cs="宋体"/>
      <w:kern w:val="0"/>
      <w:sz w:val="23"/>
      <w:szCs w:val="23"/>
    </w:rPr>
  </w:style>
  <w:style w:type="paragraph" w:customStyle="1" w:styleId="742">
    <w:name w:val="xl112"/>
    <w:basedOn w:val="1"/>
    <w:autoRedefine/>
    <w:qFormat/>
    <w:uiPriority w:val="0"/>
    <w:pPr>
      <w:widowControl/>
      <w:shd w:val="clear" w:color="000000" w:fill="C0C0C0"/>
      <w:spacing w:before="100" w:beforeAutospacing="1" w:after="100" w:afterAutospacing="1"/>
      <w:jc w:val="left"/>
      <w:textAlignment w:val="bottom"/>
    </w:pPr>
    <w:rPr>
      <w:rFonts w:ascii="Arial" w:hAnsi="Arial" w:cs="宋体"/>
      <w:kern w:val="0"/>
      <w:sz w:val="20"/>
      <w:szCs w:val="20"/>
    </w:rPr>
  </w:style>
  <w:style w:type="paragraph" w:customStyle="1" w:styleId="743">
    <w:name w:val="xl7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74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Arial" w:hAnsi="Arial" w:cs="宋体"/>
      <w:kern w:val="0"/>
      <w:sz w:val="20"/>
      <w:szCs w:val="20"/>
    </w:rPr>
  </w:style>
  <w:style w:type="paragraph" w:customStyle="1" w:styleId="745">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746">
    <w:name w:val="登记表标题"/>
    <w:basedOn w:val="1"/>
    <w:autoRedefine/>
    <w:qFormat/>
    <w:uiPriority w:val="0"/>
    <w:pPr>
      <w:widowControl/>
      <w:autoSpaceDE w:val="0"/>
      <w:autoSpaceDN w:val="0"/>
      <w:adjustRightInd w:val="0"/>
      <w:jc w:val="center"/>
      <w:outlineLvl w:val="0"/>
    </w:pPr>
    <w:rPr>
      <w:rFonts w:eastAsia="黑体" w:cs="宋体"/>
      <w:color w:val="000000"/>
      <w:kern w:val="0"/>
      <w:sz w:val="30"/>
      <w:szCs w:val="30"/>
    </w:rPr>
  </w:style>
  <w:style w:type="paragraph" w:customStyle="1" w:styleId="747">
    <w:name w:val="样式 四号 加粗 行距: 2 倍行距"/>
    <w:basedOn w:val="1"/>
    <w:autoRedefine/>
    <w:qFormat/>
    <w:uiPriority w:val="0"/>
    <w:pPr>
      <w:widowControl/>
      <w:spacing w:line="480" w:lineRule="auto"/>
      <w:ind w:firstLine="138" w:firstLineChars="49"/>
      <w:jc w:val="left"/>
    </w:pPr>
    <w:rPr>
      <w:rFonts w:cs="宋体"/>
      <w:b/>
      <w:bCs/>
      <w:kern w:val="0"/>
      <w:sz w:val="28"/>
      <w:szCs w:val="20"/>
    </w:rPr>
  </w:style>
  <w:style w:type="paragraph" w:customStyle="1" w:styleId="74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textAlignment w:val="bottom"/>
    </w:pPr>
    <w:rPr>
      <w:rFonts w:ascii="Arial" w:hAnsi="Arial" w:cs="宋体"/>
      <w:kern w:val="0"/>
      <w:sz w:val="20"/>
      <w:szCs w:val="20"/>
    </w:rPr>
  </w:style>
  <w:style w:type="paragraph" w:customStyle="1" w:styleId="749">
    <w:name w:val="xl114"/>
    <w:basedOn w:val="1"/>
    <w:autoRedefine/>
    <w:qFormat/>
    <w:uiPriority w:val="0"/>
    <w:pPr>
      <w:widowControl/>
      <w:shd w:val="clear" w:color="000000" w:fill="C0C0C0"/>
      <w:spacing w:before="100" w:beforeAutospacing="1" w:after="100" w:afterAutospacing="1"/>
      <w:jc w:val="left"/>
      <w:textAlignment w:val="bottom"/>
    </w:pPr>
    <w:rPr>
      <w:rFonts w:ascii="Arial" w:hAnsi="Arial" w:cs="宋体"/>
      <w:kern w:val="0"/>
      <w:sz w:val="20"/>
      <w:szCs w:val="20"/>
    </w:rPr>
  </w:style>
  <w:style w:type="paragraph" w:customStyle="1" w:styleId="750">
    <w:name w:val="其他标准称谓"/>
    <w:autoRedefine/>
    <w:qFormat/>
    <w:uiPriority w:val="0"/>
    <w:pPr>
      <w:spacing w:line="0" w:lineRule="atLeast"/>
      <w:jc w:val="distribute"/>
    </w:pPr>
    <w:rPr>
      <w:rFonts w:ascii="黑体" w:hAnsi="宋体" w:eastAsia="黑体" w:cs="宋体"/>
      <w:sz w:val="52"/>
      <w:szCs w:val="24"/>
      <w:lang w:val="en-US" w:eastAsia="zh-CN" w:bidi="ar-SA"/>
    </w:rPr>
  </w:style>
  <w:style w:type="paragraph" w:customStyle="1" w:styleId="751">
    <w:name w:val="正文文字 Char Char Char2"/>
    <w:basedOn w:val="23"/>
    <w:autoRedefine/>
    <w:qFormat/>
    <w:uiPriority w:val="0"/>
    <w:pPr>
      <w:shd w:val="clear" w:color="auto" w:fill="auto"/>
      <w:spacing w:after="120"/>
      <w:ind w:firstLine="560" w:firstLineChars="200"/>
    </w:pPr>
    <w:rPr>
      <w:rFonts w:ascii="Tahoma" w:hAnsi="Tahoma"/>
      <w:color w:val="000000"/>
      <w:sz w:val="28"/>
      <w:szCs w:val="28"/>
    </w:rPr>
  </w:style>
  <w:style w:type="paragraph" w:customStyle="1" w:styleId="752">
    <w:name w:val="xl107"/>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宋体"/>
      <w:kern w:val="0"/>
      <w:sz w:val="20"/>
      <w:szCs w:val="20"/>
    </w:rPr>
  </w:style>
  <w:style w:type="paragraph" w:customStyle="1" w:styleId="753">
    <w:name w:val="标题02"/>
    <w:basedOn w:val="1"/>
    <w:autoRedefine/>
    <w:qFormat/>
    <w:uiPriority w:val="0"/>
    <w:pPr>
      <w:widowControl/>
      <w:numPr>
        <w:ilvl w:val="1"/>
        <w:numId w:val="6"/>
      </w:numPr>
      <w:tabs>
        <w:tab w:val="left" w:pos="540"/>
      </w:tabs>
      <w:spacing w:after="120"/>
      <w:jc w:val="left"/>
      <w:outlineLvl w:val="1"/>
    </w:pPr>
    <w:rPr>
      <w:rFonts w:cs="宋体"/>
      <w:b/>
      <w:kern w:val="0"/>
      <w:sz w:val="20"/>
      <w:szCs w:val="20"/>
    </w:rPr>
  </w:style>
  <w:style w:type="paragraph" w:customStyle="1" w:styleId="754">
    <w:name w:val="Char Char Char Char Char Char Char Char Char Char Char Char Char Char Char Char"/>
    <w:basedOn w:val="1"/>
    <w:autoRedefine/>
    <w:qFormat/>
    <w:uiPriority w:val="0"/>
    <w:pPr>
      <w:widowControl/>
      <w:ind w:firstLine="200" w:firstLineChars="200"/>
      <w:jc w:val="left"/>
    </w:pPr>
    <w:rPr>
      <w:rFonts w:ascii="宋体" w:hAnsi="宋体" w:cs="宋体"/>
      <w:kern w:val="0"/>
      <w:sz w:val="20"/>
      <w:szCs w:val="20"/>
    </w:rPr>
  </w:style>
  <w:style w:type="paragraph" w:customStyle="1" w:styleId="75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756">
    <w:name w:val="表格内容自定"/>
    <w:basedOn w:val="1"/>
    <w:autoRedefine/>
    <w:qFormat/>
    <w:uiPriority w:val="0"/>
    <w:pPr>
      <w:widowControl/>
      <w:spacing w:line="280" w:lineRule="exact"/>
      <w:jc w:val="center"/>
    </w:pPr>
    <w:rPr>
      <w:rFonts w:cs="宋体"/>
      <w:kern w:val="0"/>
      <w:sz w:val="18"/>
    </w:rPr>
  </w:style>
  <w:style w:type="paragraph" w:customStyle="1" w:styleId="757">
    <w:name w:val="xl74"/>
    <w:basedOn w:val="1"/>
    <w:autoRedefine/>
    <w:qFormat/>
    <w:uiPriority w:val="0"/>
    <w:pPr>
      <w:widowControl/>
      <w:pBdr>
        <w:left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758">
    <w:name w:val="Char3"/>
    <w:basedOn w:val="1"/>
    <w:autoRedefine/>
    <w:qFormat/>
    <w:uiPriority w:val="0"/>
    <w:pPr>
      <w:widowControl/>
      <w:ind w:firstLine="200" w:firstLineChars="200"/>
      <w:jc w:val="left"/>
    </w:pPr>
    <w:rPr>
      <w:rFonts w:ascii="宋体" w:hAnsi="宋体" w:cs="宋体"/>
      <w:kern w:val="0"/>
      <w:sz w:val="20"/>
      <w:szCs w:val="20"/>
    </w:rPr>
  </w:style>
  <w:style w:type="paragraph" w:customStyle="1" w:styleId="759">
    <w:name w:val="Bullet 1"/>
    <w:autoRedefine/>
    <w:qFormat/>
    <w:uiPriority w:val="0"/>
    <w:pPr>
      <w:ind w:left="576"/>
    </w:pPr>
    <w:rPr>
      <w:rFonts w:ascii="Times New Roman" w:hAnsi="Times New Roman" w:eastAsia="PMingLiU" w:cs="宋体"/>
      <w:color w:val="000000"/>
      <w:sz w:val="24"/>
      <w:szCs w:val="24"/>
      <w:lang w:val="en-US" w:eastAsia="zh-TW" w:bidi="ar-SA"/>
    </w:rPr>
  </w:style>
  <w:style w:type="paragraph" w:customStyle="1" w:styleId="760">
    <w:name w:val="环评报告书"/>
    <w:basedOn w:val="6"/>
    <w:autoRedefine/>
    <w:qFormat/>
    <w:uiPriority w:val="0"/>
    <w:pPr>
      <w:tabs>
        <w:tab w:val="left" w:pos="840"/>
      </w:tabs>
      <w:adjustRightInd w:val="0"/>
      <w:spacing w:before="0" w:after="0" w:line="360" w:lineRule="auto"/>
      <w:textAlignment w:val="baseline"/>
      <w:outlineLvl w:val="9"/>
    </w:pPr>
    <w:rPr>
      <w:rFonts w:ascii="Times New Roman" w:hAnsi="Times New Roman" w:eastAsia="长城楷体"/>
      <w:b w:val="0"/>
      <w:bCs w:val="0"/>
      <w:szCs w:val="20"/>
      <w:lang w:val="zh-CN"/>
    </w:rPr>
  </w:style>
  <w:style w:type="paragraph" w:customStyle="1" w:styleId="761">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Arial" w:hAnsi="Arial" w:cs="宋体"/>
      <w:b/>
      <w:kern w:val="0"/>
      <w:sz w:val="20"/>
      <w:szCs w:val="20"/>
    </w:rPr>
  </w:style>
  <w:style w:type="paragraph" w:customStyle="1" w:styleId="762">
    <w:name w:val="图表名"/>
    <w:basedOn w:val="1"/>
    <w:autoRedefine/>
    <w:qFormat/>
    <w:uiPriority w:val="0"/>
    <w:pPr>
      <w:widowControl/>
      <w:jc w:val="center"/>
    </w:pPr>
    <w:rPr>
      <w:rFonts w:cs="宋体"/>
      <w:b/>
      <w:kern w:val="0"/>
      <w:sz w:val="20"/>
      <w:szCs w:val="20"/>
    </w:rPr>
  </w:style>
  <w:style w:type="paragraph" w:customStyle="1" w:styleId="763">
    <w:name w:val="文本框文字"/>
    <w:basedOn w:val="1"/>
    <w:autoRedefine/>
    <w:qFormat/>
    <w:uiPriority w:val="0"/>
    <w:pPr>
      <w:widowControl/>
      <w:adjustRightInd w:val="0"/>
      <w:snapToGrid w:val="0"/>
      <w:spacing w:line="240" w:lineRule="exact"/>
      <w:jc w:val="center"/>
      <w:textAlignment w:val="center"/>
    </w:pPr>
    <w:rPr>
      <w:rFonts w:ascii="宋体" w:cs="宋体"/>
      <w:kern w:val="0"/>
      <w:sz w:val="20"/>
      <w:szCs w:val="20"/>
    </w:rPr>
  </w:style>
  <w:style w:type="paragraph" w:customStyle="1" w:styleId="764">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765">
    <w:name w:val="样式6"/>
    <w:basedOn w:val="1"/>
    <w:autoRedefine/>
    <w:qFormat/>
    <w:uiPriority w:val="0"/>
    <w:pPr>
      <w:widowControl/>
      <w:autoSpaceDE w:val="0"/>
      <w:autoSpaceDN w:val="0"/>
      <w:spacing w:line="500" w:lineRule="exact"/>
      <w:jc w:val="left"/>
      <w:outlineLvl w:val="0"/>
    </w:pPr>
    <w:rPr>
      <w:rFonts w:eastAsia="仿宋_GB2312" w:cs="宋体"/>
      <w:color w:val="000000"/>
      <w:kern w:val="0"/>
      <w:sz w:val="28"/>
      <w:szCs w:val="20"/>
    </w:rPr>
  </w:style>
  <w:style w:type="paragraph" w:customStyle="1" w:styleId="766">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kern w:val="0"/>
      <w:sz w:val="20"/>
      <w:szCs w:val="20"/>
    </w:rPr>
  </w:style>
  <w:style w:type="paragraph" w:customStyle="1" w:styleId="767">
    <w:name w:val="CM34"/>
    <w:basedOn w:val="1"/>
    <w:next w:val="1"/>
    <w:autoRedefine/>
    <w:qFormat/>
    <w:uiPriority w:val="0"/>
    <w:pPr>
      <w:widowControl/>
      <w:autoSpaceDE w:val="0"/>
      <w:autoSpaceDN w:val="0"/>
      <w:adjustRightInd w:val="0"/>
      <w:spacing w:after="123"/>
      <w:jc w:val="left"/>
    </w:pPr>
    <w:rPr>
      <w:rFonts w:ascii="Arial Unicode MS" w:hAnsi="Arial Unicode MS" w:cs="宋体"/>
      <w:kern w:val="0"/>
      <w:sz w:val="20"/>
      <w:szCs w:val="20"/>
    </w:rPr>
  </w:style>
  <w:style w:type="paragraph" w:customStyle="1" w:styleId="768">
    <w:name w:val="标题A"/>
    <w:basedOn w:val="1"/>
    <w:autoRedefine/>
    <w:qFormat/>
    <w:uiPriority w:val="0"/>
    <w:pPr>
      <w:widowControl/>
      <w:jc w:val="center"/>
    </w:pPr>
    <w:rPr>
      <w:rFonts w:hAnsi="宋体" w:cs="宋体"/>
      <w:b/>
      <w:bCs/>
      <w:kern w:val="0"/>
      <w:sz w:val="32"/>
      <w:szCs w:val="20"/>
    </w:rPr>
  </w:style>
  <w:style w:type="paragraph" w:customStyle="1" w:styleId="769">
    <w:name w:val="Char Char2 Char Char1"/>
    <w:basedOn w:val="1"/>
    <w:autoRedefine/>
    <w:qFormat/>
    <w:uiPriority w:val="0"/>
    <w:pPr>
      <w:widowControl/>
      <w:jc w:val="left"/>
    </w:pPr>
    <w:rPr>
      <w:rFonts w:cs="宋体"/>
      <w:kern w:val="0"/>
      <w:sz w:val="20"/>
      <w:szCs w:val="20"/>
    </w:rPr>
  </w:style>
  <w:style w:type="paragraph" w:customStyle="1" w:styleId="770">
    <w:name w:val="1 Char Char Char Char Char Char Char Char Char Char Char Char1 Char Char Char Char"/>
    <w:basedOn w:val="1"/>
    <w:autoRedefine/>
    <w:qFormat/>
    <w:uiPriority w:val="0"/>
    <w:pPr>
      <w:widowControl/>
      <w:jc w:val="left"/>
    </w:pPr>
    <w:rPr>
      <w:rFonts w:cs="宋体"/>
      <w:kern w:val="0"/>
      <w:sz w:val="20"/>
      <w:szCs w:val="20"/>
    </w:rPr>
  </w:style>
  <w:style w:type="paragraph" w:customStyle="1" w:styleId="771">
    <w:name w:val="文档结构图1"/>
    <w:basedOn w:val="1"/>
    <w:autoRedefine/>
    <w:qFormat/>
    <w:uiPriority w:val="0"/>
    <w:pPr>
      <w:widowControl/>
      <w:jc w:val="left"/>
    </w:pPr>
    <w:rPr>
      <w:rFonts w:ascii="宋体" w:cs="宋体"/>
      <w:kern w:val="0"/>
      <w:sz w:val="18"/>
      <w:szCs w:val="20"/>
      <w:lang w:val="zh-CN"/>
    </w:rPr>
  </w:style>
  <w:style w:type="paragraph" w:customStyle="1" w:styleId="772">
    <w:name w:val="alpha"/>
    <w:autoRedefine/>
    <w:qFormat/>
    <w:uiPriority w:val="0"/>
    <w:pPr>
      <w:spacing w:line="360" w:lineRule="atLeast"/>
      <w:ind w:left="576" w:firstLine="72"/>
    </w:pPr>
    <w:rPr>
      <w:rFonts w:ascii="Times New Roman" w:hAnsi="Times New Roman" w:eastAsia="PMingLiU" w:cs="宋体"/>
      <w:color w:val="000000"/>
      <w:sz w:val="24"/>
      <w:szCs w:val="24"/>
      <w:lang w:val="en-US" w:eastAsia="zh-TW" w:bidi="ar-SA"/>
    </w:rPr>
  </w:style>
  <w:style w:type="paragraph" w:customStyle="1" w:styleId="773">
    <w:name w:val="xl105"/>
    <w:basedOn w:val="1"/>
    <w:autoRedefine/>
    <w:qFormat/>
    <w:uiPriority w:val="0"/>
    <w:pPr>
      <w:widowControl/>
      <w:pBdr>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b/>
      <w:kern w:val="0"/>
      <w:sz w:val="20"/>
      <w:szCs w:val="20"/>
    </w:rPr>
  </w:style>
  <w:style w:type="paragraph" w:customStyle="1" w:styleId="77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kern w:val="0"/>
      <w:sz w:val="16"/>
      <w:szCs w:val="16"/>
    </w:rPr>
  </w:style>
  <w:style w:type="paragraph" w:customStyle="1" w:styleId="775">
    <w:name w:val="p0"/>
    <w:basedOn w:val="1"/>
    <w:autoRedefine/>
    <w:qFormat/>
    <w:uiPriority w:val="0"/>
    <w:pPr>
      <w:widowControl/>
      <w:jc w:val="left"/>
    </w:pPr>
    <w:rPr>
      <w:rFonts w:cs="宋体"/>
      <w:kern w:val="0"/>
      <w:sz w:val="20"/>
    </w:rPr>
  </w:style>
  <w:style w:type="paragraph" w:customStyle="1" w:styleId="776">
    <w:name w:val="样式 黑体 小四 行距: 固定值 24 磅"/>
    <w:basedOn w:val="1"/>
    <w:autoRedefine/>
    <w:qFormat/>
    <w:uiPriority w:val="0"/>
    <w:pPr>
      <w:widowControl/>
      <w:spacing w:line="480" w:lineRule="exact"/>
      <w:jc w:val="left"/>
    </w:pPr>
    <w:rPr>
      <w:rFonts w:ascii="黑体" w:eastAsia="黑体" w:cs="宋体"/>
      <w:kern w:val="0"/>
      <w:sz w:val="20"/>
      <w:szCs w:val="20"/>
    </w:rPr>
  </w:style>
  <w:style w:type="paragraph" w:customStyle="1" w:styleId="777">
    <w:name w:val="CM5"/>
    <w:basedOn w:val="85"/>
    <w:next w:val="85"/>
    <w:autoRedefine/>
    <w:qFormat/>
    <w:uiPriority w:val="0"/>
    <w:pPr>
      <w:spacing w:line="406" w:lineRule="atLeast"/>
    </w:pPr>
    <w:rPr>
      <w:rFonts w:ascii="黑体" w:hAnsi="Calibri" w:eastAsia="黑体" w:cs="Times New Roman"/>
      <w:color w:val="auto"/>
    </w:rPr>
  </w:style>
  <w:style w:type="paragraph" w:customStyle="1" w:styleId="778">
    <w:name w:val="Char Char Char Char Char Char Char Char Char1"/>
    <w:basedOn w:val="1"/>
    <w:autoRedefine/>
    <w:qFormat/>
    <w:uiPriority w:val="0"/>
    <w:pPr>
      <w:widowControl/>
      <w:jc w:val="left"/>
    </w:pPr>
    <w:rPr>
      <w:rFonts w:cs="宋体"/>
      <w:kern w:val="0"/>
      <w:sz w:val="20"/>
      <w:szCs w:val="20"/>
    </w:rPr>
  </w:style>
  <w:style w:type="paragraph" w:customStyle="1" w:styleId="779">
    <w:name w:val="xl87"/>
    <w:basedOn w:val="1"/>
    <w:autoRedefine/>
    <w:qFormat/>
    <w:uiPriority w:val="0"/>
    <w:pPr>
      <w:widowControl/>
      <w:shd w:val="clear" w:color="000000" w:fill="FFFFFF"/>
      <w:spacing w:before="100" w:beforeAutospacing="1" w:after="100" w:afterAutospacing="1"/>
      <w:jc w:val="left"/>
      <w:textAlignment w:val="bottom"/>
    </w:pPr>
    <w:rPr>
      <w:rFonts w:ascii="Arial" w:hAnsi="Arial" w:cs="宋体"/>
      <w:kern w:val="0"/>
      <w:sz w:val="20"/>
      <w:szCs w:val="20"/>
    </w:rPr>
  </w:style>
  <w:style w:type="paragraph" w:customStyle="1" w:styleId="780">
    <w:name w:val="Char21"/>
    <w:basedOn w:val="1"/>
    <w:autoRedefine/>
    <w:qFormat/>
    <w:uiPriority w:val="0"/>
    <w:pPr>
      <w:widowControl/>
      <w:ind w:firstLine="200" w:firstLineChars="200"/>
      <w:jc w:val="left"/>
    </w:pPr>
    <w:rPr>
      <w:rFonts w:ascii="宋体" w:hAnsi="宋体" w:cs="宋体"/>
      <w:kern w:val="0"/>
      <w:sz w:val="20"/>
      <w:szCs w:val="20"/>
    </w:rPr>
  </w:style>
  <w:style w:type="paragraph" w:customStyle="1" w:styleId="781">
    <w:name w:val="目录"/>
    <w:basedOn w:val="1"/>
    <w:autoRedefine/>
    <w:qFormat/>
    <w:uiPriority w:val="0"/>
    <w:pPr>
      <w:widowControl/>
      <w:tabs>
        <w:tab w:val="right" w:leader="dot" w:pos="8505"/>
      </w:tabs>
      <w:overflowPunct w:val="0"/>
      <w:adjustRightInd w:val="0"/>
      <w:ind w:left="568" w:right="851" w:hanging="284"/>
      <w:jc w:val="left"/>
      <w:textAlignment w:val="baseline"/>
    </w:pPr>
    <w:rPr>
      <w:rFonts w:cs="宋体"/>
      <w:kern w:val="0"/>
      <w:sz w:val="28"/>
      <w:szCs w:val="20"/>
    </w:rPr>
  </w:style>
  <w:style w:type="paragraph" w:customStyle="1" w:styleId="782">
    <w:name w:val="正文表格"/>
    <w:basedOn w:val="1"/>
    <w:autoRedefine/>
    <w:qFormat/>
    <w:uiPriority w:val="0"/>
    <w:pPr>
      <w:keepNext/>
      <w:keepLines/>
      <w:widowControl/>
      <w:tabs>
        <w:tab w:val="center" w:pos="6804"/>
      </w:tabs>
      <w:overflowPunct w:val="0"/>
      <w:adjustRightInd w:val="0"/>
      <w:spacing w:before="80"/>
      <w:jc w:val="left"/>
      <w:textAlignment w:val="bottom"/>
    </w:pPr>
    <w:rPr>
      <w:rFonts w:cs="宋体"/>
      <w:kern w:val="0"/>
      <w:sz w:val="20"/>
      <w:szCs w:val="20"/>
    </w:rPr>
  </w:style>
  <w:style w:type="paragraph" w:customStyle="1" w:styleId="783">
    <w:name w:val="xl110"/>
    <w:basedOn w:val="1"/>
    <w:autoRedefine/>
    <w:qFormat/>
    <w:uiPriority w:val="0"/>
    <w:pPr>
      <w:widowControl/>
      <w:shd w:val="clear" w:color="000000" w:fill="C0C0C0"/>
      <w:spacing w:before="100" w:beforeAutospacing="1" w:after="100" w:afterAutospacing="1"/>
      <w:jc w:val="left"/>
    </w:pPr>
    <w:rPr>
      <w:rFonts w:ascii="宋体" w:hAnsi="宋体" w:cs="宋体"/>
      <w:b/>
      <w:kern w:val="0"/>
      <w:sz w:val="20"/>
      <w:szCs w:val="20"/>
    </w:rPr>
  </w:style>
  <w:style w:type="paragraph" w:customStyle="1" w:styleId="784">
    <w:name w:val="xl111"/>
    <w:basedOn w:val="1"/>
    <w:autoRedefine/>
    <w:qFormat/>
    <w:uiPriority w:val="0"/>
    <w:pPr>
      <w:widowControl/>
      <w:shd w:val="clear" w:color="000000" w:fill="C0C0C0"/>
      <w:spacing w:before="100" w:beforeAutospacing="1" w:after="100" w:afterAutospacing="1"/>
      <w:jc w:val="left"/>
    </w:pPr>
    <w:rPr>
      <w:rFonts w:ascii="宋体" w:hAnsi="宋体" w:cs="宋体"/>
      <w:kern w:val="0"/>
      <w:sz w:val="20"/>
      <w:szCs w:val="20"/>
    </w:rPr>
  </w:style>
  <w:style w:type="paragraph" w:customStyle="1" w:styleId="785">
    <w:name w:val="xl113"/>
    <w:basedOn w:val="1"/>
    <w:autoRedefine/>
    <w:qFormat/>
    <w:uiPriority w:val="0"/>
    <w:pPr>
      <w:widowControl/>
      <w:shd w:val="clear" w:color="000000" w:fill="C0C0C0"/>
      <w:spacing w:before="100" w:beforeAutospacing="1" w:after="100" w:afterAutospacing="1"/>
      <w:jc w:val="left"/>
    </w:pPr>
    <w:rPr>
      <w:rFonts w:ascii="Arial" w:hAnsi="Arial" w:cs="宋体"/>
      <w:kern w:val="0"/>
      <w:sz w:val="20"/>
      <w:szCs w:val="20"/>
    </w:rPr>
  </w:style>
  <w:style w:type="paragraph" w:customStyle="1" w:styleId="786">
    <w:name w:val="xl109"/>
    <w:basedOn w:val="1"/>
    <w:autoRedefine/>
    <w:qFormat/>
    <w:uiPriority w:val="0"/>
    <w:pPr>
      <w:widowControl/>
      <w:shd w:val="clear" w:color="000000" w:fill="C0C0C0"/>
      <w:spacing w:before="100" w:beforeAutospacing="1" w:after="100" w:afterAutospacing="1"/>
      <w:jc w:val="left"/>
    </w:pPr>
    <w:rPr>
      <w:rFonts w:ascii="宋体" w:hAnsi="宋体" w:cs="宋体"/>
      <w:b/>
      <w:kern w:val="0"/>
      <w:sz w:val="28"/>
      <w:szCs w:val="20"/>
    </w:rPr>
  </w:style>
  <w:style w:type="paragraph" w:customStyle="1" w:styleId="787">
    <w:name w:val="列表1"/>
    <w:basedOn w:val="1"/>
    <w:autoRedefine/>
    <w:qFormat/>
    <w:uiPriority w:val="0"/>
    <w:pPr>
      <w:widowControl/>
      <w:adjustRightInd w:val="0"/>
      <w:spacing w:before="60" w:after="60"/>
      <w:ind w:firstLine="567"/>
      <w:jc w:val="left"/>
      <w:textAlignment w:val="baseline"/>
    </w:pPr>
    <w:rPr>
      <w:rFonts w:cs="宋体"/>
      <w:kern w:val="0"/>
      <w:sz w:val="20"/>
      <w:szCs w:val="20"/>
    </w:rPr>
  </w:style>
  <w:style w:type="paragraph" w:customStyle="1" w:styleId="788">
    <w:name w:val="正文文本 21"/>
    <w:basedOn w:val="1"/>
    <w:autoRedefine/>
    <w:qFormat/>
    <w:uiPriority w:val="0"/>
    <w:pPr>
      <w:widowControl/>
      <w:spacing w:after="120" w:line="480" w:lineRule="auto"/>
      <w:jc w:val="left"/>
    </w:pPr>
    <w:rPr>
      <w:rFonts w:cs="宋体"/>
      <w:kern w:val="0"/>
      <w:sz w:val="20"/>
      <w:szCs w:val="20"/>
      <w:lang w:val="zh-CN"/>
    </w:rPr>
  </w:style>
  <w:style w:type="paragraph" w:customStyle="1" w:styleId="789">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kern w:val="0"/>
      <w:sz w:val="20"/>
      <w:szCs w:val="20"/>
    </w:rPr>
  </w:style>
  <w:style w:type="paragraph" w:customStyle="1" w:styleId="790">
    <w:name w:val="font11"/>
    <w:basedOn w:val="1"/>
    <w:autoRedefine/>
    <w:qFormat/>
    <w:uiPriority w:val="0"/>
    <w:pPr>
      <w:widowControl/>
      <w:spacing w:before="100" w:beforeAutospacing="1" w:after="100" w:afterAutospacing="1"/>
      <w:jc w:val="left"/>
    </w:pPr>
    <w:rPr>
      <w:rFonts w:cs="宋体"/>
      <w:kern w:val="0"/>
      <w:sz w:val="20"/>
      <w:szCs w:val="20"/>
    </w:rPr>
  </w:style>
  <w:style w:type="paragraph" w:customStyle="1" w:styleId="791">
    <w:name w:val="xl104"/>
    <w:basedOn w:val="1"/>
    <w:autoRedefine/>
    <w:qFormat/>
    <w:uiPriority w:val="0"/>
    <w:pPr>
      <w:widowControl/>
      <w:shd w:val="clear" w:color="000000" w:fill="BFBFBF"/>
      <w:spacing w:before="100" w:beforeAutospacing="1" w:after="100" w:afterAutospacing="1"/>
      <w:jc w:val="left"/>
    </w:pPr>
    <w:rPr>
      <w:rFonts w:ascii="Arial" w:hAnsi="Arial" w:cs="宋体"/>
      <w:b/>
      <w:kern w:val="0"/>
      <w:sz w:val="20"/>
      <w:szCs w:val="20"/>
    </w:rPr>
  </w:style>
  <w:style w:type="paragraph" w:customStyle="1" w:styleId="792">
    <w:name w:val="xl10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Arial" w:hAnsi="Arial" w:cs="宋体"/>
      <w:kern w:val="0"/>
      <w:sz w:val="20"/>
      <w:szCs w:val="20"/>
    </w:rPr>
  </w:style>
  <w:style w:type="paragraph" w:customStyle="1" w:styleId="793">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kern w:val="0"/>
      <w:sz w:val="20"/>
      <w:szCs w:val="20"/>
    </w:rPr>
  </w:style>
  <w:style w:type="paragraph" w:customStyle="1" w:styleId="79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795">
    <w:name w:val="正文_0"/>
    <w:autoRedefine/>
    <w:qFormat/>
    <w:uiPriority w:val="0"/>
    <w:pPr>
      <w:widowControl w:val="0"/>
      <w:jc w:val="both"/>
    </w:pPr>
    <w:rPr>
      <w:rFonts w:ascii="Calibri" w:hAnsi="Calibri" w:eastAsia="宋体" w:cs="宋体"/>
      <w:kern w:val="2"/>
      <w:sz w:val="21"/>
      <w:szCs w:val="24"/>
      <w:lang w:val="en-US" w:eastAsia="zh-CN" w:bidi="ar-SA"/>
    </w:rPr>
  </w:style>
  <w:style w:type="paragraph" w:customStyle="1" w:styleId="796">
    <w:name w:val="正文_1"/>
    <w:autoRedefine/>
    <w:qFormat/>
    <w:uiPriority w:val="0"/>
    <w:pPr>
      <w:widowControl w:val="0"/>
      <w:jc w:val="both"/>
    </w:pPr>
    <w:rPr>
      <w:rFonts w:ascii="Calibri" w:hAnsi="Calibri" w:eastAsia="宋体" w:cs="宋体"/>
      <w:kern w:val="2"/>
      <w:sz w:val="21"/>
      <w:szCs w:val="24"/>
      <w:lang w:val="en-US" w:eastAsia="zh-CN" w:bidi="ar-SA"/>
    </w:rPr>
  </w:style>
  <w:style w:type="paragraph" w:customStyle="1" w:styleId="797">
    <w:name w:val="正文_2"/>
    <w:autoRedefine/>
    <w:qFormat/>
    <w:uiPriority w:val="0"/>
    <w:pPr>
      <w:widowControl w:val="0"/>
      <w:jc w:val="both"/>
    </w:pPr>
    <w:rPr>
      <w:rFonts w:ascii="Calibri" w:hAnsi="Calibri" w:eastAsia="宋体" w:cs="宋体"/>
      <w:kern w:val="2"/>
      <w:sz w:val="21"/>
      <w:szCs w:val="24"/>
      <w:lang w:val="en-US" w:eastAsia="zh-CN" w:bidi="ar-SA"/>
    </w:rPr>
  </w:style>
  <w:style w:type="paragraph" w:customStyle="1" w:styleId="798">
    <w:name w:val="正文_3"/>
    <w:autoRedefine/>
    <w:qFormat/>
    <w:uiPriority w:val="0"/>
    <w:pPr>
      <w:widowControl w:val="0"/>
      <w:jc w:val="both"/>
    </w:pPr>
    <w:rPr>
      <w:rFonts w:ascii="Calibri" w:hAnsi="Calibri" w:eastAsia="宋体" w:cs="宋体"/>
      <w:kern w:val="2"/>
      <w:sz w:val="21"/>
      <w:szCs w:val="24"/>
      <w:lang w:val="en-US" w:eastAsia="zh-CN" w:bidi="ar-SA"/>
    </w:rPr>
  </w:style>
  <w:style w:type="paragraph" w:customStyle="1" w:styleId="799">
    <w:name w:val="Char Char1 Char Char Char Char Char Char Char Char Char1 Char4"/>
    <w:basedOn w:val="1"/>
    <w:autoRedefine/>
    <w:qFormat/>
    <w:uiPriority w:val="0"/>
    <w:pPr>
      <w:widowControl/>
      <w:jc w:val="left"/>
    </w:pPr>
    <w:rPr>
      <w:rFonts w:cs="宋体"/>
      <w:kern w:val="0"/>
      <w:sz w:val="20"/>
      <w:szCs w:val="20"/>
    </w:rPr>
  </w:style>
  <w:style w:type="paragraph" w:customStyle="1" w:styleId="800">
    <w:name w:val="Char Char Char Char4"/>
    <w:basedOn w:val="1"/>
    <w:autoRedefine/>
    <w:qFormat/>
    <w:uiPriority w:val="0"/>
    <w:pPr>
      <w:widowControl/>
      <w:ind w:firstLine="200" w:firstLineChars="200"/>
      <w:jc w:val="left"/>
    </w:pPr>
    <w:rPr>
      <w:rFonts w:ascii="宋体" w:hAnsi="宋体" w:cs="宋体"/>
      <w:kern w:val="0"/>
      <w:sz w:val="20"/>
      <w:szCs w:val="20"/>
    </w:rPr>
  </w:style>
  <w:style w:type="paragraph" w:customStyle="1" w:styleId="801">
    <w:name w:val="Char Char1 Char Char Char Char Char Char Char3"/>
    <w:basedOn w:val="1"/>
    <w:autoRedefine/>
    <w:qFormat/>
    <w:uiPriority w:val="0"/>
    <w:pPr>
      <w:widowControl/>
      <w:jc w:val="left"/>
    </w:pPr>
    <w:rPr>
      <w:rFonts w:cs="宋体"/>
      <w:kern w:val="0"/>
      <w:sz w:val="20"/>
      <w:szCs w:val="20"/>
    </w:rPr>
  </w:style>
  <w:style w:type="paragraph" w:customStyle="1" w:styleId="802">
    <w:name w:val="Char23"/>
    <w:basedOn w:val="1"/>
    <w:autoRedefine/>
    <w:qFormat/>
    <w:uiPriority w:val="0"/>
    <w:pPr>
      <w:widowControl/>
      <w:ind w:firstLine="200" w:firstLineChars="200"/>
      <w:jc w:val="left"/>
    </w:pPr>
    <w:rPr>
      <w:rFonts w:ascii="宋体" w:hAnsi="宋体" w:cs="宋体"/>
      <w:kern w:val="0"/>
      <w:sz w:val="20"/>
      <w:szCs w:val="20"/>
    </w:rPr>
  </w:style>
  <w:style w:type="paragraph" w:customStyle="1" w:styleId="803">
    <w:name w:val="Char Char Char Char Char Char Char Char Char Char Char Char3"/>
    <w:basedOn w:val="1"/>
    <w:autoRedefine/>
    <w:qFormat/>
    <w:uiPriority w:val="0"/>
    <w:pPr>
      <w:widowControl/>
      <w:adjustRightInd w:val="0"/>
      <w:jc w:val="left"/>
    </w:pPr>
    <w:rPr>
      <w:rFonts w:cs="宋体"/>
      <w:kern w:val="0"/>
      <w:sz w:val="20"/>
      <w:szCs w:val="20"/>
    </w:rPr>
  </w:style>
  <w:style w:type="paragraph" w:customStyle="1" w:styleId="804">
    <w:name w:val="Char Char Char Char Char Char6"/>
    <w:basedOn w:val="1"/>
    <w:autoRedefine/>
    <w:qFormat/>
    <w:uiPriority w:val="0"/>
    <w:pPr>
      <w:widowControl/>
      <w:jc w:val="left"/>
    </w:pPr>
    <w:rPr>
      <w:rFonts w:cs="宋体"/>
      <w:kern w:val="0"/>
      <w:sz w:val="20"/>
      <w:szCs w:val="20"/>
    </w:rPr>
  </w:style>
  <w:style w:type="paragraph" w:customStyle="1" w:styleId="805">
    <w:name w:val="Char Char2 Char3"/>
    <w:basedOn w:val="1"/>
    <w:autoRedefine/>
    <w:qFormat/>
    <w:uiPriority w:val="0"/>
    <w:pPr>
      <w:widowControl/>
      <w:jc w:val="left"/>
    </w:pPr>
    <w:rPr>
      <w:rFonts w:cs="宋体"/>
      <w:kern w:val="0"/>
      <w:sz w:val="20"/>
      <w:szCs w:val="20"/>
    </w:rPr>
  </w:style>
  <w:style w:type="paragraph" w:customStyle="1" w:styleId="806">
    <w:name w:val="正文文本缩进3"/>
    <w:basedOn w:val="1"/>
    <w:next w:val="1"/>
    <w:autoRedefine/>
    <w:qFormat/>
    <w:uiPriority w:val="0"/>
    <w:pPr>
      <w:widowControl/>
      <w:jc w:val="center"/>
    </w:pPr>
    <w:rPr>
      <w:rFonts w:cs="宋体"/>
      <w:color w:val="000000"/>
      <w:kern w:val="0"/>
      <w:sz w:val="20"/>
      <w:szCs w:val="20"/>
      <w:lang w:val="zh-CN"/>
    </w:rPr>
  </w:style>
  <w:style w:type="paragraph" w:customStyle="1" w:styleId="807">
    <w:name w:val="Char Char1 Char Char Char Char Char Char Char Char"/>
    <w:basedOn w:val="1"/>
    <w:autoRedefine/>
    <w:qFormat/>
    <w:uiPriority w:val="0"/>
    <w:pPr>
      <w:widowControl/>
      <w:spacing w:before="20" w:beforeLines="20" w:line="440" w:lineRule="atLeast"/>
      <w:ind w:firstLine="200" w:firstLineChars="200"/>
      <w:jc w:val="left"/>
    </w:pPr>
    <w:rPr>
      <w:rFonts w:cs="宋体"/>
      <w:kern w:val="0"/>
      <w:sz w:val="20"/>
      <w:szCs w:val="20"/>
    </w:rPr>
  </w:style>
  <w:style w:type="paragraph" w:customStyle="1" w:styleId="808">
    <w:name w:val="Char Char Char3 Char Char Char Char Char Char Char Char Char Char Char Char Char Char Char"/>
    <w:basedOn w:val="1"/>
    <w:autoRedefine/>
    <w:qFormat/>
    <w:uiPriority w:val="0"/>
    <w:pPr>
      <w:widowControl/>
      <w:jc w:val="left"/>
    </w:pPr>
    <w:rPr>
      <w:rFonts w:cs="宋体"/>
      <w:kern w:val="0"/>
      <w:sz w:val="20"/>
      <w:szCs w:val="20"/>
    </w:rPr>
  </w:style>
  <w:style w:type="paragraph" w:customStyle="1" w:styleId="809">
    <w:name w:val="zxz5"/>
    <w:next w:val="1"/>
    <w:autoRedefine/>
    <w:qFormat/>
    <w:uiPriority w:val="0"/>
    <w:pPr>
      <w:tabs>
        <w:tab w:val="left" w:pos="0"/>
      </w:tabs>
      <w:jc w:val="center"/>
    </w:pPr>
    <w:rPr>
      <w:rFonts w:ascii="Times New Roman" w:hAnsi="Times New Roman" w:eastAsia="宋体" w:cs="宋体"/>
      <w:sz w:val="24"/>
      <w:szCs w:val="24"/>
      <w:lang w:val="en-US" w:eastAsia="zh-CN" w:bidi="ar-SA"/>
    </w:rPr>
  </w:style>
  <w:style w:type="paragraph" w:customStyle="1" w:styleId="810">
    <w:name w:val="五号表格"/>
    <w:basedOn w:val="1"/>
    <w:autoRedefine/>
    <w:qFormat/>
    <w:uiPriority w:val="0"/>
    <w:pPr>
      <w:widowControl/>
      <w:jc w:val="center"/>
    </w:pPr>
    <w:rPr>
      <w:rFonts w:cs="宋体"/>
      <w:kern w:val="0"/>
      <w:sz w:val="20"/>
      <w:szCs w:val="20"/>
    </w:rPr>
  </w:style>
  <w:style w:type="paragraph" w:customStyle="1" w:styleId="811">
    <w:name w:val="报告表格"/>
    <w:basedOn w:val="1"/>
    <w:autoRedefine/>
    <w:qFormat/>
    <w:uiPriority w:val="0"/>
    <w:pPr>
      <w:widowControl/>
      <w:autoSpaceDE w:val="0"/>
      <w:autoSpaceDN w:val="0"/>
      <w:adjustRightInd w:val="0"/>
      <w:jc w:val="center"/>
      <w:textAlignment w:val="baseline"/>
    </w:pPr>
    <w:rPr>
      <w:rFonts w:cs="宋体"/>
      <w:kern w:val="0"/>
      <w:sz w:val="20"/>
      <w:szCs w:val="20"/>
    </w:rPr>
  </w:style>
  <w:style w:type="paragraph" w:customStyle="1" w:styleId="812">
    <w:name w:val="Char Char31"/>
    <w:basedOn w:val="1"/>
    <w:autoRedefine/>
    <w:qFormat/>
    <w:uiPriority w:val="0"/>
    <w:pPr>
      <w:widowControl/>
      <w:ind w:firstLine="200" w:firstLineChars="200"/>
      <w:jc w:val="left"/>
    </w:pPr>
    <w:rPr>
      <w:rFonts w:ascii="宋体" w:hAnsi="宋体" w:cs="宋体"/>
      <w:kern w:val="0"/>
      <w:sz w:val="20"/>
      <w:szCs w:val="20"/>
    </w:rPr>
  </w:style>
  <w:style w:type="paragraph" w:customStyle="1" w:styleId="813">
    <w:name w:val="Char Char Char Char Char Char Char3"/>
    <w:basedOn w:val="1"/>
    <w:autoRedefine/>
    <w:qFormat/>
    <w:uiPriority w:val="0"/>
    <w:pPr>
      <w:widowControl/>
      <w:jc w:val="left"/>
    </w:pPr>
    <w:rPr>
      <w:rFonts w:cs="宋体"/>
      <w:kern w:val="0"/>
      <w:sz w:val="20"/>
      <w:szCs w:val="20"/>
    </w:rPr>
  </w:style>
  <w:style w:type="paragraph" w:customStyle="1" w:styleId="814">
    <w:name w:val="表样式1"/>
    <w:basedOn w:val="1"/>
    <w:autoRedefine/>
    <w:qFormat/>
    <w:uiPriority w:val="0"/>
    <w:pPr>
      <w:widowControl/>
      <w:snapToGrid w:val="0"/>
      <w:spacing w:line="400" w:lineRule="exact"/>
      <w:ind w:left="-21" w:leftChars="-10" w:right="-21" w:rightChars="-10"/>
      <w:jc w:val="center"/>
    </w:pPr>
    <w:rPr>
      <w:rFonts w:cs="宋体"/>
      <w:color w:val="000000"/>
      <w:kern w:val="0"/>
      <w:sz w:val="20"/>
      <w:lang w:eastAsia="zh-TW"/>
    </w:rPr>
  </w:style>
  <w:style w:type="paragraph" w:customStyle="1" w:styleId="815">
    <w:name w:val="cucd-TB"/>
    <w:autoRedefine/>
    <w:qFormat/>
    <w:uiPriority w:val="0"/>
    <w:pPr>
      <w:spacing w:line="360" w:lineRule="auto"/>
      <w:jc w:val="center"/>
    </w:pPr>
    <w:rPr>
      <w:rFonts w:ascii="宋体" w:hAnsi="宋体" w:eastAsia="宋体" w:cs="宋体"/>
      <w:kern w:val="2"/>
      <w:sz w:val="21"/>
      <w:szCs w:val="24"/>
      <w:lang w:val="en-US" w:eastAsia="zh-CN" w:bidi="ar-SA"/>
    </w:rPr>
  </w:style>
  <w:style w:type="paragraph" w:customStyle="1" w:styleId="816">
    <w:name w:val="表格下方正文"/>
    <w:basedOn w:val="1"/>
    <w:autoRedefine/>
    <w:qFormat/>
    <w:uiPriority w:val="0"/>
    <w:pPr>
      <w:widowControl/>
      <w:spacing w:before="400" w:line="460" w:lineRule="exact"/>
      <w:ind w:firstLine="200" w:firstLineChars="200"/>
      <w:jc w:val="left"/>
    </w:pPr>
    <w:rPr>
      <w:rFonts w:cs="宋体"/>
      <w:kern w:val="0"/>
      <w:sz w:val="20"/>
      <w:szCs w:val="20"/>
    </w:rPr>
  </w:style>
  <w:style w:type="paragraph" w:customStyle="1" w:styleId="817">
    <w:name w:val="表题"/>
    <w:basedOn w:val="1"/>
    <w:autoRedefine/>
    <w:qFormat/>
    <w:uiPriority w:val="0"/>
    <w:pPr>
      <w:widowControl/>
      <w:autoSpaceDE w:val="0"/>
      <w:autoSpaceDN w:val="0"/>
      <w:adjustRightInd w:val="0"/>
      <w:spacing w:line="480" w:lineRule="atLeast"/>
      <w:jc w:val="center"/>
      <w:textAlignment w:val="baseline"/>
    </w:pPr>
    <w:rPr>
      <w:rFonts w:ascii="黑体" w:hAnsi="Calibri" w:eastAsia="黑体" w:cs="宋体"/>
      <w:kern w:val="16"/>
      <w:sz w:val="20"/>
      <w:szCs w:val="20"/>
      <w:lang w:eastAsia="en-US" w:bidi="en-US"/>
    </w:rPr>
  </w:style>
  <w:style w:type="paragraph" w:customStyle="1" w:styleId="818">
    <w:name w:val="表内序号"/>
    <w:basedOn w:val="1"/>
    <w:autoRedefine/>
    <w:qFormat/>
    <w:uiPriority w:val="0"/>
    <w:pPr>
      <w:widowControl/>
      <w:numPr>
        <w:ilvl w:val="0"/>
        <w:numId w:val="7"/>
      </w:numPr>
      <w:adjustRightInd w:val="0"/>
      <w:snapToGrid w:val="0"/>
      <w:jc w:val="left"/>
    </w:pPr>
    <w:rPr>
      <w:rFonts w:cs="宋体"/>
      <w:kern w:val="0"/>
      <w:sz w:val="18"/>
      <w:szCs w:val="20"/>
    </w:rPr>
  </w:style>
  <w:style w:type="paragraph" w:customStyle="1" w:styleId="819">
    <w:name w:val="样式 标题5 + 段前: 0.5 行 段后: 0.5 行"/>
    <w:basedOn w:val="1"/>
    <w:autoRedefine/>
    <w:qFormat/>
    <w:uiPriority w:val="0"/>
    <w:pPr>
      <w:widowControl/>
      <w:numPr>
        <w:ilvl w:val="4"/>
        <w:numId w:val="7"/>
      </w:numPr>
      <w:autoSpaceDE w:val="0"/>
      <w:autoSpaceDN w:val="0"/>
      <w:adjustRightInd w:val="0"/>
      <w:snapToGrid w:val="0"/>
      <w:ind w:firstLine="567"/>
      <w:jc w:val="left"/>
      <w:textAlignment w:val="bottom"/>
      <w:outlineLvl w:val="4"/>
    </w:pPr>
    <w:rPr>
      <w:rFonts w:ascii="宋体" w:hAnsi="宋体" w:cs="宋体"/>
      <w:bCs/>
      <w:color w:val="000000"/>
      <w:kern w:val="0"/>
      <w:sz w:val="28"/>
      <w:szCs w:val="28"/>
    </w:rPr>
  </w:style>
  <w:style w:type="paragraph" w:customStyle="1" w:styleId="820">
    <w:name w:val="表样式1.1"/>
    <w:basedOn w:val="814"/>
    <w:autoRedefine/>
    <w:qFormat/>
    <w:uiPriority w:val="0"/>
    <w:pPr>
      <w:autoSpaceDE w:val="0"/>
      <w:autoSpaceDN w:val="0"/>
      <w:adjustRightInd w:val="0"/>
      <w:spacing w:line="374" w:lineRule="exact"/>
      <w:ind w:left="0" w:leftChars="0" w:right="0" w:rightChars="0"/>
    </w:pPr>
    <w:rPr>
      <w:rFonts w:ascii="宋体" w:hAnsi="宋体"/>
      <w:bCs/>
      <w:lang w:eastAsia="zh-CN"/>
    </w:rPr>
  </w:style>
  <w:style w:type="paragraph" w:customStyle="1" w:styleId="821">
    <w:name w:val="样式 12.2.6.1 + 段后: 0.5 行"/>
    <w:basedOn w:val="1"/>
    <w:autoRedefine/>
    <w:qFormat/>
    <w:uiPriority w:val="0"/>
    <w:pPr>
      <w:keepNext/>
      <w:keepLines/>
      <w:widowControl/>
      <w:numPr>
        <w:ilvl w:val="3"/>
        <w:numId w:val="8"/>
      </w:numPr>
      <w:spacing w:before="120" w:after="120" w:afterLines="50" w:line="312" w:lineRule="auto"/>
      <w:jc w:val="left"/>
      <w:outlineLvl w:val="3"/>
    </w:pPr>
    <w:rPr>
      <w:rFonts w:ascii="宋体" w:hAnsi="宋体" w:eastAsia="黑体" w:cs="宋体"/>
      <w:b/>
      <w:bCs/>
      <w:kern w:val="0"/>
      <w:sz w:val="20"/>
      <w:szCs w:val="20"/>
    </w:rPr>
  </w:style>
  <w:style w:type="paragraph" w:customStyle="1" w:styleId="822">
    <w:name w:val="列出段落4"/>
    <w:basedOn w:val="1"/>
    <w:autoRedefine/>
    <w:qFormat/>
    <w:uiPriority w:val="34"/>
    <w:pPr>
      <w:widowControl/>
      <w:ind w:firstLine="420" w:firstLineChars="200"/>
      <w:jc w:val="left"/>
    </w:pPr>
    <w:rPr>
      <w:rFonts w:cs="宋体"/>
      <w:kern w:val="0"/>
      <w:sz w:val="20"/>
      <w:szCs w:val="20"/>
    </w:rPr>
  </w:style>
  <w:style w:type="paragraph" w:customStyle="1" w:styleId="823">
    <w:name w:val="Char Char1 Char Char Char Char Char Char Char Char1"/>
    <w:basedOn w:val="1"/>
    <w:autoRedefine/>
    <w:qFormat/>
    <w:uiPriority w:val="0"/>
    <w:pPr>
      <w:widowControl/>
      <w:spacing w:before="20" w:beforeLines="20" w:line="440" w:lineRule="atLeast"/>
      <w:ind w:firstLine="200" w:firstLineChars="200"/>
      <w:jc w:val="left"/>
    </w:pPr>
    <w:rPr>
      <w:rFonts w:cs="宋体"/>
      <w:kern w:val="0"/>
      <w:sz w:val="20"/>
      <w:szCs w:val="20"/>
    </w:rPr>
  </w:style>
  <w:style w:type="paragraph" w:customStyle="1" w:styleId="824">
    <w:name w:val="Char Char Char3 Char Char Char Char Char Char Char Char Char Char Char Char Char Char Char1"/>
    <w:basedOn w:val="1"/>
    <w:autoRedefine/>
    <w:qFormat/>
    <w:uiPriority w:val="0"/>
    <w:pPr>
      <w:widowControl/>
      <w:jc w:val="left"/>
    </w:pPr>
    <w:rPr>
      <w:rFonts w:cs="宋体"/>
      <w:kern w:val="0"/>
      <w:sz w:val="20"/>
      <w:szCs w:val="20"/>
    </w:rPr>
  </w:style>
  <w:style w:type="paragraph" w:customStyle="1" w:styleId="825">
    <w:name w:val="图"/>
    <w:basedOn w:val="1"/>
    <w:autoRedefine/>
    <w:qFormat/>
    <w:uiPriority w:val="0"/>
    <w:pPr>
      <w:widowControl/>
      <w:tabs>
        <w:tab w:val="left" w:leader="dot" w:pos="48"/>
      </w:tabs>
      <w:autoSpaceDE w:val="0"/>
      <w:autoSpaceDN w:val="0"/>
      <w:adjustRightInd w:val="0"/>
      <w:spacing w:beforeLines="50" w:afterLines="50" w:line="240" w:lineRule="atLeast"/>
      <w:ind w:firstLine="200" w:firstLineChars="200"/>
      <w:jc w:val="center"/>
    </w:pPr>
    <w:rPr>
      <w:rFonts w:ascii="Arial" w:hAnsi="Arial" w:eastAsia="仿宋_GB2312" w:cs="宋体"/>
      <w:color w:val="000000"/>
      <w:kern w:val="0"/>
      <w:sz w:val="20"/>
      <w:szCs w:val="18"/>
      <w:lang w:val="zh-CN"/>
    </w:rPr>
  </w:style>
  <w:style w:type="paragraph" w:customStyle="1" w:styleId="826">
    <w:name w:val="二级标题"/>
    <w:basedOn w:val="52"/>
    <w:autoRedefine/>
    <w:qFormat/>
    <w:uiPriority w:val="99"/>
    <w:pPr>
      <w:spacing w:line="312" w:lineRule="auto"/>
      <w:ind w:left="0" w:leftChars="0" w:right="0" w:rightChars="0" w:firstLine="200" w:firstLineChars="200"/>
    </w:pPr>
    <w:rPr>
      <w:rFonts w:ascii="Cambria" w:hAnsi="Cambria" w:eastAsia="宋体"/>
      <w:sz w:val="32"/>
      <w:lang w:val="zh-CN"/>
    </w:rPr>
  </w:style>
  <w:style w:type="paragraph" w:customStyle="1" w:styleId="827">
    <w:name w:val="默认段落字体 Para Char Char Char Char Char Char Char Char Char Char"/>
    <w:basedOn w:val="5"/>
    <w:autoRedefine/>
    <w:qFormat/>
    <w:uiPriority w:val="0"/>
    <w:pPr>
      <w:keepLines/>
      <w:tabs>
        <w:tab w:val="left" w:pos="360"/>
        <w:tab w:val="left" w:pos="900"/>
      </w:tabs>
      <w:snapToGrid w:val="0"/>
      <w:spacing w:before="120" w:after="120" w:line="360" w:lineRule="auto"/>
      <w:ind w:left="542" w:leftChars="-12" w:firstLine="200" w:firstLineChars="200"/>
    </w:pPr>
    <w:rPr>
      <w:rFonts w:eastAsia="黑体"/>
      <w:szCs w:val="24"/>
      <w:lang w:val="en-US"/>
    </w:rPr>
  </w:style>
  <w:style w:type="paragraph" w:customStyle="1" w:styleId="828">
    <w:name w:val="初设正文"/>
    <w:basedOn w:val="1"/>
    <w:autoRedefine/>
    <w:qFormat/>
    <w:uiPriority w:val="0"/>
    <w:pPr>
      <w:widowControl/>
      <w:spacing w:after="120" w:line="440" w:lineRule="exact"/>
      <w:ind w:left="425" w:firstLine="425"/>
      <w:jc w:val="left"/>
    </w:pPr>
    <w:rPr>
      <w:rFonts w:ascii="Arial" w:hAnsi="Arial" w:cs="宋体"/>
      <w:kern w:val="0"/>
      <w:sz w:val="20"/>
      <w:szCs w:val="20"/>
    </w:rPr>
  </w:style>
  <w:style w:type="paragraph" w:customStyle="1" w:styleId="829">
    <w:name w:val="日期2"/>
    <w:basedOn w:val="1"/>
    <w:next w:val="1"/>
    <w:autoRedefine/>
    <w:qFormat/>
    <w:uiPriority w:val="0"/>
    <w:pPr>
      <w:widowControl/>
      <w:adjustRightInd w:val="0"/>
      <w:spacing w:line="360" w:lineRule="atLeast"/>
      <w:jc w:val="left"/>
      <w:textAlignment w:val="baseline"/>
    </w:pPr>
    <w:rPr>
      <w:rFonts w:ascii="宋体" w:eastAsia="Wingdings" w:cs="宋体"/>
      <w:kern w:val="0"/>
      <w:sz w:val="20"/>
      <w:szCs w:val="20"/>
    </w:rPr>
  </w:style>
  <w:style w:type="paragraph" w:customStyle="1" w:styleId="830">
    <w:name w:val="正文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1">
    <w:name w:val="标题 2 New"/>
    <w:basedOn w:val="830"/>
    <w:next w:val="830"/>
    <w:autoRedefine/>
    <w:qFormat/>
    <w:uiPriority w:val="0"/>
    <w:pPr>
      <w:keepNext/>
      <w:keepLines/>
      <w:tabs>
        <w:tab w:val="left" w:pos="720"/>
      </w:tabs>
      <w:outlineLvl w:val="1"/>
    </w:pPr>
    <w:rPr>
      <w:b/>
    </w:rPr>
  </w:style>
  <w:style w:type="paragraph" w:customStyle="1" w:styleId="832">
    <w:name w:val="正文 New New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3">
    <w:name w:val="正文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4">
    <w:name w:val="正文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35">
    <w:name w:val="正文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6">
    <w:name w:val="正文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7">
    <w:name w:val="正文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8">
    <w:name w:val="正文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39">
    <w:name w:val="正文 New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40">
    <w:name w:val="正文 New New New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41">
    <w:name w:val="正文 New New New New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42">
    <w:name w:val="正文 New New New New New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43">
    <w:name w:val="正文 New New New New New New New New New New New New New New New New New New New New"/>
    <w:autoRedefine/>
    <w:qFormat/>
    <w:uiPriority w:val="0"/>
    <w:pPr>
      <w:widowControl w:val="0"/>
      <w:adjustRightInd w:val="0"/>
      <w:spacing w:line="360" w:lineRule="auto"/>
      <w:ind w:firstLine="567"/>
      <w:jc w:val="both"/>
      <w:textAlignment w:val="baseline"/>
    </w:pPr>
    <w:rPr>
      <w:rFonts w:ascii="Times New Roman" w:hAnsi="Times New Roman" w:eastAsia="宋体" w:cs="宋体"/>
      <w:sz w:val="28"/>
      <w:szCs w:val="24"/>
      <w:lang w:val="en-US" w:eastAsia="zh-CN" w:bidi="ar-SA"/>
    </w:rPr>
  </w:style>
  <w:style w:type="paragraph" w:customStyle="1" w:styleId="844">
    <w:name w:val="正文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45">
    <w:name w:val="正文 New New New New New New New New New New New New New New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46">
    <w:name w:val="正文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47">
    <w:name w:val="页眉 New"/>
    <w:basedOn w:val="848"/>
    <w:autoRedefine/>
    <w:qFormat/>
    <w:uiPriority w:val="0"/>
    <w:pPr>
      <w:pBdr>
        <w:bottom w:val="single" w:color="auto" w:sz="6" w:space="1"/>
      </w:pBdr>
      <w:tabs>
        <w:tab w:val="center" w:pos="4153"/>
        <w:tab w:val="right" w:pos="8306"/>
      </w:tabs>
      <w:snapToGrid w:val="0"/>
      <w:jc w:val="center"/>
    </w:pPr>
    <w:rPr>
      <w:sz w:val="18"/>
    </w:rPr>
  </w:style>
  <w:style w:type="paragraph" w:customStyle="1" w:styleId="848">
    <w:name w:val="正文 New New New New New New New New New New New New New New New New New New New New New New New"/>
    <w:autoRedefine/>
    <w:qFormat/>
    <w:uiPriority w:val="0"/>
    <w:pPr>
      <w:widowControl w:val="0"/>
      <w:ind w:firstLine="21" w:firstLineChars="200"/>
    </w:pPr>
    <w:rPr>
      <w:rFonts w:ascii="Times New Roman" w:hAnsi="Times New Roman" w:eastAsia="宋体" w:cs="宋体"/>
      <w:sz w:val="24"/>
      <w:szCs w:val="24"/>
      <w:lang w:val="en-US" w:eastAsia="zh-CN" w:bidi="ar-SA"/>
    </w:rPr>
  </w:style>
  <w:style w:type="paragraph" w:customStyle="1" w:styleId="849">
    <w:name w:val="正文 New New New New New New New New New New New New New New New New New New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0">
    <w:name w:val="正文 New New New New New New New New New New New New New New New New New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1">
    <w:name w:val="正文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2">
    <w:name w:val="正文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3">
    <w:name w:val="正文 New New New New New New New New New New New New New New New New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4">
    <w:name w:val="正文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5">
    <w:name w:val="正文 New New New New New New New New New New New New New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6">
    <w:name w:val="正文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7">
    <w:name w:val="正文 New New New New New New New New New"/>
    <w:autoRedefine/>
    <w:qFormat/>
    <w:uiPriority w:val="0"/>
    <w:pPr>
      <w:widowControl w:val="0"/>
      <w:jc w:val="both"/>
    </w:pPr>
    <w:rPr>
      <w:rFonts w:ascii="Times New Roman" w:hAnsi="Times New Roman" w:eastAsia="宋体" w:cs="宋体"/>
      <w:kern w:val="2"/>
      <w:sz w:val="21"/>
      <w:szCs w:val="24"/>
      <w:lang w:val="en-US" w:eastAsia="zh-CN" w:bidi="ar-SA"/>
    </w:rPr>
  </w:style>
  <w:style w:type="paragraph" w:customStyle="1" w:styleId="858">
    <w:name w:val="页脚 New"/>
    <w:basedOn w:val="848"/>
    <w:autoRedefine/>
    <w:qFormat/>
    <w:uiPriority w:val="0"/>
    <w:pPr>
      <w:tabs>
        <w:tab w:val="center" w:pos="4153"/>
        <w:tab w:val="right" w:pos="8306"/>
      </w:tabs>
      <w:snapToGrid w:val="0"/>
    </w:pPr>
    <w:rPr>
      <w:sz w:val="18"/>
    </w:rPr>
  </w:style>
  <w:style w:type="paragraph" w:customStyle="1" w:styleId="859">
    <w:name w:val="纯文本 New"/>
    <w:basedOn w:val="846"/>
    <w:autoRedefine/>
    <w:qFormat/>
    <w:uiPriority w:val="0"/>
    <w:rPr>
      <w:rFonts w:ascii="宋体" w:hAnsi="Courier New"/>
      <w:szCs w:val="21"/>
    </w:rPr>
  </w:style>
  <w:style w:type="paragraph" w:customStyle="1" w:styleId="860">
    <w:name w:val="标题 2 New New New New"/>
    <w:basedOn w:val="844"/>
    <w:next w:val="844"/>
    <w:autoRedefine/>
    <w:qFormat/>
    <w:uiPriority w:val="0"/>
    <w:pPr>
      <w:keepNext/>
      <w:keepLines/>
      <w:tabs>
        <w:tab w:val="left" w:pos="720"/>
      </w:tabs>
      <w:adjustRightInd w:val="0"/>
      <w:spacing w:line="360" w:lineRule="auto"/>
      <w:ind w:firstLine="567"/>
      <w:textAlignment w:val="baseline"/>
      <w:outlineLvl w:val="1"/>
    </w:pPr>
    <w:rPr>
      <w:b/>
      <w:kern w:val="0"/>
      <w:sz w:val="28"/>
      <w:szCs w:val="20"/>
    </w:rPr>
  </w:style>
  <w:style w:type="paragraph" w:customStyle="1" w:styleId="861">
    <w:name w:val="标题 2 New New"/>
    <w:basedOn w:val="834"/>
    <w:next w:val="834"/>
    <w:autoRedefine/>
    <w:qFormat/>
    <w:uiPriority w:val="0"/>
    <w:pPr>
      <w:keepNext/>
      <w:keepLines/>
      <w:tabs>
        <w:tab w:val="left" w:pos="720"/>
      </w:tabs>
      <w:adjustRightInd w:val="0"/>
      <w:spacing w:line="360" w:lineRule="auto"/>
      <w:ind w:firstLine="567"/>
      <w:textAlignment w:val="baseline"/>
      <w:outlineLvl w:val="1"/>
    </w:pPr>
    <w:rPr>
      <w:b/>
      <w:kern w:val="0"/>
      <w:sz w:val="28"/>
      <w:szCs w:val="20"/>
    </w:rPr>
  </w:style>
  <w:style w:type="paragraph" w:customStyle="1" w:styleId="862">
    <w:name w:val="普通(网站)2"/>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63">
    <w:name w:val="正文文本缩进 New"/>
    <w:basedOn w:val="846"/>
    <w:autoRedefine/>
    <w:qFormat/>
    <w:uiPriority w:val="0"/>
    <w:pPr>
      <w:spacing w:line="500" w:lineRule="atLeast"/>
      <w:ind w:firstLine="461" w:firstLineChars="192"/>
    </w:pPr>
    <w:rPr>
      <w:rFonts w:ascii="宋体" w:hAnsi="宋体"/>
      <w:sz w:val="24"/>
      <w:szCs w:val="28"/>
    </w:rPr>
  </w:style>
  <w:style w:type="paragraph" w:customStyle="1" w:styleId="864">
    <w:name w:val="heading"/>
    <w:basedOn w:val="830"/>
    <w:next w:val="830"/>
    <w:autoRedefine/>
    <w:qFormat/>
    <w:uiPriority w:val="0"/>
    <w:pPr>
      <w:keepNext/>
      <w:keepLines/>
      <w:adjustRightInd/>
      <w:ind w:firstLine="0"/>
      <w:textAlignment w:val="auto"/>
      <w:outlineLvl w:val="1"/>
    </w:pPr>
    <w:rPr>
      <w:rFonts w:ascii="宋体" w:hAnsi="Arial Black"/>
      <w:kern w:val="2"/>
      <w:sz w:val="24"/>
    </w:rPr>
  </w:style>
  <w:style w:type="paragraph" w:customStyle="1" w:styleId="865">
    <w:name w:val="Plain Text New"/>
    <w:basedOn w:val="830"/>
    <w:autoRedefine/>
    <w:qFormat/>
    <w:uiPriority w:val="0"/>
    <w:pPr>
      <w:spacing w:line="240" w:lineRule="auto"/>
      <w:ind w:firstLine="0"/>
    </w:pPr>
    <w:rPr>
      <w:rFonts w:ascii="宋体" w:hAnsi="Courier New"/>
      <w:kern w:val="2"/>
      <w:sz w:val="21"/>
    </w:rPr>
  </w:style>
  <w:style w:type="paragraph" w:customStyle="1" w:styleId="866">
    <w:name w:val="正文文本 New"/>
    <w:basedOn w:val="830"/>
    <w:autoRedefine/>
    <w:qFormat/>
    <w:uiPriority w:val="0"/>
    <w:pPr>
      <w:adjustRightInd/>
      <w:spacing w:after="120" w:line="240" w:lineRule="auto"/>
      <w:ind w:firstLine="0"/>
      <w:textAlignment w:val="auto"/>
    </w:pPr>
    <w:rPr>
      <w:kern w:val="2"/>
      <w:sz w:val="21"/>
    </w:rPr>
  </w:style>
  <w:style w:type="paragraph" w:customStyle="1" w:styleId="867">
    <w:name w:val="标题 2 New New New"/>
    <w:basedOn w:val="846"/>
    <w:next w:val="846"/>
    <w:autoRedefine/>
    <w:qFormat/>
    <w:uiPriority w:val="0"/>
    <w:pPr>
      <w:keepNext/>
      <w:keepLines/>
      <w:spacing w:before="260" w:after="260" w:line="416" w:lineRule="auto"/>
      <w:outlineLvl w:val="1"/>
    </w:pPr>
    <w:rPr>
      <w:rFonts w:ascii="Arial" w:hAnsi="Arial" w:eastAsia="黑体"/>
      <w:b/>
      <w:bCs/>
      <w:sz w:val="32"/>
      <w:szCs w:val="32"/>
    </w:rPr>
  </w:style>
  <w:style w:type="paragraph" w:customStyle="1" w:styleId="868">
    <w:name w:val="p15"/>
    <w:basedOn w:val="1"/>
    <w:autoRedefine/>
    <w:qFormat/>
    <w:uiPriority w:val="0"/>
    <w:pPr>
      <w:widowControl/>
      <w:jc w:val="left"/>
    </w:pPr>
    <w:rPr>
      <w:rFonts w:cs="宋体"/>
      <w:kern w:val="0"/>
      <w:sz w:val="20"/>
      <w:szCs w:val="20"/>
    </w:rPr>
  </w:style>
  <w:style w:type="paragraph" w:customStyle="1" w:styleId="869">
    <w:name w:val="p16"/>
    <w:basedOn w:val="1"/>
    <w:autoRedefine/>
    <w:qFormat/>
    <w:uiPriority w:val="0"/>
    <w:pPr>
      <w:widowControl/>
      <w:jc w:val="left"/>
    </w:pPr>
    <w:rPr>
      <w:rFonts w:ascii="宋体" w:hAnsi="宋体" w:cs="宋体"/>
      <w:kern w:val="0"/>
      <w:sz w:val="20"/>
    </w:rPr>
  </w:style>
  <w:style w:type="paragraph" w:customStyle="1" w:styleId="870">
    <w:name w:val="p17"/>
    <w:basedOn w:val="1"/>
    <w:autoRedefine/>
    <w:qFormat/>
    <w:uiPriority w:val="0"/>
    <w:pPr>
      <w:widowControl/>
      <w:ind w:firstLine="567"/>
      <w:jc w:val="left"/>
    </w:pPr>
    <w:rPr>
      <w:rFonts w:ascii="宋体" w:hAnsi="宋体" w:cs="宋体"/>
      <w:kern w:val="0"/>
      <w:sz w:val="28"/>
      <w:szCs w:val="28"/>
    </w:rPr>
  </w:style>
  <w:style w:type="paragraph" w:customStyle="1" w:styleId="871">
    <w:name w:val="标题 1 New New"/>
    <w:basedOn w:val="833"/>
    <w:next w:val="833"/>
    <w:autoRedefine/>
    <w:qFormat/>
    <w:uiPriority w:val="0"/>
    <w:pPr>
      <w:keepNext/>
      <w:keepLines/>
      <w:adjustRightInd/>
      <w:spacing w:before="340" w:after="330" w:line="578" w:lineRule="auto"/>
      <w:ind w:firstLine="0"/>
      <w:textAlignment w:val="auto"/>
      <w:outlineLvl w:val="0"/>
    </w:pPr>
    <w:rPr>
      <w:b/>
      <w:bCs/>
      <w:kern w:val="44"/>
      <w:sz w:val="44"/>
      <w:szCs w:val="44"/>
    </w:rPr>
  </w:style>
  <w:style w:type="paragraph" w:customStyle="1" w:styleId="872">
    <w:name w:val="表头朱"/>
    <w:basedOn w:val="1"/>
    <w:autoRedefine/>
    <w:qFormat/>
    <w:uiPriority w:val="0"/>
    <w:pPr>
      <w:widowControl/>
      <w:autoSpaceDE w:val="0"/>
      <w:autoSpaceDN w:val="0"/>
      <w:adjustRightInd w:val="0"/>
      <w:spacing w:before="156" w:beforeLines="50" w:line="384" w:lineRule="auto"/>
      <w:jc w:val="center"/>
    </w:pPr>
    <w:rPr>
      <w:rFonts w:hAnsi="宋体" w:cs="宋体"/>
      <w:b/>
      <w:kern w:val="0"/>
      <w:sz w:val="20"/>
      <w:szCs w:val="28"/>
      <w:lang w:val="zh-CN"/>
    </w:rPr>
  </w:style>
  <w:style w:type="paragraph" w:customStyle="1" w:styleId="873">
    <w:name w:val="reader-word-layer reader-word-s1-8"/>
    <w:basedOn w:val="1"/>
    <w:autoRedefine/>
    <w:qFormat/>
    <w:uiPriority w:val="0"/>
    <w:pPr>
      <w:widowControl/>
      <w:spacing w:before="100" w:beforeAutospacing="1" w:after="100" w:afterAutospacing="1"/>
      <w:jc w:val="left"/>
    </w:pPr>
    <w:rPr>
      <w:rFonts w:ascii="宋体" w:hAnsi="宋体" w:cs="宋体"/>
      <w:kern w:val="0"/>
      <w:sz w:val="20"/>
      <w:szCs w:val="28"/>
    </w:rPr>
  </w:style>
  <w:style w:type="paragraph" w:customStyle="1" w:styleId="874">
    <w:name w:val="修订2"/>
    <w:autoRedefine/>
    <w:semiHidden/>
    <w:qFormat/>
    <w:uiPriority w:val="99"/>
    <w:rPr>
      <w:rFonts w:ascii="Times New Roman" w:hAnsi="Times New Roman" w:eastAsia="宋体" w:cs="宋体"/>
      <w:kern w:val="2"/>
      <w:sz w:val="21"/>
      <w:szCs w:val="24"/>
      <w:lang w:val="en-US" w:eastAsia="zh-CN" w:bidi="ar-SA"/>
    </w:rPr>
  </w:style>
  <w:style w:type="table" w:customStyle="1" w:styleId="875">
    <w:name w:val="列表型 31"/>
    <w:basedOn w:val="69"/>
    <w:autoRedefine/>
    <w:qFormat/>
    <w:uiPriority w:val="0"/>
    <w:pPr>
      <w:widowControl w:val="0"/>
      <w:jc w:val="both"/>
    </w:pPr>
    <w:tblPr>
      <w:tblBorders>
        <w:top w:val="single" w:color="auto" w:sz="4" w:space="0"/>
        <w:bottom w:val="single" w:color="auto" w:sz="8" w:space="0"/>
        <w:insideH w:val="single" w:color="auto" w:sz="4" w:space="0"/>
        <w:insideV w:val="single" w:color="auto" w:sz="4"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876">
    <w:name w:val="网格型模版1"/>
    <w:basedOn w:val="69"/>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7">
    <w:name w:val="网格型11"/>
    <w:basedOn w:val="6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8">
    <w:name w:val="网格型3"/>
    <w:basedOn w:val="69"/>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9">
    <w:name w:val="列表型 3王新建1"/>
    <w:basedOn w:val="69"/>
    <w:autoRedefine/>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Pr>
    <w:tcPr>
      <w:shd w:val="clear" w:color="auto" w:fill="auto"/>
      <w:vAlign w:val="center"/>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880">
    <w:name w:val="三线表"/>
    <w:basedOn w:val="69"/>
    <w:autoRedefine/>
    <w:qFormat/>
    <w:uiPriority w:val="0"/>
    <w:tblPr>
      <w:tblBorders>
        <w:top w:val="single" w:color="auto" w:sz="18" w:space="0"/>
        <w:bottom w:val="single" w:color="auto" w:sz="18" w:space="0"/>
      </w:tblBorders>
    </w:tblPr>
    <w:tblStylePr w:type="firstRow">
      <w:tcPr>
        <w:tcBorders>
          <w:top w:val="nil"/>
          <w:left w:val="nil"/>
          <w:bottom w:val="single" w:color="auto" w:sz="18" w:space="0"/>
          <w:right w:val="nil"/>
          <w:insideH w:val="nil"/>
          <w:insideV w:val="nil"/>
          <w:tl2br w:val="nil"/>
          <w:tr2bl w:val="nil"/>
        </w:tcBorders>
      </w:tcPr>
    </w:tblStylePr>
  </w:style>
  <w:style w:type="table" w:customStyle="1" w:styleId="881">
    <w:name w:val="嵌套表格"/>
    <w:basedOn w:val="69"/>
    <w:autoRedefine/>
    <w:qFormat/>
    <w:uiPriority w:val="0"/>
    <w:pPr>
      <w:keepLines/>
      <w:jc w:val="center"/>
    </w:pPr>
    <w:rPr>
      <w:rFonts w:eastAsia="仿宋_GB2312"/>
      <w:sz w:val="21"/>
    </w:rPr>
    <w:tblPr>
      <w:jc w:val="center"/>
      <w:tblBorders>
        <w:top w:val="single" w:color="auto" w:sz="8" w:space="0"/>
        <w:bottom w:val="single" w:color="auto" w:sz="8" w:space="0"/>
        <w:insideH w:val="single" w:color="auto" w:sz="2" w:space="0"/>
        <w:insideV w:val="single" w:color="auto" w:sz="2" w:space="0"/>
      </w:tblBorders>
    </w:tblPr>
    <w:trPr>
      <w:jc w:val="center"/>
    </w:trPr>
    <w:tcPr>
      <w:vAlign w:val="center"/>
    </w:tcPr>
  </w:style>
  <w:style w:type="table" w:customStyle="1" w:styleId="882">
    <w:name w:val="徐正生1"/>
    <w:basedOn w:val="72"/>
    <w:autoRedefine/>
    <w:qFormat/>
    <w:uiPriority w:val="0"/>
    <w:tblPr>
      <w:tblBorders>
        <w:top w:val="single" w:color="000000" w:sz="12" w:space="0"/>
        <w:bottom w:val="single" w:color="000000" w:sz="12" w:space="0"/>
        <w:insideH w:val="single" w:color="000000" w:sz="8" w:space="0"/>
        <w:insideV w:val="single" w:color="000000" w:sz="8"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883">
    <w:name w:val="网格型2"/>
    <w:basedOn w:val="69"/>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4">
    <w:name w:val="网格型-11"/>
    <w:basedOn w:val="69"/>
    <w:autoRedefine/>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5">
    <w:name w:val="网格型1"/>
    <w:basedOn w:val="69"/>
    <w:autoRedefine/>
    <w:qFormat/>
    <w:uiPriority w:val="0"/>
    <w:pPr>
      <w:widowControl w:val="0"/>
      <w:adjustRightInd w:val="0"/>
      <w:spacing w:line="360" w:lineRule="auto"/>
      <w:ind w:firstLine="567"/>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6">
    <w:name w:val="专业型王新建1"/>
    <w:basedOn w:val="69"/>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887">
    <w:name w:val="网格型-中对齐3"/>
    <w:basedOn w:val="6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8">
    <w:name w:val="徐正生"/>
    <w:basedOn w:val="72"/>
    <w:autoRedefine/>
    <w:qFormat/>
    <w:uiPriority w:val="0"/>
    <w:tblPr>
      <w:tblBorders>
        <w:top w:val="single" w:color="000000" w:sz="12" w:space="0"/>
        <w:bottom w:val="single" w:color="000000" w:sz="12" w:space="0"/>
        <w:insideH w:val="single" w:color="000000" w:sz="8" w:space="0"/>
        <w:insideV w:val="single" w:color="000000" w:sz="8"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889">
    <w:name w:val="环评"/>
    <w:basedOn w:val="69"/>
    <w:autoRedefine/>
    <w:qFormat/>
    <w:uiPriority w:val="0"/>
    <w:pPr>
      <w:jc w:val="center"/>
    </w:pPr>
    <w:rPr>
      <w:sz w:val="21"/>
      <w:szCs w:val="21"/>
    </w:rPr>
    <w:tblPr>
      <w:jc w:val="center"/>
      <w:tblBorders>
        <w:top w:val="single" w:color="auto" w:sz="12" w:space="0"/>
        <w:bottom w:val="single" w:color="auto" w:sz="12" w:space="0"/>
        <w:insideH w:val="single" w:color="auto" w:sz="2" w:space="0"/>
        <w:insideV w:val="single" w:color="auto" w:sz="2" w:space="0"/>
      </w:tblBorders>
    </w:tblPr>
    <w:trPr>
      <w:jc w:val="center"/>
    </w:trPr>
    <w:tcPr>
      <w:vAlign w:val="center"/>
    </w:tcPr>
  </w:style>
  <w:style w:type="table" w:customStyle="1" w:styleId="890">
    <w:name w:val="专业型1"/>
    <w:basedOn w:val="69"/>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891">
    <w:name w:val="专业型2"/>
    <w:basedOn w:val="69"/>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892">
    <w:name w:val="网格型4"/>
    <w:basedOn w:val="6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3">
    <w:name w:val="网格型5"/>
    <w:basedOn w:val="69"/>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4">
    <w:name w:val="网格型-12"/>
    <w:basedOn w:val="69"/>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95">
    <w:name w:val="批注文字 字符"/>
    <w:autoRedefine/>
    <w:qFormat/>
    <w:uiPriority w:val="0"/>
    <w:rPr>
      <w:rFonts w:ascii="Times New Roman" w:hAnsi="Times New Roman"/>
      <w:kern w:val="2"/>
      <w:sz w:val="24"/>
      <w:szCs w:val="24"/>
    </w:rPr>
  </w:style>
  <w:style w:type="character" w:customStyle="1" w:styleId="896">
    <w:name w:val="批注文字 Char2"/>
    <w:autoRedefine/>
    <w:qFormat/>
    <w:uiPriority w:val="0"/>
    <w:rPr>
      <w:kern w:val="2"/>
      <w:sz w:val="21"/>
      <w:szCs w:val="24"/>
    </w:rPr>
  </w:style>
  <w:style w:type="paragraph" w:customStyle="1" w:styleId="897">
    <w:name w:val="Char Char Char Char5"/>
    <w:basedOn w:val="1"/>
    <w:autoRedefine/>
    <w:qFormat/>
    <w:uiPriority w:val="0"/>
    <w:pPr>
      <w:widowControl/>
      <w:ind w:firstLine="200" w:firstLineChars="200"/>
      <w:jc w:val="left"/>
    </w:pPr>
    <w:rPr>
      <w:rFonts w:ascii="宋体" w:hAnsi="宋体" w:cs="宋体"/>
      <w:kern w:val="0"/>
      <w:sz w:val="20"/>
      <w:szCs w:val="24"/>
    </w:rPr>
  </w:style>
  <w:style w:type="paragraph" w:customStyle="1" w:styleId="898">
    <w:name w:val="君邦正文"/>
    <w:autoRedefine/>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899">
    <w:name w:val="修订3"/>
    <w:autoRedefine/>
    <w:hidden/>
    <w:semiHidden/>
    <w:qFormat/>
    <w:uiPriority w:val="99"/>
    <w:rPr>
      <w:rFonts w:ascii="Times New Roman" w:hAnsi="Times New Roman" w:eastAsia="宋体" w:cs="宋体"/>
      <w:lang w:val="en-US" w:eastAsia="zh-CN" w:bidi="ar-SA"/>
    </w:rPr>
  </w:style>
  <w:style w:type="character" w:styleId="900">
    <w:name w:val="Placeholder Text"/>
    <w:basedOn w:val="76"/>
    <w:autoRedefine/>
    <w:semiHidden/>
    <w:qFormat/>
    <w:uiPriority w:val="99"/>
    <w:rPr>
      <w:color w:val="808080"/>
    </w:rPr>
  </w:style>
  <w:style w:type="character" w:customStyle="1" w:styleId="901">
    <w:name w:val="font51"/>
    <w:basedOn w:val="76"/>
    <w:autoRedefine/>
    <w:qFormat/>
    <w:uiPriority w:val="0"/>
    <w:rPr>
      <w:rFonts w:ascii="Calibri" w:hAnsi="Calibri" w:cs="Calibri"/>
      <w:color w:val="000000"/>
      <w:sz w:val="18"/>
      <w:szCs w:val="18"/>
      <w:u w:val="none"/>
    </w:rPr>
  </w:style>
  <w:style w:type="paragraph" w:customStyle="1" w:styleId="902">
    <w:name w:val="11表头"/>
    <w:basedOn w:val="1"/>
    <w:autoRedefine/>
    <w:qFormat/>
    <w:uiPriority w:val="0"/>
    <w:pPr>
      <w:jc w:val="center"/>
    </w:pPr>
    <w:rPr>
      <w:rFonts w:eastAsia="黑体"/>
      <w:kern w:val="0"/>
      <w:szCs w:val="18"/>
    </w:rPr>
  </w:style>
  <w:style w:type="character" w:customStyle="1" w:styleId="903">
    <w:name w:val="font81"/>
    <w:basedOn w:val="76"/>
    <w:autoRedefine/>
    <w:qFormat/>
    <w:uiPriority w:val="0"/>
    <w:rPr>
      <w:rFonts w:ascii="Calibri" w:hAnsi="Calibri" w:cs="Calibri"/>
      <w:color w:val="000000"/>
      <w:sz w:val="24"/>
      <w:szCs w:val="24"/>
      <w:u w:val="none"/>
    </w:rPr>
  </w:style>
  <w:style w:type="character" w:customStyle="1" w:styleId="904">
    <w:name w:val="font61"/>
    <w:basedOn w:val="76"/>
    <w:autoRedefine/>
    <w:qFormat/>
    <w:uiPriority w:val="0"/>
    <w:rPr>
      <w:rFonts w:hint="eastAsia" w:ascii="宋体" w:hAnsi="宋体" w:eastAsia="宋体" w:cs="宋体"/>
      <w:color w:val="000000"/>
      <w:sz w:val="24"/>
      <w:szCs w:val="24"/>
      <w:u w:val="none"/>
    </w:rPr>
  </w:style>
  <w:style w:type="character" w:customStyle="1" w:styleId="905">
    <w:name w:val="font71"/>
    <w:basedOn w:val="76"/>
    <w:autoRedefine/>
    <w:qFormat/>
    <w:uiPriority w:val="0"/>
    <w:rPr>
      <w:rFonts w:hint="default" w:ascii="Times New Roman" w:hAnsi="Times New Roman" w:cs="Times New Roman"/>
      <w:color w:val="000000"/>
      <w:sz w:val="20"/>
      <w:szCs w:val="20"/>
      <w:u w:val="none"/>
      <w:vertAlign w:val="superscript"/>
    </w:rPr>
  </w:style>
  <w:style w:type="paragraph" w:customStyle="1" w:styleId="906">
    <w:name w:val="11表格"/>
    <w:basedOn w:val="1"/>
    <w:autoRedefine/>
    <w:qFormat/>
    <w:uiPriority w:val="0"/>
    <w:pPr>
      <w:spacing w:line="360" w:lineRule="exact"/>
      <w:jc w:val="center"/>
    </w:pPr>
    <w:rPr>
      <w:kern w:val="0"/>
      <w:sz w:val="18"/>
      <w:szCs w:val="18"/>
    </w:rPr>
  </w:style>
  <w:style w:type="character" w:customStyle="1" w:styleId="907">
    <w:name w:val="etl6k029"/>
    <w:basedOn w:val="76"/>
    <w:autoRedefine/>
    <w:qFormat/>
    <w:uiPriority w:val="0"/>
  </w:style>
  <w:style w:type="character" w:customStyle="1" w:styleId="908">
    <w:name w:val="t60z5e57kp"/>
    <w:basedOn w:val="76"/>
    <w:autoRedefine/>
    <w:qFormat/>
    <w:uiPriority w:val="0"/>
  </w:style>
  <w:style w:type="paragraph" w:customStyle="1" w:styleId="909">
    <w:name w:val="报告书表格新"/>
    <w:basedOn w:val="1"/>
    <w:autoRedefine/>
    <w:qFormat/>
    <w:uiPriority w:val="0"/>
    <w:pPr>
      <w:jc w:val="center"/>
    </w:pPr>
    <w:rPr>
      <w:sz w:val="18"/>
      <w:szCs w:val="18"/>
    </w:rPr>
  </w:style>
  <w:style w:type="paragraph" w:customStyle="1" w:styleId="910">
    <w:name w:val="Table Paragraph"/>
    <w:basedOn w:val="1"/>
    <w:autoRedefine/>
    <w:qFormat/>
    <w:uiPriority w:val="1"/>
    <w:rPr>
      <w:rFonts w:ascii="宋体" w:hAnsi="宋体" w:cs="宋体"/>
    </w:rPr>
  </w:style>
  <w:style w:type="paragraph" w:customStyle="1" w:styleId="911">
    <w:name w:val="表格内容"/>
    <w:basedOn w:val="912"/>
    <w:next w:val="1"/>
    <w:autoRedefine/>
    <w:qFormat/>
    <w:uiPriority w:val="0"/>
    <w:pPr>
      <w:jc w:val="center"/>
    </w:pPr>
  </w:style>
  <w:style w:type="paragraph" w:customStyle="1" w:styleId="912">
    <w:name w:val="表格标题"/>
    <w:basedOn w:val="1"/>
    <w:next w:val="911"/>
    <w:autoRedefine/>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paragraph" w:customStyle="1" w:styleId="913">
    <w:name w:val="WPSOffice手动目录 1"/>
    <w:autoRedefine/>
    <w:qFormat/>
    <w:uiPriority w:val="0"/>
    <w:rPr>
      <w:rFonts w:ascii="Times New Roman" w:hAnsi="Times New Roman" w:eastAsia="宋体" w:cs="Times New Roman"/>
      <w:lang w:val="en-US" w:eastAsia="zh-CN" w:bidi="ar-SA"/>
    </w:rPr>
  </w:style>
  <w:style w:type="paragraph" w:customStyle="1" w:styleId="914">
    <w:name w:val="正文文本，表格"/>
    <w:basedOn w:val="1"/>
    <w:autoRedefine/>
    <w:qFormat/>
    <w:uiPriority w:val="0"/>
    <w:pPr>
      <w:jc w:val="center"/>
    </w:pPr>
    <w:rPr>
      <w:rFonts w:cs="宋体"/>
      <w:szCs w:val="21"/>
    </w:rPr>
  </w:style>
  <w:style w:type="table" w:customStyle="1" w:styleId="915">
    <w:name w:val="Table Normal"/>
    <w:autoRedefine/>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28.wmf"/><Relationship Id="rId40" Type="http://schemas.openxmlformats.org/officeDocument/2006/relationships/image" Target="media/image27.wmf"/><Relationship Id="rId4" Type="http://schemas.openxmlformats.org/officeDocument/2006/relationships/endnotes" Target="endnotes.xml"/><Relationship Id="rId39" Type="http://schemas.openxmlformats.org/officeDocument/2006/relationships/image" Target="media/image26.wmf"/><Relationship Id="rId38" Type="http://schemas.openxmlformats.org/officeDocument/2006/relationships/image" Target="media/image25.png"/><Relationship Id="rId37" Type="http://schemas.openxmlformats.org/officeDocument/2006/relationships/image" Target="media/image24.png"/><Relationship Id="rId36" Type="http://schemas.openxmlformats.org/officeDocument/2006/relationships/image" Target="media/image23.wmf"/><Relationship Id="rId35" Type="http://schemas.openxmlformats.org/officeDocument/2006/relationships/image" Target="media/image22.png"/><Relationship Id="rId34" Type="http://schemas.openxmlformats.org/officeDocument/2006/relationships/image" Target="media/image21.emf"/><Relationship Id="rId33" Type="http://schemas.openxmlformats.org/officeDocument/2006/relationships/image" Target="media/image20.jpeg"/><Relationship Id="rId32" Type="http://schemas.openxmlformats.org/officeDocument/2006/relationships/image" Target="media/image19.jpe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footnotes" Target="footnotes.xml"/><Relationship Id="rId29" Type="http://schemas.openxmlformats.org/officeDocument/2006/relationships/image" Target="media/image16.emf"/><Relationship Id="rId28" Type="http://schemas.openxmlformats.org/officeDocument/2006/relationships/image" Target="media/image15.emf"/><Relationship Id="rId27" Type="http://schemas.openxmlformats.org/officeDocument/2006/relationships/image" Target="media/image14.emf"/><Relationship Id="rId26" Type="http://schemas.openxmlformats.org/officeDocument/2006/relationships/image" Target="media/image13.png"/><Relationship Id="rId25" Type="http://schemas.openxmlformats.org/officeDocument/2006/relationships/image" Target="media/image12.emf"/><Relationship Id="rId24" Type="http://schemas.openxmlformats.org/officeDocument/2006/relationships/image" Target="media/image11.emf"/><Relationship Id="rId23" Type="http://schemas.openxmlformats.org/officeDocument/2006/relationships/image" Target="media/image10.emf"/><Relationship Id="rId22" Type="http://schemas.openxmlformats.org/officeDocument/2006/relationships/image" Target="media/image9.emf"/><Relationship Id="rId21" Type="http://schemas.openxmlformats.org/officeDocument/2006/relationships/image" Target="media/image8.emf"/><Relationship Id="rId20" Type="http://schemas.openxmlformats.org/officeDocument/2006/relationships/image" Target="media/image7.emf"/><Relationship Id="rId2" Type="http://schemas.openxmlformats.org/officeDocument/2006/relationships/settings" Target="settings.xml"/><Relationship Id="rId19" Type="http://schemas.openxmlformats.org/officeDocument/2006/relationships/image" Target="media/image6.emf"/><Relationship Id="rId18" Type="http://schemas.openxmlformats.org/officeDocument/2006/relationships/image" Target="media/image5.png"/><Relationship Id="rId17" Type="http://schemas.openxmlformats.org/officeDocument/2006/relationships/image" Target="media/image4.emf"/><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86</Pages>
  <Words>21989</Words>
  <Characters>23039</Characters>
  <Lines>389</Lines>
  <Paragraphs>109</Paragraphs>
  <TotalTime>29</TotalTime>
  <ScaleCrop>false</ScaleCrop>
  <LinksUpToDate>false</LinksUpToDate>
  <CharactersWithSpaces>23212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2023-04-24T06:13:00Z</dcterms:created>
  <dc:creator>LH</dc:creator>
  <cp:lastModifiedBy>苏叶</cp:lastModifiedBy>
  <cp:lastPrinted>2025-04-25T09:30:00Z</cp:lastPrinted>
  <dcterms:modified xsi:type="dcterms:W3CDTF">2025-07-29T07:46:15Z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57696F0570EC4B7986ED76FECD7504D5_13</vt:lpwstr>
  </property>
  <property fmtid="{D5CDD505-2E9C-101B-9397-08002B2CF9AE}" pid="4" name="KSOTemplateDocerSaveRecord">
    <vt:lpwstr>eyJoZGlkIjoiNTkwMGFiZGM3MDg0NzlkM2ViYTVjMWQ3MzgwMmU3NmYiLCJ1c2VySWQiOiIzODA0MTUzOTYifQ==</vt:lpwstr>
  </property>
</Properties>
</file>