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098" w:rsidRDefault="0097262E" w:rsidP="0097262E">
      <w:pPr>
        <w:pStyle w:val="a3"/>
        <w:widowControl/>
        <w:shd w:val="clear" w:color="auto" w:fill="FFFFFF"/>
        <w:spacing w:beforeAutospacing="0" w:afterAutospacing="0" w:line="600" w:lineRule="exact"/>
        <w:ind w:left="4840" w:hangingChars="1100" w:hanging="4840"/>
        <w:jc w:val="center"/>
        <w:rPr>
          <w:rFonts w:ascii="方正小标宋简体" w:eastAsia="方正小标宋简体" w:hAnsi="方正小标宋简体" w:cs="方正小标宋简体"/>
          <w:sz w:val="44"/>
          <w:szCs w:val="44"/>
          <w:shd w:val="clear" w:color="auto" w:fill="FFFFFF"/>
        </w:rPr>
      </w:pPr>
      <w:bookmarkStart w:id="0" w:name="_GoBack"/>
      <w:r>
        <w:rPr>
          <w:rFonts w:ascii="方正小标宋简体" w:eastAsia="方正小标宋简体" w:hAnsi="方正小标宋简体" w:cs="方正小标宋简体" w:hint="eastAsia"/>
          <w:sz w:val="44"/>
          <w:szCs w:val="44"/>
          <w:shd w:val="clear" w:color="auto" w:fill="FFFFFF"/>
        </w:rPr>
        <w:t>银行业金融机构支持地方实体经济发展考核评价表</w:t>
      </w:r>
    </w:p>
    <w:tbl>
      <w:tblPr>
        <w:tblStyle w:val="a4"/>
        <w:tblW w:w="14430" w:type="dxa"/>
        <w:tblLayout w:type="fixed"/>
        <w:tblLook w:val="04A0"/>
      </w:tblPr>
      <w:tblGrid>
        <w:gridCol w:w="789"/>
        <w:gridCol w:w="1126"/>
        <w:gridCol w:w="674"/>
        <w:gridCol w:w="2286"/>
        <w:gridCol w:w="3870"/>
        <w:gridCol w:w="3870"/>
        <w:gridCol w:w="1815"/>
      </w:tblGrid>
      <w:tr w:rsidR="00AC2098">
        <w:trPr>
          <w:trHeight w:val="515"/>
        </w:trPr>
        <w:tc>
          <w:tcPr>
            <w:tcW w:w="1915" w:type="dxa"/>
            <w:gridSpan w:val="2"/>
            <w:vAlign w:val="center"/>
          </w:tcPr>
          <w:bookmarkEnd w:id="0"/>
          <w:p w:rsidR="00AC2098" w:rsidRDefault="0097262E">
            <w:pPr>
              <w:pStyle w:val="a3"/>
              <w:widowControl/>
              <w:spacing w:beforeAutospacing="0" w:afterAutospacing="0" w:line="420" w:lineRule="atLeast"/>
              <w:jc w:val="center"/>
              <w:rPr>
                <w:rFonts w:ascii="仿宋_GB2312" w:eastAsia="仿宋_GB2312" w:hAnsi="仿宋_GB2312" w:cs="仿宋_GB2312"/>
                <w:b/>
                <w:bCs/>
                <w:sz w:val="21"/>
                <w:szCs w:val="21"/>
                <w:shd w:val="clear" w:color="auto" w:fill="FFFFFF"/>
              </w:rPr>
            </w:pPr>
            <w:r>
              <w:rPr>
                <w:rFonts w:ascii="仿宋_GB2312" w:eastAsia="仿宋_GB2312" w:hAnsi="仿宋_GB2312" w:cs="仿宋_GB2312" w:hint="eastAsia"/>
                <w:b/>
                <w:bCs/>
                <w:sz w:val="21"/>
                <w:szCs w:val="21"/>
                <w:shd w:val="clear" w:color="auto" w:fill="FFFFFF"/>
              </w:rPr>
              <w:t>指标名称</w:t>
            </w:r>
          </w:p>
        </w:tc>
        <w:tc>
          <w:tcPr>
            <w:tcW w:w="674"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b/>
                <w:bCs/>
                <w:sz w:val="21"/>
                <w:szCs w:val="21"/>
                <w:shd w:val="clear" w:color="auto" w:fill="FFFFFF"/>
              </w:rPr>
            </w:pPr>
            <w:r>
              <w:rPr>
                <w:rFonts w:ascii="仿宋_GB2312" w:eastAsia="仿宋_GB2312" w:hAnsi="仿宋_GB2312" w:cs="仿宋_GB2312" w:hint="eastAsia"/>
                <w:b/>
                <w:bCs/>
                <w:sz w:val="21"/>
                <w:szCs w:val="21"/>
                <w:shd w:val="clear" w:color="auto" w:fill="FFFFFF"/>
              </w:rPr>
              <w:t>指标分值</w:t>
            </w:r>
          </w:p>
        </w:tc>
        <w:tc>
          <w:tcPr>
            <w:tcW w:w="10026" w:type="dxa"/>
            <w:gridSpan w:val="3"/>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b/>
                <w:bCs/>
                <w:sz w:val="21"/>
                <w:szCs w:val="21"/>
                <w:shd w:val="clear" w:color="auto" w:fill="FFFFFF"/>
              </w:rPr>
            </w:pPr>
            <w:r>
              <w:rPr>
                <w:rFonts w:ascii="仿宋_GB2312" w:eastAsia="仿宋_GB2312" w:hAnsi="仿宋_GB2312" w:cs="仿宋_GB2312" w:hint="eastAsia"/>
                <w:b/>
                <w:bCs/>
                <w:sz w:val="21"/>
                <w:szCs w:val="21"/>
                <w:shd w:val="clear" w:color="auto" w:fill="FFFFFF"/>
              </w:rPr>
              <w:t>评价内容及计算方法</w:t>
            </w:r>
          </w:p>
        </w:tc>
        <w:tc>
          <w:tcPr>
            <w:tcW w:w="1815"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b/>
                <w:bCs/>
                <w:sz w:val="21"/>
                <w:szCs w:val="21"/>
                <w:shd w:val="clear" w:color="auto" w:fill="FFFFFF"/>
              </w:rPr>
            </w:pPr>
            <w:r>
              <w:rPr>
                <w:rFonts w:ascii="仿宋_GB2312" w:eastAsia="仿宋_GB2312" w:hAnsi="仿宋_GB2312" w:cs="仿宋_GB2312" w:hint="eastAsia"/>
                <w:b/>
                <w:bCs/>
                <w:sz w:val="21"/>
                <w:szCs w:val="21"/>
                <w:shd w:val="clear" w:color="auto" w:fill="FFFFFF"/>
              </w:rPr>
              <w:t>数据采集来源</w:t>
            </w:r>
          </w:p>
        </w:tc>
      </w:tr>
      <w:tr w:rsidR="00AC2098">
        <w:trPr>
          <w:trHeight w:val="1205"/>
        </w:trPr>
        <w:tc>
          <w:tcPr>
            <w:tcW w:w="789" w:type="dxa"/>
            <w:vMerge w:val="restart"/>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p>
          <w:p w:rsidR="00AC2098" w:rsidRDefault="00AC2098">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p>
          <w:p w:rsidR="00AC2098" w:rsidRDefault="00AC2098">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p>
          <w:p w:rsidR="00AC2098" w:rsidRDefault="0097262E">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信贷投放</w:t>
            </w:r>
            <w:r>
              <w:rPr>
                <w:rFonts w:ascii="仿宋_GB2312" w:eastAsia="仿宋_GB2312" w:hAnsi="仿宋_GB2312" w:cs="仿宋_GB2312" w:hint="eastAsia"/>
                <w:sz w:val="32"/>
                <w:szCs w:val="32"/>
                <w:shd w:val="clear" w:color="auto" w:fill="FFFFFF"/>
              </w:rPr>
              <w:t xml:space="preserve">    </w:t>
            </w:r>
          </w:p>
          <w:p w:rsidR="00AC2098" w:rsidRDefault="00AC2098">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p>
          <w:p w:rsidR="00AC2098" w:rsidRDefault="00AC2098">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p>
          <w:p w:rsidR="00AC2098" w:rsidRDefault="00AC2098">
            <w:pPr>
              <w:pStyle w:val="a3"/>
              <w:widowControl/>
              <w:spacing w:beforeAutospacing="0" w:afterAutospacing="0" w:line="420" w:lineRule="atLeast"/>
              <w:jc w:val="both"/>
              <w:rPr>
                <w:rFonts w:ascii="仿宋_GB2312" w:eastAsia="仿宋_GB2312" w:hAnsi="仿宋_GB2312" w:cs="仿宋_GB2312"/>
                <w:sz w:val="32"/>
                <w:szCs w:val="32"/>
                <w:shd w:val="clear" w:color="auto" w:fill="FFFFFF"/>
              </w:rPr>
            </w:pPr>
          </w:p>
          <w:p w:rsidR="00AC2098" w:rsidRDefault="0097262E">
            <w:pPr>
              <w:pStyle w:val="a3"/>
              <w:widowControl/>
              <w:spacing w:beforeAutospacing="0" w:afterAutospacing="0" w:line="420" w:lineRule="atLeas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lastRenderedPageBreak/>
              <w:t>信贷投放</w:t>
            </w:r>
          </w:p>
        </w:tc>
        <w:tc>
          <w:tcPr>
            <w:tcW w:w="1126"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lastRenderedPageBreak/>
              <w:t>新增信贷投放</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15</w:t>
            </w:r>
          </w:p>
        </w:tc>
        <w:tc>
          <w:tcPr>
            <w:tcW w:w="10026" w:type="dxa"/>
            <w:gridSpan w:val="3"/>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以本次考核期内新增信贷投放最高的银行数据为基准数据，得分最高为</w:t>
            </w:r>
            <w:r>
              <w:rPr>
                <w:rFonts w:ascii="仿宋_GB2312" w:eastAsia="仿宋_GB2312" w:hAnsi="仿宋_GB2312" w:cs="仿宋_GB2312" w:hint="eastAsia"/>
                <w:sz w:val="21"/>
                <w:szCs w:val="21"/>
                <w:shd w:val="clear" w:color="auto" w:fill="FFFFFF"/>
              </w:rPr>
              <w:t>15</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具体计算公式：某银行新增信贷投放指标评分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（某银行新增信贷投放额</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15</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b/>
                <w:bCs/>
                <w:sz w:val="21"/>
                <w:szCs w:val="21"/>
                <w:shd w:val="clear" w:color="auto" w:fill="FFFFFF"/>
              </w:rPr>
              <w:t>备注：</w:t>
            </w:r>
            <w:r>
              <w:rPr>
                <w:rFonts w:ascii="仿宋_GB2312" w:eastAsia="仿宋_GB2312" w:hAnsi="仿宋_GB2312" w:cs="仿宋_GB2312" w:hint="eastAsia"/>
                <w:sz w:val="21"/>
                <w:szCs w:val="21"/>
                <w:shd w:val="clear" w:color="auto" w:fill="FFFFFF"/>
              </w:rPr>
              <w:t>如新增信贷投放为政府性融资、与江之南融资担保公司开展“</w:t>
            </w:r>
            <w:r>
              <w:rPr>
                <w:rFonts w:ascii="仿宋_GB2312" w:eastAsia="仿宋_GB2312" w:hAnsi="仿宋_GB2312" w:cs="仿宋_GB2312" w:hint="eastAsia"/>
                <w:sz w:val="21"/>
                <w:szCs w:val="21"/>
                <w:shd w:val="clear" w:color="auto" w:fill="FFFFFF"/>
              </w:rPr>
              <w:t>4321</w:t>
            </w:r>
            <w:r>
              <w:rPr>
                <w:rFonts w:ascii="仿宋_GB2312" w:eastAsia="仿宋_GB2312" w:hAnsi="仿宋_GB2312" w:cs="仿宋_GB2312" w:hint="eastAsia"/>
                <w:sz w:val="21"/>
                <w:szCs w:val="21"/>
                <w:shd w:val="clear" w:color="auto" w:fill="FFFFFF"/>
              </w:rPr>
              <w:t>”政银担合作、“总对总”业务合作的贷款，则不加入此项统计总额。</w:t>
            </w:r>
          </w:p>
        </w:tc>
        <w:tc>
          <w:tcPr>
            <w:tcW w:w="1815"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color w:val="FF0000"/>
                <w:sz w:val="32"/>
                <w:szCs w:val="32"/>
                <w:shd w:val="clear" w:color="auto" w:fill="FFFFFF"/>
              </w:rPr>
            </w:pPr>
            <w:r>
              <w:rPr>
                <w:rFonts w:ascii="仿宋_GB2312" w:eastAsia="仿宋_GB2312" w:hAnsi="仿宋_GB2312" w:cs="仿宋_GB2312" w:hint="eastAsia"/>
                <w:sz w:val="21"/>
                <w:szCs w:val="21"/>
                <w:shd w:val="clear" w:color="auto" w:fill="FFFFFF"/>
              </w:rPr>
              <w:t>各银行机构</w:t>
            </w:r>
          </w:p>
        </w:tc>
      </w:tr>
      <w:tr w:rsidR="00AC2098">
        <w:trPr>
          <w:trHeight w:val="1220"/>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restart"/>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小微企业贷款</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10</w:t>
            </w:r>
          </w:p>
        </w:tc>
        <w:tc>
          <w:tcPr>
            <w:tcW w:w="10026" w:type="dxa"/>
            <w:gridSpan w:val="3"/>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以本次考核期内小微企业新增贷款额最高的银行数据为基准数据，得分最高为</w:t>
            </w:r>
            <w:r>
              <w:rPr>
                <w:rFonts w:ascii="仿宋_GB2312" w:eastAsia="仿宋_GB2312" w:hAnsi="仿宋_GB2312" w:cs="仿宋_GB2312" w:hint="eastAsia"/>
                <w:sz w:val="21"/>
                <w:szCs w:val="21"/>
                <w:shd w:val="clear" w:color="auto" w:fill="FFFFFF"/>
              </w:rPr>
              <w:t>10</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具体计算公式：某银行小微企业新增贷款额指标评分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（某银行小微企业新增贷款额</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10</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b/>
                <w:bCs/>
                <w:sz w:val="21"/>
                <w:szCs w:val="21"/>
                <w:shd w:val="clear" w:color="auto" w:fill="FFFFFF"/>
              </w:rPr>
              <w:t>备注：</w:t>
            </w:r>
            <w:r>
              <w:rPr>
                <w:rFonts w:ascii="仿宋_GB2312" w:eastAsia="仿宋_GB2312" w:hAnsi="仿宋_GB2312" w:cs="仿宋_GB2312" w:hint="eastAsia"/>
                <w:sz w:val="21"/>
                <w:szCs w:val="21"/>
                <w:shd w:val="clear" w:color="auto" w:fill="FFFFFF"/>
              </w:rPr>
              <w:t>如新增小微企业信贷投放是与江之南融资担保公司开展“</w:t>
            </w:r>
            <w:r>
              <w:rPr>
                <w:rFonts w:ascii="仿宋_GB2312" w:eastAsia="仿宋_GB2312" w:hAnsi="仿宋_GB2312" w:cs="仿宋_GB2312" w:hint="eastAsia"/>
                <w:sz w:val="21"/>
                <w:szCs w:val="21"/>
                <w:shd w:val="clear" w:color="auto" w:fill="FFFFFF"/>
              </w:rPr>
              <w:t>4321</w:t>
            </w:r>
            <w:r>
              <w:rPr>
                <w:rFonts w:ascii="仿宋_GB2312" w:eastAsia="仿宋_GB2312" w:hAnsi="仿宋_GB2312" w:cs="仿宋_GB2312" w:hint="eastAsia"/>
                <w:sz w:val="21"/>
                <w:szCs w:val="21"/>
                <w:shd w:val="clear" w:color="auto" w:fill="FFFFFF"/>
              </w:rPr>
              <w:t>”政银担合作、“总对总”业务合作的贷款，则不加入此项统计总额。</w:t>
            </w:r>
          </w:p>
        </w:tc>
        <w:tc>
          <w:tcPr>
            <w:tcW w:w="1815"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color w:val="FF0000"/>
                <w:sz w:val="32"/>
                <w:szCs w:val="32"/>
                <w:shd w:val="clear" w:color="auto" w:fill="FFFFFF"/>
              </w:rPr>
            </w:pPr>
            <w:r>
              <w:rPr>
                <w:rFonts w:ascii="仿宋_GB2312" w:eastAsia="仿宋_GB2312" w:hAnsi="仿宋_GB2312" w:cs="仿宋_GB2312" w:hint="eastAsia"/>
                <w:sz w:val="21"/>
                <w:szCs w:val="21"/>
                <w:shd w:val="clear" w:color="auto" w:fill="FFFFFF"/>
              </w:rPr>
              <w:t>各银行机构</w:t>
            </w:r>
          </w:p>
        </w:tc>
      </w:tr>
      <w:tr w:rsidR="00AC2098">
        <w:trPr>
          <w:trHeight w:val="290"/>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p>
        </w:tc>
        <w:tc>
          <w:tcPr>
            <w:tcW w:w="674" w:type="dxa"/>
            <w:vMerge w:val="restart"/>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10</w:t>
            </w:r>
          </w:p>
        </w:tc>
        <w:tc>
          <w:tcPr>
            <w:tcW w:w="2286" w:type="dxa"/>
            <w:vMerge w:val="restart"/>
            <w:vAlign w:val="center"/>
          </w:tcPr>
          <w:p w:rsidR="00AC2098" w:rsidRDefault="0097262E">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各银行机构对制造业企业的新增信贷投放占当期小微企业新增信贷投放总额比例：</w:t>
            </w:r>
          </w:p>
        </w:tc>
        <w:tc>
          <w:tcPr>
            <w:tcW w:w="7740" w:type="dxa"/>
            <w:gridSpan w:val="2"/>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占比高于</w:t>
            </w:r>
            <w:r>
              <w:rPr>
                <w:rFonts w:ascii="仿宋_GB2312" w:eastAsia="仿宋_GB2312" w:hAnsi="仿宋_GB2312" w:cs="仿宋_GB2312" w:hint="eastAsia"/>
                <w:sz w:val="21"/>
                <w:szCs w:val="21"/>
                <w:shd w:val="clear" w:color="auto" w:fill="FFFFFF"/>
              </w:rPr>
              <w:t>50%</w:t>
            </w:r>
            <w:r>
              <w:rPr>
                <w:rFonts w:ascii="仿宋_GB2312" w:eastAsia="仿宋_GB2312" w:hAnsi="仿宋_GB2312" w:cs="仿宋_GB2312" w:hint="eastAsia"/>
                <w:sz w:val="21"/>
                <w:szCs w:val="21"/>
                <w:shd w:val="clear" w:color="auto" w:fill="FFFFFF"/>
              </w:rPr>
              <w:t>的，得</w:t>
            </w:r>
            <w:r>
              <w:rPr>
                <w:rFonts w:ascii="仿宋_GB2312" w:eastAsia="仿宋_GB2312" w:hAnsi="仿宋_GB2312" w:cs="仿宋_GB2312" w:hint="eastAsia"/>
                <w:sz w:val="21"/>
                <w:szCs w:val="21"/>
                <w:shd w:val="clear" w:color="auto" w:fill="FFFFFF"/>
              </w:rPr>
              <w:t>4</w:t>
            </w:r>
            <w:r>
              <w:rPr>
                <w:rFonts w:ascii="仿宋_GB2312" w:eastAsia="仿宋_GB2312" w:hAnsi="仿宋_GB2312" w:cs="仿宋_GB2312" w:hint="eastAsia"/>
                <w:sz w:val="21"/>
                <w:szCs w:val="21"/>
                <w:shd w:val="clear" w:color="auto" w:fill="FFFFFF"/>
              </w:rPr>
              <w:t>分</w:t>
            </w:r>
          </w:p>
        </w:tc>
        <w:tc>
          <w:tcPr>
            <w:tcW w:w="1815" w:type="dxa"/>
            <w:vMerge w:val="restart"/>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各银行机构</w:t>
            </w:r>
          </w:p>
        </w:tc>
      </w:tr>
      <w:tr w:rsidR="00AC2098">
        <w:trPr>
          <w:trHeight w:val="90"/>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p>
        </w:tc>
        <w:tc>
          <w:tcPr>
            <w:tcW w:w="674" w:type="dxa"/>
            <w:vMerge/>
            <w:vAlign w:val="center"/>
          </w:tcPr>
          <w:p w:rsidR="00AC2098" w:rsidRDefault="00AC2098">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p>
        </w:tc>
        <w:tc>
          <w:tcPr>
            <w:tcW w:w="2286" w:type="dxa"/>
            <w:vMerge/>
            <w:vAlign w:val="center"/>
          </w:tcPr>
          <w:p w:rsidR="00AC2098" w:rsidRDefault="00AC2098">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p>
        </w:tc>
        <w:tc>
          <w:tcPr>
            <w:tcW w:w="7740" w:type="dxa"/>
            <w:gridSpan w:val="2"/>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占比高于</w:t>
            </w:r>
            <w:r>
              <w:rPr>
                <w:rFonts w:ascii="仿宋_GB2312" w:eastAsia="仿宋_GB2312" w:hAnsi="仿宋_GB2312" w:cs="仿宋_GB2312" w:hint="eastAsia"/>
                <w:sz w:val="21"/>
                <w:szCs w:val="21"/>
                <w:shd w:val="clear" w:color="auto" w:fill="FFFFFF"/>
              </w:rPr>
              <w:t>60%</w:t>
            </w:r>
            <w:r>
              <w:rPr>
                <w:rFonts w:ascii="仿宋_GB2312" w:eastAsia="仿宋_GB2312" w:hAnsi="仿宋_GB2312" w:cs="仿宋_GB2312" w:hint="eastAsia"/>
                <w:sz w:val="21"/>
                <w:szCs w:val="21"/>
                <w:shd w:val="clear" w:color="auto" w:fill="FFFFFF"/>
              </w:rPr>
              <w:t>的，得</w:t>
            </w:r>
            <w:r>
              <w:rPr>
                <w:rFonts w:ascii="仿宋_GB2312" w:eastAsia="仿宋_GB2312" w:hAnsi="仿宋_GB2312" w:cs="仿宋_GB2312" w:hint="eastAsia"/>
                <w:sz w:val="21"/>
                <w:szCs w:val="21"/>
                <w:shd w:val="clear" w:color="auto" w:fill="FFFFFF"/>
              </w:rPr>
              <w:t>6</w:t>
            </w:r>
            <w:r>
              <w:rPr>
                <w:rFonts w:ascii="仿宋_GB2312" w:eastAsia="仿宋_GB2312" w:hAnsi="仿宋_GB2312" w:cs="仿宋_GB2312" w:hint="eastAsia"/>
                <w:sz w:val="21"/>
                <w:szCs w:val="21"/>
                <w:shd w:val="clear" w:color="auto" w:fill="FFFFFF"/>
              </w:rPr>
              <w:t>分</w:t>
            </w:r>
          </w:p>
        </w:tc>
        <w:tc>
          <w:tcPr>
            <w:tcW w:w="1815" w:type="dxa"/>
            <w:vMerge/>
          </w:tcPr>
          <w:p w:rsidR="00AC2098" w:rsidRDefault="00AC2098">
            <w:pPr>
              <w:pStyle w:val="a3"/>
              <w:widowControl/>
              <w:spacing w:beforeAutospacing="0" w:afterAutospacing="0" w:line="420" w:lineRule="atLeast"/>
              <w:rPr>
                <w:rFonts w:ascii="仿宋_GB2312" w:eastAsia="仿宋_GB2312" w:hAnsi="仿宋_GB2312" w:cs="仿宋_GB2312"/>
                <w:sz w:val="21"/>
                <w:szCs w:val="21"/>
                <w:shd w:val="clear" w:color="auto" w:fill="FFFFFF"/>
              </w:rPr>
            </w:pPr>
          </w:p>
        </w:tc>
      </w:tr>
      <w:tr w:rsidR="00AC2098">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p>
        </w:tc>
        <w:tc>
          <w:tcPr>
            <w:tcW w:w="674" w:type="dxa"/>
            <w:vMerge/>
            <w:vAlign w:val="center"/>
          </w:tcPr>
          <w:p w:rsidR="00AC2098" w:rsidRDefault="00AC2098">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p>
        </w:tc>
        <w:tc>
          <w:tcPr>
            <w:tcW w:w="2286" w:type="dxa"/>
            <w:vMerge/>
            <w:vAlign w:val="center"/>
          </w:tcPr>
          <w:p w:rsidR="00AC2098" w:rsidRDefault="00AC2098">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p>
        </w:tc>
        <w:tc>
          <w:tcPr>
            <w:tcW w:w="7740" w:type="dxa"/>
            <w:gridSpan w:val="2"/>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占比高于</w:t>
            </w:r>
            <w:r>
              <w:rPr>
                <w:rFonts w:ascii="仿宋_GB2312" w:eastAsia="仿宋_GB2312" w:hAnsi="仿宋_GB2312" w:cs="仿宋_GB2312" w:hint="eastAsia"/>
                <w:sz w:val="21"/>
                <w:szCs w:val="21"/>
                <w:shd w:val="clear" w:color="auto" w:fill="FFFFFF"/>
              </w:rPr>
              <w:t>70%</w:t>
            </w:r>
            <w:r>
              <w:rPr>
                <w:rFonts w:ascii="仿宋_GB2312" w:eastAsia="仿宋_GB2312" w:hAnsi="仿宋_GB2312" w:cs="仿宋_GB2312" w:hint="eastAsia"/>
                <w:sz w:val="21"/>
                <w:szCs w:val="21"/>
                <w:shd w:val="clear" w:color="auto" w:fill="FFFFFF"/>
              </w:rPr>
              <w:t>的，得</w:t>
            </w:r>
            <w:r>
              <w:rPr>
                <w:rFonts w:ascii="仿宋_GB2312" w:eastAsia="仿宋_GB2312" w:hAnsi="仿宋_GB2312" w:cs="仿宋_GB2312" w:hint="eastAsia"/>
                <w:sz w:val="21"/>
                <w:szCs w:val="21"/>
                <w:shd w:val="clear" w:color="auto" w:fill="FFFFFF"/>
              </w:rPr>
              <w:t>8</w:t>
            </w:r>
            <w:r>
              <w:rPr>
                <w:rFonts w:ascii="仿宋_GB2312" w:eastAsia="仿宋_GB2312" w:hAnsi="仿宋_GB2312" w:cs="仿宋_GB2312" w:hint="eastAsia"/>
                <w:sz w:val="21"/>
                <w:szCs w:val="21"/>
                <w:shd w:val="clear" w:color="auto" w:fill="FFFFFF"/>
              </w:rPr>
              <w:t>分</w:t>
            </w:r>
          </w:p>
        </w:tc>
        <w:tc>
          <w:tcPr>
            <w:tcW w:w="1815" w:type="dxa"/>
            <w:vMerge/>
          </w:tcPr>
          <w:p w:rsidR="00AC2098" w:rsidRDefault="00AC2098">
            <w:pPr>
              <w:pStyle w:val="a3"/>
              <w:widowControl/>
              <w:spacing w:beforeAutospacing="0" w:afterAutospacing="0" w:line="420" w:lineRule="atLeast"/>
              <w:rPr>
                <w:rFonts w:ascii="仿宋_GB2312" w:eastAsia="仿宋_GB2312" w:hAnsi="仿宋_GB2312" w:cs="仿宋_GB2312"/>
                <w:sz w:val="21"/>
                <w:szCs w:val="21"/>
                <w:shd w:val="clear" w:color="auto" w:fill="FFFFFF"/>
              </w:rPr>
            </w:pPr>
          </w:p>
        </w:tc>
      </w:tr>
      <w:tr w:rsidR="00AC2098">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p>
        </w:tc>
        <w:tc>
          <w:tcPr>
            <w:tcW w:w="674" w:type="dxa"/>
            <w:vMerge/>
            <w:vAlign w:val="center"/>
          </w:tcPr>
          <w:p w:rsidR="00AC2098" w:rsidRDefault="00AC2098">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p>
        </w:tc>
        <w:tc>
          <w:tcPr>
            <w:tcW w:w="2286" w:type="dxa"/>
            <w:vMerge/>
            <w:vAlign w:val="center"/>
          </w:tcPr>
          <w:p w:rsidR="00AC2098" w:rsidRDefault="00AC2098">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p>
        </w:tc>
        <w:tc>
          <w:tcPr>
            <w:tcW w:w="7740" w:type="dxa"/>
            <w:gridSpan w:val="2"/>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占比高于</w:t>
            </w:r>
            <w:r>
              <w:rPr>
                <w:rFonts w:ascii="仿宋_GB2312" w:eastAsia="仿宋_GB2312" w:hAnsi="仿宋_GB2312" w:cs="仿宋_GB2312" w:hint="eastAsia"/>
                <w:sz w:val="21"/>
                <w:szCs w:val="21"/>
                <w:shd w:val="clear" w:color="auto" w:fill="FFFFFF"/>
              </w:rPr>
              <w:t>80%</w:t>
            </w:r>
            <w:r>
              <w:rPr>
                <w:rFonts w:ascii="仿宋_GB2312" w:eastAsia="仿宋_GB2312" w:hAnsi="仿宋_GB2312" w:cs="仿宋_GB2312" w:hint="eastAsia"/>
                <w:sz w:val="21"/>
                <w:szCs w:val="21"/>
                <w:shd w:val="clear" w:color="auto" w:fill="FFFFFF"/>
              </w:rPr>
              <w:t>的，得</w:t>
            </w:r>
            <w:r>
              <w:rPr>
                <w:rFonts w:ascii="仿宋_GB2312" w:eastAsia="仿宋_GB2312" w:hAnsi="仿宋_GB2312" w:cs="仿宋_GB2312" w:hint="eastAsia"/>
                <w:sz w:val="21"/>
                <w:szCs w:val="21"/>
                <w:shd w:val="clear" w:color="auto" w:fill="FFFFFF"/>
              </w:rPr>
              <w:t>10</w:t>
            </w:r>
            <w:r>
              <w:rPr>
                <w:rFonts w:ascii="仿宋_GB2312" w:eastAsia="仿宋_GB2312" w:hAnsi="仿宋_GB2312" w:cs="仿宋_GB2312" w:hint="eastAsia"/>
                <w:sz w:val="21"/>
                <w:szCs w:val="21"/>
                <w:shd w:val="clear" w:color="auto" w:fill="FFFFFF"/>
              </w:rPr>
              <w:t>分</w:t>
            </w:r>
          </w:p>
        </w:tc>
        <w:tc>
          <w:tcPr>
            <w:tcW w:w="1815" w:type="dxa"/>
            <w:vMerge/>
          </w:tcPr>
          <w:p w:rsidR="00AC2098" w:rsidRDefault="00AC2098">
            <w:pPr>
              <w:pStyle w:val="a3"/>
              <w:widowControl/>
              <w:spacing w:beforeAutospacing="0" w:afterAutospacing="0" w:line="420" w:lineRule="atLeast"/>
              <w:rPr>
                <w:rFonts w:ascii="仿宋_GB2312" w:eastAsia="仿宋_GB2312" w:hAnsi="仿宋_GB2312" w:cs="仿宋_GB2312"/>
                <w:sz w:val="21"/>
                <w:szCs w:val="21"/>
                <w:shd w:val="clear" w:color="auto" w:fill="FFFFFF"/>
              </w:rPr>
            </w:pPr>
          </w:p>
        </w:tc>
      </w:tr>
      <w:tr w:rsidR="00AC2098">
        <w:trPr>
          <w:trHeight w:val="1540"/>
        </w:trPr>
        <w:tc>
          <w:tcPr>
            <w:tcW w:w="789" w:type="dxa"/>
            <w:vMerge/>
          </w:tcPr>
          <w:p w:rsidR="00AC2098" w:rsidRDefault="00AC2098">
            <w:pPr>
              <w:pStyle w:val="a3"/>
              <w:widowControl/>
              <w:spacing w:beforeAutospacing="0" w:afterAutospacing="0" w:line="240" w:lineRule="exact"/>
              <w:rPr>
                <w:rFonts w:ascii="仿宋_GB2312" w:eastAsia="仿宋_GB2312" w:hAnsi="仿宋_GB2312" w:cs="仿宋_GB2312"/>
                <w:sz w:val="21"/>
                <w:szCs w:val="21"/>
                <w:shd w:val="clear" w:color="auto" w:fill="FFFFFF"/>
              </w:rPr>
            </w:pPr>
          </w:p>
        </w:tc>
        <w:tc>
          <w:tcPr>
            <w:tcW w:w="1126"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4321</w:t>
            </w:r>
            <w:r>
              <w:rPr>
                <w:rFonts w:ascii="仿宋_GB2312" w:eastAsia="仿宋_GB2312" w:hAnsi="仿宋_GB2312" w:cs="仿宋_GB2312" w:hint="eastAsia"/>
                <w:sz w:val="21"/>
                <w:szCs w:val="21"/>
                <w:shd w:val="clear" w:color="auto" w:fill="FFFFFF"/>
              </w:rPr>
              <w:t>”政银担业务合作</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13</w:t>
            </w:r>
          </w:p>
        </w:tc>
        <w:tc>
          <w:tcPr>
            <w:tcW w:w="10026" w:type="dxa"/>
            <w:gridSpan w:val="3"/>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以本次考核期内“</w:t>
            </w:r>
            <w:r>
              <w:rPr>
                <w:rFonts w:ascii="仿宋_GB2312" w:eastAsia="仿宋_GB2312" w:hAnsi="仿宋_GB2312" w:cs="仿宋_GB2312" w:hint="eastAsia"/>
                <w:sz w:val="21"/>
                <w:szCs w:val="21"/>
                <w:shd w:val="clear" w:color="auto" w:fill="FFFFFF"/>
              </w:rPr>
              <w:t>4321</w:t>
            </w:r>
            <w:r>
              <w:rPr>
                <w:rFonts w:ascii="仿宋_GB2312" w:eastAsia="仿宋_GB2312" w:hAnsi="仿宋_GB2312" w:cs="仿宋_GB2312" w:hint="eastAsia"/>
                <w:sz w:val="21"/>
                <w:szCs w:val="21"/>
                <w:shd w:val="clear" w:color="auto" w:fill="FFFFFF"/>
              </w:rPr>
              <w:t>”新型政银担业务新增额最高的银行数据为基准数据，得分最高为</w:t>
            </w:r>
            <w:r>
              <w:rPr>
                <w:rFonts w:ascii="仿宋_GB2312" w:eastAsia="仿宋_GB2312" w:hAnsi="仿宋_GB2312" w:cs="仿宋_GB2312" w:hint="eastAsia"/>
                <w:sz w:val="21"/>
                <w:szCs w:val="21"/>
                <w:shd w:val="clear" w:color="auto" w:fill="FFFFFF"/>
              </w:rPr>
              <w:t>13</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具体计算公式：某银行“</w:t>
            </w:r>
            <w:r>
              <w:rPr>
                <w:rFonts w:ascii="仿宋_GB2312" w:eastAsia="仿宋_GB2312" w:hAnsi="仿宋_GB2312" w:cs="仿宋_GB2312" w:hint="eastAsia"/>
                <w:sz w:val="21"/>
                <w:szCs w:val="21"/>
                <w:shd w:val="clear" w:color="auto" w:fill="FFFFFF"/>
              </w:rPr>
              <w:t>4321</w:t>
            </w:r>
            <w:r>
              <w:rPr>
                <w:rFonts w:ascii="仿宋_GB2312" w:eastAsia="仿宋_GB2312" w:hAnsi="仿宋_GB2312" w:cs="仿宋_GB2312" w:hint="eastAsia"/>
                <w:sz w:val="21"/>
                <w:szCs w:val="21"/>
                <w:shd w:val="clear" w:color="auto" w:fill="FFFFFF"/>
              </w:rPr>
              <w:t>”新型政银担业务新增额指标评分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w:t>
            </w:r>
            <w:r>
              <w:rPr>
                <w:rFonts w:ascii="仿宋_GB2312" w:eastAsia="仿宋_GB2312" w:hAnsi="仿宋_GB2312" w:cs="仿宋_GB2312" w:hint="eastAsia"/>
                <w:sz w:val="21"/>
                <w:szCs w:val="21"/>
                <w:shd w:val="clear" w:color="auto" w:fill="FFFFFF"/>
              </w:rPr>
              <w:t>4321</w:t>
            </w:r>
            <w:r>
              <w:rPr>
                <w:rFonts w:ascii="仿宋_GB2312" w:eastAsia="仿宋_GB2312" w:hAnsi="仿宋_GB2312" w:cs="仿宋_GB2312" w:hint="eastAsia"/>
                <w:sz w:val="21"/>
                <w:szCs w:val="21"/>
                <w:shd w:val="clear" w:color="auto" w:fill="FFFFFF"/>
              </w:rPr>
              <w:t>”新型政银担业务新增额</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13</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b/>
                <w:bCs/>
                <w:sz w:val="21"/>
                <w:szCs w:val="21"/>
                <w:shd w:val="clear" w:color="auto" w:fill="FFFFFF"/>
              </w:rPr>
              <w:t>备注</w:t>
            </w:r>
            <w:r>
              <w:rPr>
                <w:rFonts w:ascii="仿宋_GB2312" w:eastAsia="仿宋_GB2312" w:hAnsi="仿宋_GB2312" w:cs="仿宋_GB2312" w:hint="eastAsia"/>
                <w:sz w:val="21"/>
                <w:szCs w:val="21"/>
                <w:shd w:val="clear" w:color="auto" w:fill="FFFFFF"/>
              </w:rPr>
              <w:t>：对银行承担的</w:t>
            </w:r>
            <w:r>
              <w:rPr>
                <w:rFonts w:ascii="仿宋_GB2312" w:eastAsia="仿宋_GB2312" w:hAnsi="仿宋_GB2312" w:cs="仿宋_GB2312" w:hint="eastAsia"/>
                <w:sz w:val="21"/>
                <w:szCs w:val="21"/>
                <w:shd w:val="clear" w:color="auto" w:fill="FFFFFF"/>
              </w:rPr>
              <w:t>20%</w:t>
            </w:r>
            <w:r>
              <w:rPr>
                <w:rFonts w:ascii="仿宋_GB2312" w:eastAsia="仿宋_GB2312" w:hAnsi="仿宋_GB2312" w:cs="仿宋_GB2312" w:hint="eastAsia"/>
                <w:sz w:val="21"/>
                <w:szCs w:val="21"/>
                <w:shd w:val="clear" w:color="auto" w:fill="FFFFFF"/>
              </w:rPr>
              <w:t>风险敞口部分，合作银行要求企业提供额外担保的，或者存在其它转嫁风险的行为，则该笔贷款一律不纳入统计。</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r>
              <w:rPr>
                <w:rFonts w:ascii="仿宋_GB2312" w:eastAsia="仿宋_GB2312" w:hAnsi="仿宋_GB2312" w:cs="仿宋_GB2312" w:hint="eastAsia"/>
                <w:sz w:val="21"/>
                <w:szCs w:val="21"/>
                <w:shd w:val="clear" w:color="auto" w:fill="FFFFFF"/>
              </w:rPr>
              <w:t xml:space="preserve">                                                                                                                                                                                                                </w:t>
            </w:r>
          </w:p>
        </w:tc>
        <w:tc>
          <w:tcPr>
            <w:tcW w:w="1815"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江之南融资担保有限公司</w:t>
            </w:r>
          </w:p>
        </w:tc>
      </w:tr>
      <w:tr w:rsidR="00AC2098">
        <w:trPr>
          <w:trHeight w:val="1565"/>
        </w:trPr>
        <w:tc>
          <w:tcPr>
            <w:tcW w:w="789" w:type="dxa"/>
            <w:vMerge/>
          </w:tcPr>
          <w:p w:rsidR="00AC2098" w:rsidRDefault="00AC2098">
            <w:pPr>
              <w:pStyle w:val="a3"/>
              <w:widowControl/>
              <w:spacing w:beforeAutospacing="0" w:afterAutospacing="0" w:line="240" w:lineRule="exact"/>
              <w:rPr>
                <w:rFonts w:ascii="仿宋_GB2312" w:eastAsia="仿宋_GB2312" w:hAnsi="仿宋_GB2312" w:cs="仿宋_GB2312"/>
                <w:sz w:val="21"/>
                <w:szCs w:val="21"/>
                <w:shd w:val="clear" w:color="auto" w:fill="FFFFFF"/>
              </w:rPr>
            </w:pPr>
          </w:p>
        </w:tc>
        <w:tc>
          <w:tcPr>
            <w:tcW w:w="1126"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“总对总”业务合作</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2</w:t>
            </w:r>
          </w:p>
        </w:tc>
        <w:tc>
          <w:tcPr>
            <w:tcW w:w="10026" w:type="dxa"/>
            <w:gridSpan w:val="3"/>
            <w:vAlign w:val="center"/>
          </w:tcPr>
          <w:p w:rsidR="00AC2098" w:rsidRDefault="0097262E">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以本次考核期内国家融资担保基金银担“总对总</w:t>
            </w:r>
            <w:r>
              <w:rPr>
                <w:rFonts w:ascii="仿宋_GB2312" w:eastAsia="仿宋_GB2312" w:hAnsi="仿宋_GB2312" w:cs="仿宋_GB2312" w:hint="eastAsia"/>
                <w:sz w:val="21"/>
                <w:szCs w:val="21"/>
                <w:shd w:val="clear" w:color="auto" w:fill="FFFFFF"/>
              </w:rPr>
              <w:t>”批量担保业务新增额最高的银行数据为基准数据，得分最高为</w:t>
            </w:r>
            <w:r>
              <w:rPr>
                <w:rFonts w:ascii="仿宋_GB2312" w:eastAsia="仿宋_GB2312" w:hAnsi="仿宋_GB2312" w:cs="仿宋_GB2312" w:hint="eastAsia"/>
                <w:sz w:val="21"/>
                <w:szCs w:val="21"/>
                <w:shd w:val="clear" w:color="auto" w:fill="FFFFFF"/>
              </w:rPr>
              <w:t>2</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具体计算公式：某银行“总对总”批量担保业务新增额指标评分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（某银行“总对总”批量担保业务新增额</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2</w:t>
            </w:r>
          </w:p>
          <w:p w:rsidR="00AC2098" w:rsidRDefault="00AC2098">
            <w:pPr>
              <w:pStyle w:val="a3"/>
              <w:widowControl/>
              <w:spacing w:beforeAutospacing="0" w:afterAutospacing="0" w:line="240" w:lineRule="exact"/>
              <w:jc w:val="both"/>
              <w:rPr>
                <w:rFonts w:ascii="仿宋_GB2312" w:eastAsia="仿宋_GB2312" w:hAnsi="仿宋_GB2312" w:cs="仿宋_GB2312"/>
                <w:b/>
                <w:bCs/>
                <w:sz w:val="21"/>
                <w:szCs w:val="21"/>
                <w:shd w:val="clear" w:color="auto" w:fill="FFFFFF"/>
              </w:rPr>
            </w:pPr>
          </w:p>
        </w:tc>
        <w:tc>
          <w:tcPr>
            <w:tcW w:w="1815"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江之南融资担保有限公司</w:t>
            </w:r>
          </w:p>
        </w:tc>
      </w:tr>
      <w:tr w:rsidR="00AC2098">
        <w:trPr>
          <w:trHeight w:val="540"/>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restart"/>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存贷比</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6</w:t>
            </w:r>
          </w:p>
        </w:tc>
        <w:tc>
          <w:tcPr>
            <w:tcW w:w="10026" w:type="dxa"/>
            <w:gridSpan w:val="3"/>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新增存贷比达到全市平均水平的得</w:t>
            </w:r>
            <w:r>
              <w:rPr>
                <w:rFonts w:ascii="仿宋_GB2312" w:eastAsia="仿宋_GB2312" w:hAnsi="仿宋_GB2312" w:cs="仿宋_GB2312" w:hint="eastAsia"/>
                <w:sz w:val="21"/>
                <w:szCs w:val="21"/>
                <w:shd w:val="clear" w:color="auto" w:fill="FFFFFF"/>
              </w:rPr>
              <w:t>3</w:t>
            </w:r>
            <w:r>
              <w:rPr>
                <w:rFonts w:ascii="仿宋_GB2312" w:eastAsia="仿宋_GB2312" w:hAnsi="仿宋_GB2312" w:cs="仿宋_GB2312" w:hint="eastAsia"/>
                <w:sz w:val="21"/>
                <w:szCs w:val="21"/>
                <w:shd w:val="clear" w:color="auto" w:fill="FFFFFF"/>
              </w:rPr>
              <w:t>分，每增加（减少）一个百分点加（减）</w:t>
            </w:r>
            <w:r>
              <w:rPr>
                <w:rFonts w:ascii="仿宋_GB2312" w:eastAsia="仿宋_GB2312" w:hAnsi="仿宋_GB2312" w:cs="仿宋_GB2312" w:hint="eastAsia"/>
                <w:sz w:val="21"/>
                <w:szCs w:val="21"/>
                <w:shd w:val="clear" w:color="auto" w:fill="FFFFFF"/>
              </w:rPr>
              <w:t>0.5</w:t>
            </w:r>
            <w:r>
              <w:rPr>
                <w:rFonts w:ascii="仿宋_GB2312" w:eastAsia="仿宋_GB2312" w:hAnsi="仿宋_GB2312" w:cs="仿宋_GB2312" w:hint="eastAsia"/>
                <w:sz w:val="21"/>
                <w:szCs w:val="21"/>
                <w:shd w:val="clear" w:color="auto" w:fill="FFFFFF"/>
              </w:rPr>
              <w:t>分，最高加（减）</w:t>
            </w:r>
            <w:r>
              <w:rPr>
                <w:rFonts w:ascii="仿宋_GB2312" w:eastAsia="仿宋_GB2312" w:hAnsi="仿宋_GB2312" w:cs="仿宋_GB2312" w:hint="eastAsia"/>
                <w:sz w:val="21"/>
                <w:szCs w:val="21"/>
                <w:shd w:val="clear" w:color="auto" w:fill="FFFFFF"/>
              </w:rPr>
              <w:t>3</w:t>
            </w:r>
            <w:r>
              <w:rPr>
                <w:rFonts w:ascii="仿宋_GB2312" w:eastAsia="仿宋_GB2312" w:hAnsi="仿宋_GB2312" w:cs="仿宋_GB2312" w:hint="eastAsia"/>
                <w:sz w:val="21"/>
                <w:szCs w:val="21"/>
                <w:shd w:val="clear" w:color="auto" w:fill="FFFFFF"/>
              </w:rPr>
              <w:t>分。</w:t>
            </w:r>
          </w:p>
        </w:tc>
        <w:tc>
          <w:tcPr>
            <w:tcW w:w="1815" w:type="dxa"/>
            <w:vMerge w:val="restart"/>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人行池州市中心支行</w:t>
            </w:r>
          </w:p>
        </w:tc>
      </w:tr>
      <w:tr w:rsidR="00AC2098">
        <w:trPr>
          <w:trHeight w:val="545"/>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Merge/>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4</w:t>
            </w:r>
          </w:p>
        </w:tc>
        <w:tc>
          <w:tcPr>
            <w:tcW w:w="10026" w:type="dxa"/>
            <w:gridSpan w:val="3"/>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存量存贷比达到全市平均水平的得</w:t>
            </w:r>
            <w:r>
              <w:rPr>
                <w:rFonts w:ascii="仿宋_GB2312" w:eastAsia="仿宋_GB2312" w:hAnsi="仿宋_GB2312" w:cs="仿宋_GB2312" w:hint="eastAsia"/>
                <w:sz w:val="21"/>
                <w:szCs w:val="21"/>
                <w:shd w:val="clear" w:color="auto" w:fill="FFFFFF"/>
              </w:rPr>
              <w:t>2</w:t>
            </w:r>
            <w:r>
              <w:rPr>
                <w:rFonts w:ascii="仿宋_GB2312" w:eastAsia="仿宋_GB2312" w:hAnsi="仿宋_GB2312" w:cs="仿宋_GB2312" w:hint="eastAsia"/>
                <w:sz w:val="21"/>
                <w:szCs w:val="21"/>
                <w:shd w:val="clear" w:color="auto" w:fill="FFFFFF"/>
              </w:rPr>
              <w:t>分，每增加（减少）一个百分点加（减）</w:t>
            </w:r>
            <w:r>
              <w:rPr>
                <w:rFonts w:ascii="仿宋_GB2312" w:eastAsia="仿宋_GB2312" w:hAnsi="仿宋_GB2312" w:cs="仿宋_GB2312" w:hint="eastAsia"/>
                <w:sz w:val="21"/>
                <w:szCs w:val="21"/>
                <w:shd w:val="clear" w:color="auto" w:fill="FFFFFF"/>
              </w:rPr>
              <w:t>0.5</w:t>
            </w:r>
            <w:r>
              <w:rPr>
                <w:rFonts w:ascii="仿宋_GB2312" w:eastAsia="仿宋_GB2312" w:hAnsi="仿宋_GB2312" w:cs="仿宋_GB2312" w:hint="eastAsia"/>
                <w:sz w:val="21"/>
                <w:szCs w:val="21"/>
                <w:shd w:val="clear" w:color="auto" w:fill="FFFFFF"/>
              </w:rPr>
              <w:t>分，最高加（减）</w:t>
            </w:r>
            <w:r>
              <w:rPr>
                <w:rFonts w:ascii="仿宋_GB2312" w:eastAsia="仿宋_GB2312" w:hAnsi="仿宋_GB2312" w:cs="仿宋_GB2312" w:hint="eastAsia"/>
                <w:sz w:val="21"/>
                <w:szCs w:val="21"/>
                <w:shd w:val="clear" w:color="auto" w:fill="FFFFFF"/>
              </w:rPr>
              <w:t>2</w:t>
            </w:r>
            <w:r>
              <w:rPr>
                <w:rFonts w:ascii="仿宋_GB2312" w:eastAsia="仿宋_GB2312" w:hAnsi="仿宋_GB2312" w:cs="仿宋_GB2312" w:hint="eastAsia"/>
                <w:sz w:val="21"/>
                <w:szCs w:val="21"/>
                <w:shd w:val="clear" w:color="auto" w:fill="FFFFFF"/>
              </w:rPr>
              <w:t>分。</w:t>
            </w:r>
          </w:p>
        </w:tc>
        <w:tc>
          <w:tcPr>
            <w:tcW w:w="1815" w:type="dxa"/>
            <w:vMerge/>
            <w:vAlign w:val="center"/>
          </w:tcPr>
          <w:p w:rsidR="00AC2098" w:rsidRDefault="00AC2098">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p>
        </w:tc>
      </w:tr>
      <w:tr w:rsidR="00AC2098">
        <w:trPr>
          <w:trHeight w:val="720"/>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贷款余额</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10</w:t>
            </w:r>
          </w:p>
        </w:tc>
        <w:tc>
          <w:tcPr>
            <w:tcW w:w="10026" w:type="dxa"/>
            <w:gridSpan w:val="3"/>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以当期贷款余额最高的银行数据为基准数据，得分最高为</w:t>
            </w:r>
            <w:r>
              <w:rPr>
                <w:rFonts w:ascii="仿宋_GB2312" w:eastAsia="仿宋_GB2312" w:hAnsi="仿宋_GB2312" w:cs="仿宋_GB2312" w:hint="eastAsia"/>
                <w:sz w:val="21"/>
                <w:szCs w:val="21"/>
                <w:shd w:val="clear" w:color="auto" w:fill="FFFFFF"/>
              </w:rPr>
              <w:t>10</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某银行贷款余额指标评分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（某银行贷款余额</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10</w:t>
            </w:r>
          </w:p>
        </w:tc>
        <w:tc>
          <w:tcPr>
            <w:tcW w:w="1815"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各银行机构</w:t>
            </w:r>
          </w:p>
        </w:tc>
      </w:tr>
      <w:tr w:rsidR="00AC2098">
        <w:trPr>
          <w:trHeight w:val="762"/>
        </w:trPr>
        <w:tc>
          <w:tcPr>
            <w:tcW w:w="789" w:type="dxa"/>
            <w:vMerge/>
          </w:tcPr>
          <w:p w:rsidR="00AC2098" w:rsidRDefault="00AC2098">
            <w:pPr>
              <w:pStyle w:val="a3"/>
              <w:widowControl/>
              <w:spacing w:beforeAutospacing="0" w:afterAutospacing="0" w:line="420" w:lineRule="atLeast"/>
              <w:rPr>
                <w:rFonts w:ascii="仿宋_GB2312" w:eastAsia="仿宋_GB2312" w:hAnsi="仿宋_GB2312" w:cs="仿宋_GB2312"/>
                <w:color w:val="FF0000"/>
                <w:sz w:val="32"/>
                <w:szCs w:val="32"/>
                <w:shd w:val="clear" w:color="auto" w:fill="FFFFFF"/>
              </w:rPr>
            </w:pPr>
          </w:p>
        </w:tc>
        <w:tc>
          <w:tcPr>
            <w:tcW w:w="1126"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融资成本</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5</w:t>
            </w:r>
          </w:p>
        </w:tc>
        <w:tc>
          <w:tcPr>
            <w:tcW w:w="10026" w:type="dxa"/>
            <w:gridSpan w:val="3"/>
            <w:vAlign w:val="center"/>
          </w:tcPr>
          <w:p w:rsidR="00AC2098" w:rsidRDefault="0097262E">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r>
              <w:rPr>
                <w:rFonts w:ascii="仿宋_GB2312" w:eastAsia="仿宋_GB2312" w:hAnsi="仿宋_GB2312" w:cs="仿宋_GB2312"/>
                <w:sz w:val="21"/>
                <w:szCs w:val="21"/>
                <w:shd w:val="clear" w:color="auto" w:fill="FFFFFF"/>
              </w:rPr>
              <w:t>对企业贷款加权平均利率水平控制在当年</w:t>
            </w:r>
            <w:r>
              <w:rPr>
                <w:rFonts w:ascii="仿宋_GB2312" w:eastAsia="仿宋_GB2312" w:hAnsi="仿宋_GB2312" w:cs="仿宋_GB2312"/>
                <w:sz w:val="21"/>
                <w:szCs w:val="21"/>
                <w:shd w:val="clear" w:color="auto" w:fill="FFFFFF"/>
              </w:rPr>
              <w:t>12</w:t>
            </w:r>
            <w:r>
              <w:rPr>
                <w:rFonts w:ascii="仿宋_GB2312" w:eastAsia="仿宋_GB2312" w:hAnsi="仿宋_GB2312" w:cs="仿宋_GB2312"/>
                <w:sz w:val="21"/>
                <w:szCs w:val="21"/>
                <w:shd w:val="clear" w:color="auto" w:fill="FFFFFF"/>
              </w:rPr>
              <w:t>月份</w:t>
            </w:r>
            <w:r>
              <w:rPr>
                <w:rFonts w:ascii="仿宋_GB2312" w:eastAsia="仿宋_GB2312" w:hAnsi="仿宋_GB2312" w:cs="仿宋_GB2312"/>
                <w:sz w:val="21"/>
                <w:szCs w:val="21"/>
                <w:shd w:val="clear" w:color="auto" w:fill="FFFFFF"/>
              </w:rPr>
              <w:t>LPR</w:t>
            </w:r>
            <w:r>
              <w:rPr>
                <w:rFonts w:ascii="仿宋_GB2312" w:eastAsia="仿宋_GB2312" w:hAnsi="仿宋_GB2312" w:cs="仿宋_GB2312"/>
                <w:sz w:val="21"/>
                <w:szCs w:val="21"/>
                <w:shd w:val="clear" w:color="auto" w:fill="FFFFFF"/>
              </w:rPr>
              <w:t>利率</w:t>
            </w:r>
            <w:r>
              <w:rPr>
                <w:rFonts w:ascii="仿宋_GB2312" w:eastAsia="仿宋_GB2312" w:hAnsi="仿宋_GB2312" w:cs="仿宋_GB2312"/>
                <w:sz w:val="21"/>
                <w:szCs w:val="21"/>
                <w:shd w:val="clear" w:color="auto" w:fill="FFFFFF"/>
              </w:rPr>
              <w:t>1.3</w:t>
            </w:r>
            <w:r>
              <w:rPr>
                <w:rFonts w:ascii="仿宋_GB2312" w:eastAsia="仿宋_GB2312" w:hAnsi="仿宋_GB2312" w:cs="仿宋_GB2312"/>
                <w:sz w:val="21"/>
                <w:szCs w:val="21"/>
                <w:shd w:val="clear" w:color="auto" w:fill="FFFFFF"/>
              </w:rPr>
              <w:t>倍（含</w:t>
            </w:r>
            <w:r>
              <w:rPr>
                <w:rFonts w:ascii="仿宋_GB2312" w:eastAsia="仿宋_GB2312" w:hAnsi="仿宋_GB2312" w:cs="仿宋_GB2312"/>
                <w:sz w:val="21"/>
                <w:szCs w:val="21"/>
                <w:shd w:val="clear" w:color="auto" w:fill="FFFFFF"/>
              </w:rPr>
              <w:t>1.3</w:t>
            </w:r>
            <w:r>
              <w:rPr>
                <w:rFonts w:ascii="仿宋_GB2312" w:eastAsia="仿宋_GB2312" w:hAnsi="仿宋_GB2312" w:cs="仿宋_GB2312"/>
                <w:sz w:val="21"/>
                <w:szCs w:val="21"/>
                <w:shd w:val="clear" w:color="auto" w:fill="FFFFFF"/>
              </w:rPr>
              <w:t>倍）以内的得</w:t>
            </w:r>
            <w:r>
              <w:rPr>
                <w:rFonts w:ascii="仿宋_GB2312" w:eastAsia="仿宋_GB2312" w:hAnsi="仿宋_GB2312" w:cs="仿宋_GB2312"/>
                <w:sz w:val="21"/>
                <w:szCs w:val="21"/>
                <w:shd w:val="clear" w:color="auto" w:fill="FFFFFF"/>
              </w:rPr>
              <w:t>5</w:t>
            </w:r>
            <w:r>
              <w:rPr>
                <w:rFonts w:ascii="仿宋_GB2312" w:eastAsia="仿宋_GB2312" w:hAnsi="仿宋_GB2312" w:cs="仿宋_GB2312"/>
                <w:sz w:val="21"/>
                <w:szCs w:val="21"/>
                <w:shd w:val="clear" w:color="auto" w:fill="FFFFFF"/>
              </w:rPr>
              <w:t>分，每超过</w:t>
            </w:r>
            <w:r>
              <w:rPr>
                <w:rFonts w:ascii="仿宋_GB2312" w:eastAsia="仿宋_GB2312" w:hAnsi="仿宋_GB2312" w:cs="仿宋_GB2312"/>
                <w:sz w:val="21"/>
                <w:szCs w:val="21"/>
                <w:shd w:val="clear" w:color="auto" w:fill="FFFFFF"/>
              </w:rPr>
              <w:t>0.1</w:t>
            </w:r>
            <w:r>
              <w:rPr>
                <w:rFonts w:ascii="仿宋_GB2312" w:eastAsia="仿宋_GB2312" w:hAnsi="仿宋_GB2312" w:cs="仿宋_GB2312"/>
                <w:sz w:val="21"/>
                <w:szCs w:val="21"/>
                <w:shd w:val="clear" w:color="auto" w:fill="FFFFFF"/>
              </w:rPr>
              <w:t>倍扣</w:t>
            </w:r>
            <w:r>
              <w:rPr>
                <w:rFonts w:ascii="仿宋_GB2312" w:eastAsia="仿宋_GB2312" w:hAnsi="仿宋_GB2312" w:cs="仿宋_GB2312"/>
                <w:sz w:val="21"/>
                <w:szCs w:val="21"/>
                <w:shd w:val="clear" w:color="auto" w:fill="FFFFFF"/>
              </w:rPr>
              <w:t>1</w:t>
            </w:r>
            <w:r>
              <w:rPr>
                <w:rFonts w:ascii="仿宋_GB2312" w:eastAsia="仿宋_GB2312" w:hAnsi="仿宋_GB2312" w:cs="仿宋_GB2312"/>
                <w:sz w:val="21"/>
                <w:szCs w:val="21"/>
                <w:shd w:val="clear" w:color="auto" w:fill="FFFFFF"/>
              </w:rPr>
              <w:t>分，扣完为止。</w:t>
            </w:r>
          </w:p>
        </w:tc>
        <w:tc>
          <w:tcPr>
            <w:tcW w:w="1815"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color w:val="FF0000"/>
                <w:sz w:val="32"/>
                <w:szCs w:val="32"/>
                <w:shd w:val="clear" w:color="auto" w:fill="FFFFFF"/>
              </w:rPr>
            </w:pPr>
            <w:r>
              <w:rPr>
                <w:rFonts w:ascii="仿宋_GB2312" w:eastAsia="仿宋_GB2312" w:hAnsi="仿宋_GB2312" w:cs="仿宋_GB2312" w:hint="eastAsia"/>
                <w:sz w:val="21"/>
                <w:szCs w:val="21"/>
                <w:shd w:val="clear" w:color="auto" w:fill="FFFFFF"/>
              </w:rPr>
              <w:t>人行池州市中心支行</w:t>
            </w:r>
          </w:p>
        </w:tc>
      </w:tr>
      <w:tr w:rsidR="00AC2098">
        <w:trPr>
          <w:trHeight w:val="985"/>
        </w:trPr>
        <w:tc>
          <w:tcPr>
            <w:tcW w:w="1915" w:type="dxa"/>
            <w:gridSpan w:val="2"/>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color w:val="FF0000"/>
                <w:sz w:val="32"/>
                <w:szCs w:val="32"/>
                <w:shd w:val="clear" w:color="auto" w:fill="FFFFFF"/>
              </w:rPr>
            </w:pPr>
            <w:r>
              <w:rPr>
                <w:rFonts w:ascii="仿宋_GB2312" w:eastAsia="仿宋_GB2312" w:hAnsi="仿宋_GB2312" w:cs="仿宋_GB2312" w:hint="eastAsia"/>
                <w:sz w:val="28"/>
                <w:szCs w:val="28"/>
                <w:shd w:val="clear" w:color="auto" w:fill="FFFFFF"/>
              </w:rPr>
              <w:t>金融创新</w:t>
            </w:r>
          </w:p>
        </w:tc>
        <w:tc>
          <w:tcPr>
            <w:tcW w:w="674"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10</w:t>
            </w:r>
          </w:p>
        </w:tc>
        <w:tc>
          <w:tcPr>
            <w:tcW w:w="10026" w:type="dxa"/>
            <w:gridSpan w:val="3"/>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除运用抵押贷款、信用贷款、担保贷款、无还本续贷方式发放贷款外，以各银行运用其它金融产品发放的贷款额最高的为基准数据，得分最高为</w:t>
            </w:r>
            <w:r>
              <w:rPr>
                <w:rFonts w:ascii="仿宋_GB2312" w:eastAsia="仿宋_GB2312" w:hAnsi="仿宋_GB2312" w:cs="仿宋_GB2312" w:hint="eastAsia"/>
                <w:sz w:val="21"/>
                <w:szCs w:val="21"/>
                <w:shd w:val="clear" w:color="auto" w:fill="FFFFFF"/>
              </w:rPr>
              <w:t>10</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具体计算公式：某商业银行金融创新产品指标评分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（某商业银行金融创新产品信贷发放额</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10</w:t>
            </w:r>
          </w:p>
        </w:tc>
        <w:tc>
          <w:tcPr>
            <w:tcW w:w="1815" w:type="dxa"/>
            <w:vAlign w:val="center"/>
          </w:tcPr>
          <w:p w:rsidR="00AC2098" w:rsidRDefault="0097262E">
            <w:pPr>
              <w:pStyle w:val="a3"/>
              <w:widowControl/>
              <w:spacing w:beforeAutospacing="0" w:afterAutospacing="0" w:line="420" w:lineRule="atLeast"/>
              <w:jc w:val="center"/>
              <w:rPr>
                <w:rFonts w:ascii="仿宋_GB2312" w:eastAsia="仿宋_GB2312" w:hAnsi="仿宋_GB2312" w:cs="仿宋_GB2312"/>
                <w:color w:val="FF0000"/>
                <w:sz w:val="32"/>
                <w:szCs w:val="32"/>
                <w:shd w:val="clear" w:color="auto" w:fill="FFFFFF"/>
              </w:rPr>
            </w:pPr>
            <w:r>
              <w:rPr>
                <w:rFonts w:ascii="仿宋_GB2312" w:eastAsia="仿宋_GB2312" w:hAnsi="仿宋_GB2312" w:cs="仿宋_GB2312" w:hint="eastAsia"/>
                <w:sz w:val="21"/>
                <w:szCs w:val="21"/>
                <w:shd w:val="clear" w:color="auto" w:fill="FFFFFF"/>
              </w:rPr>
              <w:t>各银行机构</w:t>
            </w:r>
          </w:p>
        </w:tc>
      </w:tr>
      <w:tr w:rsidR="00AC2098">
        <w:trPr>
          <w:trHeight w:val="499"/>
        </w:trPr>
        <w:tc>
          <w:tcPr>
            <w:tcW w:w="1915" w:type="dxa"/>
            <w:gridSpan w:val="2"/>
            <w:vMerge w:val="restart"/>
            <w:vAlign w:val="center"/>
          </w:tcPr>
          <w:p w:rsidR="00AC2098" w:rsidRDefault="0097262E">
            <w:pPr>
              <w:pStyle w:val="a3"/>
              <w:widowControl/>
              <w:tabs>
                <w:tab w:val="left" w:pos="582"/>
              </w:tabs>
              <w:spacing w:beforeAutospacing="0" w:afterAutospacing="0" w:line="400" w:lineRule="exact"/>
              <w:ind w:firstLineChars="100" w:firstLine="280"/>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8"/>
                <w:szCs w:val="28"/>
                <w:shd w:val="clear" w:color="auto" w:fill="FFFFFF"/>
              </w:rPr>
              <w:t>服务质量</w:t>
            </w:r>
          </w:p>
        </w:tc>
        <w:tc>
          <w:tcPr>
            <w:tcW w:w="674" w:type="dxa"/>
            <w:vMerge w:val="restart"/>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15</w:t>
            </w:r>
          </w:p>
        </w:tc>
        <w:tc>
          <w:tcPr>
            <w:tcW w:w="2286"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财政账户服务质量</w:t>
            </w:r>
          </w:p>
        </w:tc>
        <w:tc>
          <w:tcPr>
            <w:tcW w:w="7740" w:type="dxa"/>
            <w:gridSpan w:val="2"/>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5</w:t>
            </w:r>
          </w:p>
        </w:tc>
        <w:tc>
          <w:tcPr>
            <w:tcW w:w="1815"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财金部</w:t>
            </w:r>
          </w:p>
        </w:tc>
      </w:tr>
      <w:tr w:rsidR="00AC2098">
        <w:trPr>
          <w:trHeight w:val="820"/>
        </w:trPr>
        <w:tc>
          <w:tcPr>
            <w:tcW w:w="1915" w:type="dxa"/>
            <w:gridSpan w:val="2"/>
            <w:vMerge/>
          </w:tcPr>
          <w:p w:rsidR="00AC2098" w:rsidRDefault="00AC2098">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p>
        </w:tc>
        <w:tc>
          <w:tcPr>
            <w:tcW w:w="674" w:type="dxa"/>
            <w:vMerge/>
            <w:vAlign w:val="center"/>
          </w:tcPr>
          <w:p w:rsidR="00AC2098" w:rsidRDefault="00AC2098">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p>
        </w:tc>
        <w:tc>
          <w:tcPr>
            <w:tcW w:w="2286" w:type="dxa"/>
            <w:vMerge w:val="restart"/>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企业服务质量</w:t>
            </w:r>
          </w:p>
        </w:tc>
        <w:tc>
          <w:tcPr>
            <w:tcW w:w="7740" w:type="dxa"/>
            <w:gridSpan w:val="2"/>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以本次考核期内新开设对公账户数最高的银行数据为基准数据，得分最高为</w:t>
            </w:r>
            <w:r>
              <w:rPr>
                <w:rFonts w:ascii="仿宋_GB2312" w:eastAsia="仿宋_GB2312" w:hAnsi="仿宋_GB2312" w:cs="仿宋_GB2312" w:hint="eastAsia"/>
                <w:sz w:val="21"/>
                <w:szCs w:val="21"/>
                <w:shd w:val="clear" w:color="auto" w:fill="FFFFFF"/>
              </w:rPr>
              <w:t>3</w:t>
            </w:r>
            <w:r>
              <w:rPr>
                <w:rFonts w:ascii="仿宋_GB2312" w:eastAsia="仿宋_GB2312" w:hAnsi="仿宋_GB2312" w:cs="仿宋_GB2312" w:hint="eastAsia"/>
                <w:sz w:val="21"/>
                <w:szCs w:val="21"/>
                <w:shd w:val="clear" w:color="auto" w:fill="FFFFFF"/>
              </w:rPr>
              <w:t>分；</w:t>
            </w:r>
          </w:p>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具体计算公式：某银行新开设对公账户数指标评分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（某银行新开设对公账户数</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基准数据）</w:t>
            </w:r>
            <w:r>
              <w:rPr>
                <w:rFonts w:ascii="仿宋_GB2312" w:eastAsia="仿宋_GB2312" w:hAnsi="仿宋_GB2312" w:cs="仿宋_GB2312"/>
                <w:sz w:val="21"/>
                <w:szCs w:val="21"/>
                <w:shd w:val="clear" w:color="auto" w:fill="FFFFFF"/>
              </w:rPr>
              <w:t>×</w:t>
            </w:r>
            <w:r>
              <w:rPr>
                <w:rFonts w:ascii="仿宋_GB2312" w:eastAsia="仿宋_GB2312" w:hAnsi="仿宋_GB2312" w:cs="仿宋_GB2312" w:hint="eastAsia"/>
                <w:sz w:val="21"/>
                <w:szCs w:val="21"/>
                <w:shd w:val="clear" w:color="auto" w:fill="FFFFFF"/>
              </w:rPr>
              <w:t>3</w:t>
            </w:r>
          </w:p>
          <w:p w:rsidR="00AC2098" w:rsidRDefault="0097262E">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备注：统计范围以各银行为集中区落户企业开设对公账户数据为准。</w:t>
            </w:r>
          </w:p>
        </w:tc>
        <w:tc>
          <w:tcPr>
            <w:tcW w:w="1815" w:type="dxa"/>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各银行机构</w:t>
            </w:r>
          </w:p>
        </w:tc>
      </w:tr>
      <w:tr w:rsidR="00AC2098">
        <w:tc>
          <w:tcPr>
            <w:tcW w:w="1915" w:type="dxa"/>
            <w:gridSpan w:val="2"/>
            <w:vMerge/>
          </w:tcPr>
          <w:p w:rsidR="00AC2098" w:rsidRDefault="00AC2098">
            <w:pPr>
              <w:pStyle w:val="a3"/>
              <w:widowControl/>
              <w:spacing w:beforeAutospacing="0" w:afterAutospacing="0" w:line="240" w:lineRule="exact"/>
              <w:jc w:val="both"/>
            </w:pPr>
          </w:p>
        </w:tc>
        <w:tc>
          <w:tcPr>
            <w:tcW w:w="674" w:type="dxa"/>
            <w:vMerge/>
            <w:vAlign w:val="center"/>
          </w:tcPr>
          <w:p w:rsidR="00AC2098" w:rsidRDefault="00AC2098">
            <w:pPr>
              <w:pStyle w:val="a3"/>
              <w:widowControl/>
              <w:spacing w:beforeAutospacing="0" w:afterAutospacing="0" w:line="240" w:lineRule="exact"/>
              <w:jc w:val="both"/>
            </w:pPr>
          </w:p>
        </w:tc>
        <w:tc>
          <w:tcPr>
            <w:tcW w:w="2286" w:type="dxa"/>
            <w:vMerge/>
            <w:vAlign w:val="center"/>
          </w:tcPr>
          <w:p w:rsidR="00AC2098" w:rsidRDefault="00AC2098">
            <w:pPr>
              <w:pStyle w:val="a3"/>
              <w:widowControl/>
              <w:spacing w:beforeAutospacing="0" w:afterAutospacing="0" w:line="240" w:lineRule="exact"/>
              <w:jc w:val="both"/>
            </w:pPr>
          </w:p>
        </w:tc>
        <w:tc>
          <w:tcPr>
            <w:tcW w:w="3870" w:type="dxa"/>
            <w:vMerge w:val="restart"/>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根据企业问卷调查结果得分</w:t>
            </w:r>
          </w:p>
        </w:tc>
        <w:tc>
          <w:tcPr>
            <w:tcW w:w="3870" w:type="dxa"/>
            <w:vAlign w:val="center"/>
          </w:tcPr>
          <w:p w:rsidR="00AC2098" w:rsidRDefault="0097262E">
            <w:pPr>
              <w:pStyle w:val="a3"/>
              <w:widowControl/>
              <w:spacing w:beforeAutospacing="0" w:afterAutospacing="0" w:line="240" w:lineRule="exact"/>
              <w:jc w:val="both"/>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分值在</w:t>
            </w:r>
            <w:r>
              <w:rPr>
                <w:rFonts w:ascii="仿宋_GB2312" w:eastAsia="仿宋_GB2312" w:hAnsi="仿宋_GB2312" w:cs="仿宋_GB2312" w:hint="eastAsia"/>
                <w:sz w:val="21"/>
                <w:szCs w:val="21"/>
                <w:shd w:val="clear" w:color="auto" w:fill="FFFFFF"/>
              </w:rPr>
              <w:t>90-100</w:t>
            </w:r>
            <w:r>
              <w:rPr>
                <w:rFonts w:ascii="仿宋_GB2312" w:eastAsia="仿宋_GB2312" w:hAnsi="仿宋_GB2312" w:cs="仿宋_GB2312" w:hint="eastAsia"/>
                <w:sz w:val="21"/>
                <w:szCs w:val="21"/>
                <w:shd w:val="clear" w:color="auto" w:fill="FFFFFF"/>
              </w:rPr>
              <w:t>分之间的，得</w:t>
            </w:r>
            <w:r>
              <w:rPr>
                <w:rFonts w:ascii="仿宋_GB2312" w:eastAsia="仿宋_GB2312" w:hAnsi="仿宋_GB2312" w:cs="仿宋_GB2312" w:hint="eastAsia"/>
                <w:sz w:val="21"/>
                <w:szCs w:val="21"/>
                <w:shd w:val="clear" w:color="auto" w:fill="FFFFFF"/>
              </w:rPr>
              <w:t>7</w:t>
            </w:r>
            <w:r>
              <w:rPr>
                <w:rFonts w:ascii="仿宋_GB2312" w:eastAsia="仿宋_GB2312" w:hAnsi="仿宋_GB2312" w:cs="仿宋_GB2312" w:hint="eastAsia"/>
                <w:sz w:val="21"/>
                <w:szCs w:val="21"/>
                <w:shd w:val="clear" w:color="auto" w:fill="FFFFFF"/>
              </w:rPr>
              <w:t>分</w:t>
            </w:r>
          </w:p>
        </w:tc>
        <w:tc>
          <w:tcPr>
            <w:tcW w:w="1815" w:type="dxa"/>
            <w:vMerge w:val="restart"/>
            <w:vAlign w:val="center"/>
          </w:tcPr>
          <w:p w:rsidR="00AC2098" w:rsidRDefault="0097262E">
            <w:pPr>
              <w:pStyle w:val="a3"/>
              <w:widowControl/>
              <w:spacing w:beforeAutospacing="0" w:afterAutospacing="0" w:line="240" w:lineRule="exact"/>
              <w:jc w:val="center"/>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财金部</w:t>
            </w:r>
          </w:p>
        </w:tc>
      </w:tr>
      <w:tr w:rsidR="00AC2098">
        <w:tc>
          <w:tcPr>
            <w:tcW w:w="1915" w:type="dxa"/>
            <w:gridSpan w:val="2"/>
            <w:vMerge/>
          </w:tcPr>
          <w:p w:rsidR="00AC2098" w:rsidRDefault="00AC2098">
            <w:pPr>
              <w:pStyle w:val="a3"/>
              <w:widowControl/>
              <w:spacing w:beforeAutospacing="0" w:afterAutospacing="0" w:line="240" w:lineRule="exact"/>
              <w:jc w:val="both"/>
            </w:pPr>
          </w:p>
        </w:tc>
        <w:tc>
          <w:tcPr>
            <w:tcW w:w="674" w:type="dxa"/>
            <w:vMerge/>
            <w:vAlign w:val="center"/>
          </w:tcPr>
          <w:p w:rsidR="00AC2098" w:rsidRDefault="00AC2098">
            <w:pPr>
              <w:pStyle w:val="a3"/>
              <w:widowControl/>
              <w:spacing w:beforeAutospacing="0" w:afterAutospacing="0" w:line="240" w:lineRule="exact"/>
              <w:jc w:val="both"/>
            </w:pPr>
          </w:p>
        </w:tc>
        <w:tc>
          <w:tcPr>
            <w:tcW w:w="2286" w:type="dxa"/>
            <w:vMerge/>
            <w:vAlign w:val="center"/>
          </w:tcPr>
          <w:p w:rsidR="00AC2098" w:rsidRDefault="00AC2098">
            <w:pPr>
              <w:pStyle w:val="a3"/>
              <w:widowControl/>
              <w:spacing w:beforeAutospacing="0" w:afterAutospacing="0" w:line="240" w:lineRule="exact"/>
              <w:jc w:val="both"/>
            </w:pPr>
          </w:p>
        </w:tc>
        <w:tc>
          <w:tcPr>
            <w:tcW w:w="3870" w:type="dxa"/>
            <w:vMerge/>
            <w:vAlign w:val="center"/>
          </w:tcPr>
          <w:p w:rsidR="00AC2098" w:rsidRDefault="00AC2098">
            <w:pPr>
              <w:pStyle w:val="a3"/>
              <w:widowControl/>
              <w:spacing w:beforeAutospacing="0" w:afterAutospacing="0" w:line="240" w:lineRule="exact"/>
              <w:jc w:val="both"/>
            </w:pPr>
          </w:p>
        </w:tc>
        <w:tc>
          <w:tcPr>
            <w:tcW w:w="3870" w:type="dxa"/>
            <w:vAlign w:val="center"/>
          </w:tcPr>
          <w:p w:rsidR="00AC2098" w:rsidRDefault="0097262E">
            <w:pPr>
              <w:pStyle w:val="a3"/>
              <w:widowControl/>
              <w:spacing w:beforeAutospacing="0" w:afterAutospacing="0" w:line="240" w:lineRule="exact"/>
              <w:jc w:val="both"/>
            </w:pPr>
            <w:r>
              <w:rPr>
                <w:rFonts w:ascii="仿宋_GB2312" w:eastAsia="仿宋_GB2312" w:hAnsi="仿宋_GB2312" w:cs="仿宋_GB2312" w:hint="eastAsia"/>
                <w:sz w:val="21"/>
                <w:szCs w:val="21"/>
                <w:shd w:val="clear" w:color="auto" w:fill="FFFFFF"/>
              </w:rPr>
              <w:t>分值在</w:t>
            </w:r>
            <w:r>
              <w:rPr>
                <w:rFonts w:ascii="仿宋_GB2312" w:eastAsia="仿宋_GB2312" w:hAnsi="仿宋_GB2312" w:cs="仿宋_GB2312" w:hint="eastAsia"/>
                <w:sz w:val="21"/>
                <w:szCs w:val="21"/>
                <w:shd w:val="clear" w:color="auto" w:fill="FFFFFF"/>
              </w:rPr>
              <w:t>80-90</w:t>
            </w:r>
            <w:r>
              <w:rPr>
                <w:rFonts w:ascii="仿宋_GB2312" w:eastAsia="仿宋_GB2312" w:hAnsi="仿宋_GB2312" w:cs="仿宋_GB2312" w:hint="eastAsia"/>
                <w:sz w:val="21"/>
                <w:szCs w:val="21"/>
                <w:shd w:val="clear" w:color="auto" w:fill="FFFFFF"/>
              </w:rPr>
              <w:t>分之间的，得</w:t>
            </w:r>
            <w:r>
              <w:rPr>
                <w:rFonts w:ascii="仿宋_GB2312" w:eastAsia="仿宋_GB2312" w:hAnsi="仿宋_GB2312" w:cs="仿宋_GB2312" w:hint="eastAsia"/>
                <w:sz w:val="21"/>
                <w:szCs w:val="21"/>
                <w:shd w:val="clear" w:color="auto" w:fill="FFFFFF"/>
              </w:rPr>
              <w:t>5</w:t>
            </w:r>
            <w:r>
              <w:rPr>
                <w:rFonts w:ascii="仿宋_GB2312" w:eastAsia="仿宋_GB2312" w:hAnsi="仿宋_GB2312" w:cs="仿宋_GB2312" w:hint="eastAsia"/>
                <w:sz w:val="21"/>
                <w:szCs w:val="21"/>
                <w:shd w:val="clear" w:color="auto" w:fill="FFFFFF"/>
              </w:rPr>
              <w:t>分</w:t>
            </w:r>
          </w:p>
        </w:tc>
        <w:tc>
          <w:tcPr>
            <w:tcW w:w="1815" w:type="dxa"/>
            <w:vMerge/>
          </w:tcPr>
          <w:p w:rsidR="00AC2098" w:rsidRDefault="00AC2098">
            <w:pPr>
              <w:pStyle w:val="a3"/>
              <w:widowControl/>
              <w:spacing w:beforeAutospacing="0" w:afterAutospacing="0" w:line="240" w:lineRule="exact"/>
              <w:jc w:val="both"/>
            </w:pPr>
          </w:p>
        </w:tc>
      </w:tr>
      <w:tr w:rsidR="00AC2098">
        <w:tc>
          <w:tcPr>
            <w:tcW w:w="1915" w:type="dxa"/>
            <w:gridSpan w:val="2"/>
            <w:vMerge/>
          </w:tcPr>
          <w:p w:rsidR="00AC2098" w:rsidRDefault="00AC2098">
            <w:pPr>
              <w:pStyle w:val="a3"/>
              <w:widowControl/>
              <w:spacing w:beforeAutospacing="0" w:afterAutospacing="0" w:line="240" w:lineRule="exact"/>
              <w:jc w:val="both"/>
            </w:pPr>
          </w:p>
        </w:tc>
        <w:tc>
          <w:tcPr>
            <w:tcW w:w="674" w:type="dxa"/>
            <w:vMerge/>
            <w:vAlign w:val="center"/>
          </w:tcPr>
          <w:p w:rsidR="00AC2098" w:rsidRDefault="00AC2098">
            <w:pPr>
              <w:pStyle w:val="a3"/>
              <w:widowControl/>
              <w:spacing w:beforeAutospacing="0" w:afterAutospacing="0" w:line="240" w:lineRule="exact"/>
              <w:jc w:val="both"/>
            </w:pPr>
          </w:p>
        </w:tc>
        <w:tc>
          <w:tcPr>
            <w:tcW w:w="2286" w:type="dxa"/>
            <w:vMerge/>
            <w:vAlign w:val="center"/>
          </w:tcPr>
          <w:p w:rsidR="00AC2098" w:rsidRDefault="00AC2098">
            <w:pPr>
              <w:pStyle w:val="a3"/>
              <w:widowControl/>
              <w:spacing w:beforeAutospacing="0" w:afterAutospacing="0" w:line="240" w:lineRule="exact"/>
              <w:jc w:val="both"/>
            </w:pPr>
          </w:p>
        </w:tc>
        <w:tc>
          <w:tcPr>
            <w:tcW w:w="3870" w:type="dxa"/>
            <w:vMerge/>
            <w:vAlign w:val="center"/>
          </w:tcPr>
          <w:p w:rsidR="00AC2098" w:rsidRDefault="00AC2098">
            <w:pPr>
              <w:pStyle w:val="a3"/>
              <w:widowControl/>
              <w:spacing w:beforeAutospacing="0" w:afterAutospacing="0" w:line="240" w:lineRule="exact"/>
              <w:jc w:val="both"/>
            </w:pPr>
          </w:p>
        </w:tc>
        <w:tc>
          <w:tcPr>
            <w:tcW w:w="3870" w:type="dxa"/>
            <w:vAlign w:val="center"/>
          </w:tcPr>
          <w:p w:rsidR="00AC2098" w:rsidRDefault="0097262E">
            <w:pPr>
              <w:pStyle w:val="a3"/>
              <w:widowControl/>
              <w:spacing w:beforeAutospacing="0" w:afterAutospacing="0" w:line="240" w:lineRule="exact"/>
              <w:jc w:val="both"/>
            </w:pPr>
            <w:r>
              <w:rPr>
                <w:rFonts w:ascii="仿宋_GB2312" w:eastAsia="仿宋_GB2312" w:hAnsi="仿宋_GB2312" w:cs="仿宋_GB2312" w:hint="eastAsia"/>
                <w:sz w:val="21"/>
                <w:szCs w:val="21"/>
                <w:shd w:val="clear" w:color="auto" w:fill="FFFFFF"/>
              </w:rPr>
              <w:t>分值在</w:t>
            </w:r>
            <w:r>
              <w:rPr>
                <w:rFonts w:ascii="仿宋_GB2312" w:eastAsia="仿宋_GB2312" w:hAnsi="仿宋_GB2312" w:cs="仿宋_GB2312" w:hint="eastAsia"/>
                <w:sz w:val="21"/>
                <w:szCs w:val="21"/>
                <w:shd w:val="clear" w:color="auto" w:fill="FFFFFF"/>
              </w:rPr>
              <w:t>70-80</w:t>
            </w:r>
            <w:r>
              <w:rPr>
                <w:rFonts w:ascii="仿宋_GB2312" w:eastAsia="仿宋_GB2312" w:hAnsi="仿宋_GB2312" w:cs="仿宋_GB2312" w:hint="eastAsia"/>
                <w:sz w:val="21"/>
                <w:szCs w:val="21"/>
                <w:shd w:val="clear" w:color="auto" w:fill="FFFFFF"/>
              </w:rPr>
              <w:t>分之间的，得</w:t>
            </w:r>
            <w:r>
              <w:rPr>
                <w:rFonts w:ascii="仿宋_GB2312" w:eastAsia="仿宋_GB2312" w:hAnsi="仿宋_GB2312" w:cs="仿宋_GB2312" w:hint="eastAsia"/>
                <w:sz w:val="21"/>
                <w:szCs w:val="21"/>
                <w:shd w:val="clear" w:color="auto" w:fill="FFFFFF"/>
              </w:rPr>
              <w:t>3</w:t>
            </w:r>
            <w:r>
              <w:rPr>
                <w:rFonts w:ascii="仿宋_GB2312" w:eastAsia="仿宋_GB2312" w:hAnsi="仿宋_GB2312" w:cs="仿宋_GB2312" w:hint="eastAsia"/>
                <w:sz w:val="21"/>
                <w:szCs w:val="21"/>
                <w:shd w:val="clear" w:color="auto" w:fill="FFFFFF"/>
              </w:rPr>
              <w:t>分</w:t>
            </w:r>
          </w:p>
        </w:tc>
        <w:tc>
          <w:tcPr>
            <w:tcW w:w="1815" w:type="dxa"/>
            <w:vMerge/>
          </w:tcPr>
          <w:p w:rsidR="00AC2098" w:rsidRDefault="00AC2098">
            <w:pPr>
              <w:pStyle w:val="a3"/>
              <w:widowControl/>
              <w:spacing w:beforeAutospacing="0" w:afterAutospacing="0" w:line="240" w:lineRule="exact"/>
              <w:jc w:val="both"/>
            </w:pPr>
          </w:p>
        </w:tc>
      </w:tr>
      <w:tr w:rsidR="00AC2098">
        <w:tc>
          <w:tcPr>
            <w:tcW w:w="1915" w:type="dxa"/>
            <w:gridSpan w:val="2"/>
            <w:vMerge/>
          </w:tcPr>
          <w:p w:rsidR="00AC2098" w:rsidRDefault="00AC2098">
            <w:pPr>
              <w:pStyle w:val="a3"/>
              <w:widowControl/>
              <w:spacing w:beforeAutospacing="0" w:afterAutospacing="0" w:line="240" w:lineRule="exact"/>
              <w:jc w:val="both"/>
            </w:pPr>
          </w:p>
        </w:tc>
        <w:tc>
          <w:tcPr>
            <w:tcW w:w="674" w:type="dxa"/>
            <w:vMerge/>
            <w:vAlign w:val="center"/>
          </w:tcPr>
          <w:p w:rsidR="00AC2098" w:rsidRDefault="00AC2098">
            <w:pPr>
              <w:pStyle w:val="a3"/>
              <w:widowControl/>
              <w:spacing w:beforeAutospacing="0" w:afterAutospacing="0" w:line="240" w:lineRule="exact"/>
              <w:jc w:val="both"/>
            </w:pPr>
          </w:p>
        </w:tc>
        <w:tc>
          <w:tcPr>
            <w:tcW w:w="2286" w:type="dxa"/>
            <w:vMerge/>
            <w:vAlign w:val="center"/>
          </w:tcPr>
          <w:p w:rsidR="00AC2098" w:rsidRDefault="00AC2098">
            <w:pPr>
              <w:pStyle w:val="a3"/>
              <w:widowControl/>
              <w:spacing w:beforeAutospacing="0" w:afterAutospacing="0" w:line="240" w:lineRule="exact"/>
              <w:jc w:val="both"/>
            </w:pPr>
          </w:p>
        </w:tc>
        <w:tc>
          <w:tcPr>
            <w:tcW w:w="3870" w:type="dxa"/>
            <w:vMerge/>
            <w:vAlign w:val="center"/>
          </w:tcPr>
          <w:p w:rsidR="00AC2098" w:rsidRDefault="00AC2098">
            <w:pPr>
              <w:pStyle w:val="a3"/>
              <w:widowControl/>
              <w:spacing w:beforeAutospacing="0" w:afterAutospacing="0" w:line="240" w:lineRule="exact"/>
              <w:jc w:val="both"/>
            </w:pPr>
          </w:p>
        </w:tc>
        <w:tc>
          <w:tcPr>
            <w:tcW w:w="3870" w:type="dxa"/>
            <w:vAlign w:val="center"/>
          </w:tcPr>
          <w:p w:rsidR="00AC2098" w:rsidRDefault="0097262E">
            <w:pPr>
              <w:pStyle w:val="a3"/>
              <w:widowControl/>
              <w:spacing w:beforeAutospacing="0" w:afterAutospacing="0" w:line="240" w:lineRule="exact"/>
              <w:jc w:val="both"/>
            </w:pPr>
            <w:r>
              <w:rPr>
                <w:rFonts w:ascii="仿宋_GB2312" w:eastAsia="仿宋_GB2312" w:hAnsi="仿宋_GB2312" w:cs="仿宋_GB2312" w:hint="eastAsia"/>
                <w:sz w:val="21"/>
                <w:szCs w:val="21"/>
                <w:shd w:val="clear" w:color="auto" w:fill="FFFFFF"/>
              </w:rPr>
              <w:t>分值在</w:t>
            </w:r>
            <w:r>
              <w:rPr>
                <w:rFonts w:ascii="仿宋_GB2312" w:eastAsia="仿宋_GB2312" w:hAnsi="仿宋_GB2312" w:cs="仿宋_GB2312" w:hint="eastAsia"/>
                <w:sz w:val="21"/>
                <w:szCs w:val="21"/>
                <w:shd w:val="clear" w:color="auto" w:fill="FFFFFF"/>
              </w:rPr>
              <w:t>60-70</w:t>
            </w:r>
            <w:r>
              <w:rPr>
                <w:rFonts w:ascii="仿宋_GB2312" w:eastAsia="仿宋_GB2312" w:hAnsi="仿宋_GB2312" w:cs="仿宋_GB2312" w:hint="eastAsia"/>
                <w:sz w:val="21"/>
                <w:szCs w:val="21"/>
                <w:shd w:val="clear" w:color="auto" w:fill="FFFFFF"/>
              </w:rPr>
              <w:t>分之间的，得</w:t>
            </w:r>
            <w:r>
              <w:rPr>
                <w:rFonts w:ascii="仿宋_GB2312" w:eastAsia="仿宋_GB2312" w:hAnsi="仿宋_GB2312" w:cs="仿宋_GB2312" w:hint="eastAsia"/>
                <w:sz w:val="21"/>
                <w:szCs w:val="21"/>
                <w:shd w:val="clear" w:color="auto" w:fill="FFFFFF"/>
              </w:rPr>
              <w:t>1</w:t>
            </w:r>
            <w:r>
              <w:rPr>
                <w:rFonts w:ascii="仿宋_GB2312" w:eastAsia="仿宋_GB2312" w:hAnsi="仿宋_GB2312" w:cs="仿宋_GB2312" w:hint="eastAsia"/>
                <w:sz w:val="21"/>
                <w:szCs w:val="21"/>
                <w:shd w:val="clear" w:color="auto" w:fill="FFFFFF"/>
              </w:rPr>
              <w:t>分</w:t>
            </w:r>
          </w:p>
        </w:tc>
        <w:tc>
          <w:tcPr>
            <w:tcW w:w="1815" w:type="dxa"/>
            <w:vMerge/>
          </w:tcPr>
          <w:p w:rsidR="00AC2098" w:rsidRDefault="00AC2098">
            <w:pPr>
              <w:pStyle w:val="a3"/>
              <w:widowControl/>
              <w:spacing w:beforeAutospacing="0" w:afterAutospacing="0" w:line="240" w:lineRule="exact"/>
              <w:jc w:val="both"/>
            </w:pPr>
          </w:p>
        </w:tc>
      </w:tr>
      <w:tr w:rsidR="00AC2098">
        <w:tc>
          <w:tcPr>
            <w:tcW w:w="1915" w:type="dxa"/>
            <w:gridSpan w:val="2"/>
            <w:vMerge/>
          </w:tcPr>
          <w:p w:rsidR="00AC2098" w:rsidRDefault="00AC2098">
            <w:pPr>
              <w:pStyle w:val="a3"/>
              <w:widowControl/>
              <w:spacing w:beforeAutospacing="0" w:afterAutospacing="0" w:line="240" w:lineRule="exact"/>
              <w:jc w:val="both"/>
            </w:pPr>
          </w:p>
        </w:tc>
        <w:tc>
          <w:tcPr>
            <w:tcW w:w="674" w:type="dxa"/>
            <w:vMerge/>
            <w:vAlign w:val="center"/>
          </w:tcPr>
          <w:p w:rsidR="00AC2098" w:rsidRDefault="00AC2098">
            <w:pPr>
              <w:pStyle w:val="a3"/>
              <w:widowControl/>
              <w:spacing w:beforeAutospacing="0" w:afterAutospacing="0" w:line="240" w:lineRule="exact"/>
              <w:jc w:val="both"/>
            </w:pPr>
          </w:p>
        </w:tc>
        <w:tc>
          <w:tcPr>
            <w:tcW w:w="2286" w:type="dxa"/>
            <w:vMerge/>
            <w:vAlign w:val="center"/>
          </w:tcPr>
          <w:p w:rsidR="00AC2098" w:rsidRDefault="00AC2098">
            <w:pPr>
              <w:pStyle w:val="a3"/>
              <w:widowControl/>
              <w:spacing w:beforeAutospacing="0" w:afterAutospacing="0" w:line="240" w:lineRule="exact"/>
              <w:jc w:val="both"/>
            </w:pPr>
          </w:p>
        </w:tc>
        <w:tc>
          <w:tcPr>
            <w:tcW w:w="3870" w:type="dxa"/>
            <w:vMerge/>
            <w:vAlign w:val="center"/>
          </w:tcPr>
          <w:p w:rsidR="00AC2098" w:rsidRDefault="00AC2098">
            <w:pPr>
              <w:pStyle w:val="a3"/>
              <w:widowControl/>
              <w:spacing w:beforeAutospacing="0" w:afterAutospacing="0" w:line="240" w:lineRule="exact"/>
              <w:jc w:val="both"/>
            </w:pPr>
          </w:p>
        </w:tc>
        <w:tc>
          <w:tcPr>
            <w:tcW w:w="3870" w:type="dxa"/>
            <w:vAlign w:val="center"/>
          </w:tcPr>
          <w:p w:rsidR="00AC2098" w:rsidRDefault="0097262E">
            <w:pPr>
              <w:pStyle w:val="a3"/>
              <w:widowControl/>
              <w:spacing w:beforeAutospacing="0" w:afterAutospacing="0" w:line="240" w:lineRule="exact"/>
              <w:jc w:val="both"/>
            </w:pPr>
            <w:r>
              <w:rPr>
                <w:rFonts w:ascii="仿宋_GB2312" w:eastAsia="仿宋_GB2312" w:hAnsi="仿宋_GB2312" w:cs="仿宋_GB2312" w:hint="eastAsia"/>
                <w:sz w:val="21"/>
                <w:szCs w:val="21"/>
                <w:shd w:val="clear" w:color="auto" w:fill="FFFFFF"/>
              </w:rPr>
              <w:t>分值在</w:t>
            </w:r>
            <w:r>
              <w:rPr>
                <w:rFonts w:ascii="仿宋_GB2312" w:eastAsia="仿宋_GB2312" w:hAnsi="仿宋_GB2312" w:cs="仿宋_GB2312" w:hint="eastAsia"/>
                <w:sz w:val="21"/>
                <w:szCs w:val="21"/>
                <w:shd w:val="clear" w:color="auto" w:fill="FFFFFF"/>
              </w:rPr>
              <w:t>60</w:t>
            </w:r>
            <w:r>
              <w:rPr>
                <w:rFonts w:ascii="仿宋_GB2312" w:eastAsia="仿宋_GB2312" w:hAnsi="仿宋_GB2312" w:cs="仿宋_GB2312" w:hint="eastAsia"/>
                <w:sz w:val="21"/>
                <w:szCs w:val="21"/>
                <w:shd w:val="clear" w:color="auto" w:fill="FFFFFF"/>
              </w:rPr>
              <w:t>分以下的，不得分</w:t>
            </w:r>
          </w:p>
        </w:tc>
        <w:tc>
          <w:tcPr>
            <w:tcW w:w="1815" w:type="dxa"/>
            <w:vMerge/>
          </w:tcPr>
          <w:p w:rsidR="00AC2098" w:rsidRDefault="00AC2098">
            <w:pPr>
              <w:pStyle w:val="a3"/>
              <w:widowControl/>
              <w:spacing w:beforeAutospacing="0" w:afterAutospacing="0" w:line="240" w:lineRule="exact"/>
              <w:jc w:val="both"/>
            </w:pPr>
          </w:p>
        </w:tc>
      </w:tr>
      <w:tr w:rsidR="00AC2098">
        <w:trPr>
          <w:trHeight w:val="1170"/>
        </w:trPr>
        <w:tc>
          <w:tcPr>
            <w:tcW w:w="14430" w:type="dxa"/>
            <w:gridSpan w:val="7"/>
            <w:vAlign w:val="center"/>
          </w:tcPr>
          <w:p w:rsidR="00AC2098" w:rsidRDefault="0097262E">
            <w:pPr>
              <w:pStyle w:val="a3"/>
              <w:widowControl/>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b/>
                <w:bCs/>
                <w:sz w:val="21"/>
                <w:szCs w:val="21"/>
                <w:shd w:val="clear" w:color="auto" w:fill="FFFFFF"/>
              </w:rPr>
              <w:t>说明：</w:t>
            </w:r>
            <w:r>
              <w:rPr>
                <w:rFonts w:ascii="仿宋_GB2312" w:eastAsia="仿宋_GB2312" w:hAnsi="仿宋_GB2312" w:cs="仿宋_GB2312" w:hint="eastAsia"/>
                <w:sz w:val="21"/>
                <w:szCs w:val="21"/>
                <w:shd w:val="clear" w:color="auto" w:fill="FFFFFF"/>
              </w:rPr>
              <w:t>1.</w:t>
            </w:r>
            <w:r>
              <w:rPr>
                <w:rFonts w:ascii="仿宋_GB2312" w:eastAsia="仿宋_GB2312" w:hAnsi="仿宋_GB2312" w:cs="仿宋_GB2312" w:hint="eastAsia"/>
                <w:sz w:val="21"/>
                <w:szCs w:val="21"/>
                <w:shd w:val="clear" w:color="auto" w:fill="FFFFFF"/>
              </w:rPr>
              <w:t>金额单位为万元，百分比保留两位小数；</w:t>
            </w:r>
          </w:p>
          <w:p w:rsidR="00AC2098" w:rsidRDefault="0097262E">
            <w:pPr>
              <w:pStyle w:val="a3"/>
              <w:widowControl/>
              <w:numPr>
                <w:ilvl w:val="0"/>
                <w:numId w:val="1"/>
              </w:numPr>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某商业银行总评分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信贷投放评分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金融创新评分</w:t>
            </w:r>
            <w:r>
              <w:rPr>
                <w:rFonts w:ascii="仿宋_GB2312" w:eastAsia="仿宋_GB2312" w:hAnsi="仿宋_GB2312" w:cs="仿宋_GB2312" w:hint="eastAsia"/>
                <w:sz w:val="21"/>
                <w:szCs w:val="21"/>
                <w:shd w:val="clear" w:color="auto" w:fill="FFFFFF"/>
              </w:rPr>
              <w:t>+</w:t>
            </w:r>
            <w:r>
              <w:rPr>
                <w:rFonts w:ascii="仿宋_GB2312" w:eastAsia="仿宋_GB2312" w:hAnsi="仿宋_GB2312" w:cs="仿宋_GB2312" w:hint="eastAsia"/>
                <w:sz w:val="21"/>
                <w:szCs w:val="21"/>
                <w:shd w:val="clear" w:color="auto" w:fill="FFFFFF"/>
              </w:rPr>
              <w:t>服务质量评分；</w:t>
            </w:r>
          </w:p>
          <w:p w:rsidR="00AC2098" w:rsidRDefault="0097262E">
            <w:pPr>
              <w:pStyle w:val="a3"/>
              <w:widowControl/>
              <w:numPr>
                <w:ilvl w:val="0"/>
                <w:numId w:val="1"/>
              </w:numPr>
              <w:spacing w:beforeAutospacing="0" w:afterAutospacing="0" w:line="240" w:lineRule="exact"/>
              <w:rPr>
                <w:rFonts w:ascii="仿宋_GB2312" w:eastAsia="仿宋_GB2312" w:hAnsi="仿宋_GB2312" w:cs="仿宋_GB2312"/>
                <w:sz w:val="21"/>
                <w:szCs w:val="21"/>
                <w:shd w:val="clear" w:color="auto" w:fill="FFFFFF"/>
              </w:rPr>
            </w:pPr>
            <w:r>
              <w:rPr>
                <w:rFonts w:ascii="仿宋_GB2312" w:eastAsia="仿宋_GB2312" w:hAnsi="仿宋_GB2312" w:cs="仿宋_GB2312" w:hint="eastAsia"/>
                <w:sz w:val="21"/>
                <w:szCs w:val="21"/>
                <w:shd w:val="clear" w:color="auto" w:fill="FFFFFF"/>
              </w:rPr>
              <w:t>考评数据由各银行机构提供的，银行机构须对数据真实性负责，一旦发现数据作假，取消当年考评资格。</w:t>
            </w:r>
          </w:p>
        </w:tc>
      </w:tr>
    </w:tbl>
    <w:p w:rsidR="00AC2098" w:rsidRDefault="00AC2098"/>
    <w:sectPr w:rsidR="00AC2098" w:rsidSect="00AC2098">
      <w:pgSz w:w="16838" w:h="11906" w:orient="landscape"/>
      <w:pgMar w:top="1800" w:right="1440" w:bottom="1800"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F58BDC"/>
    <w:multiLevelType w:val="singleLevel"/>
    <w:tmpl w:val="9AF58BDC"/>
    <w:lvl w:ilvl="0">
      <w:start w:val="2"/>
      <w:numFmt w:val="decimal"/>
      <w:lvlText w:val="%1."/>
      <w:lvlJc w:val="left"/>
      <w:pPr>
        <w:tabs>
          <w:tab w:val="left"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2F6B45DA"/>
    <w:rsid w:val="0097262E"/>
    <w:rsid w:val="00AC2098"/>
    <w:rsid w:val="2F6B4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209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AC2098"/>
    <w:pPr>
      <w:spacing w:beforeAutospacing="1" w:afterAutospacing="1"/>
      <w:jc w:val="left"/>
    </w:pPr>
    <w:rPr>
      <w:rFonts w:cs="Times New Roman"/>
      <w:kern w:val="0"/>
      <w:sz w:val="24"/>
    </w:rPr>
  </w:style>
  <w:style w:type="table" w:styleId="a4">
    <w:name w:val="Table Grid"/>
    <w:basedOn w:val="a1"/>
    <w:qFormat/>
    <w:rsid w:val="00AC209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4806</Characters>
  <Application>Microsoft Office Word</Application>
  <DocSecurity>0</DocSecurity>
  <Lines>40</Lines>
  <Paragraphs>11</Paragraphs>
  <ScaleCrop>false</ScaleCrop>
  <Company/>
  <LinksUpToDate>false</LinksUpToDate>
  <CharactersWithSpaces>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单人言ANY</dc:creator>
  <cp:lastModifiedBy>Administrator</cp:lastModifiedBy>
  <cp:revision>2</cp:revision>
  <dcterms:created xsi:type="dcterms:W3CDTF">2021-04-26T06:04:00Z</dcterms:created>
  <dcterms:modified xsi:type="dcterms:W3CDTF">2021-04-26T06:04:00Z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1570C95D54F743BD80F2F0B8B63BC8A8</vt:lpwstr>
  </property>
</Properties>
</file>